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B498" w14:textId="14425276" w:rsidR="00CB4E12" w:rsidRPr="0064271E" w:rsidRDefault="00CB4E12" w:rsidP="00CB4E12">
      <w:pPr>
        <w:spacing w:after="120" w:line="360" w:lineRule="auto"/>
        <w:jc w:val="right"/>
        <w:rPr>
          <w:rFonts w:ascii="Verdana" w:hAnsi="Verdana"/>
          <w:sz w:val="20"/>
          <w:szCs w:val="20"/>
        </w:rPr>
      </w:pPr>
      <w:r w:rsidRPr="0064271E">
        <w:rPr>
          <w:rFonts w:ascii="Verdana" w:hAnsi="Verdana"/>
          <w:sz w:val="20"/>
          <w:szCs w:val="20"/>
        </w:rPr>
        <w:t xml:space="preserve">Warszawa, </w:t>
      </w:r>
      <w:r w:rsidR="00AA6C28" w:rsidRPr="0064271E">
        <w:rPr>
          <w:rFonts w:ascii="Verdana" w:hAnsi="Verdana"/>
          <w:sz w:val="20"/>
          <w:szCs w:val="20"/>
        </w:rPr>
        <w:t>2 listopada</w:t>
      </w:r>
      <w:r w:rsidRPr="0064271E">
        <w:rPr>
          <w:rFonts w:ascii="Verdana" w:hAnsi="Verdana"/>
          <w:sz w:val="20"/>
          <w:szCs w:val="20"/>
        </w:rPr>
        <w:t xml:space="preserve"> 2021 r.</w:t>
      </w:r>
    </w:p>
    <w:p w14:paraId="30A50369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64271E">
        <w:rPr>
          <w:rFonts w:ascii="Verdana" w:hAnsi="Verdana"/>
          <w:sz w:val="20"/>
          <w:szCs w:val="20"/>
        </w:rPr>
        <w:t>Zamawiający:</w:t>
      </w:r>
    </w:p>
    <w:p w14:paraId="4580A4F7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b/>
          <w:bCs/>
          <w:color w:val="000000"/>
          <w:sz w:val="20"/>
          <w:szCs w:val="20"/>
          <w:lang w:eastAsia="pl-PL"/>
        </w:rPr>
      </w:pPr>
      <w:r w:rsidRPr="0064271E">
        <w:rPr>
          <w:rFonts w:ascii="Verdana" w:eastAsia="Times New Roman" w:hAnsi="Verdana" w:cs="Open Sans"/>
          <w:b/>
          <w:bCs/>
          <w:color w:val="000000"/>
          <w:sz w:val="20"/>
          <w:szCs w:val="20"/>
          <w:lang w:eastAsia="pl-PL"/>
        </w:rPr>
        <w:t>Powiat Koszaliński</w:t>
      </w:r>
    </w:p>
    <w:p w14:paraId="73457F0E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</w:pPr>
      <w:r w:rsidRPr="0064271E">
        <w:rPr>
          <w:rStyle w:val="markedcontent"/>
          <w:rFonts w:ascii="Verdana" w:hAnsi="Verdana" w:cs="Open Sans"/>
          <w:sz w:val="20"/>
          <w:szCs w:val="20"/>
        </w:rPr>
        <w:t>ul. Racławicka 13,75-620 Koszalin Nr NIP: 669 23 87 595 Nr REGON: 330920854</w:t>
      </w:r>
    </w:p>
    <w:p w14:paraId="4C28286F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</w:pPr>
      <w:r w:rsidRPr="0064271E">
        <w:rPr>
          <w:rFonts w:ascii="Verdana" w:eastAsia="Times New Roman" w:hAnsi="Verdana" w:cs="Open Sans"/>
          <w:b/>
          <w:bCs/>
          <w:color w:val="000000"/>
          <w:sz w:val="20"/>
          <w:szCs w:val="20"/>
          <w:lang w:eastAsia="pl-PL"/>
        </w:rPr>
        <w:t xml:space="preserve">W imieniu i na rzecz Zamawiającego </w:t>
      </w:r>
      <w:r w:rsidRPr="0064271E">
        <w:rPr>
          <w:rFonts w:ascii="Verdana" w:eastAsia="Times New Roman" w:hAnsi="Verdana" w:cs="Open Sans"/>
          <w:b/>
          <w:bCs/>
          <w:color w:val="000000"/>
          <w:sz w:val="20"/>
          <w:szCs w:val="20"/>
          <w:u w:val="single"/>
          <w:lang w:eastAsia="pl-PL"/>
        </w:rPr>
        <w:t>postępowanie prowadzi Pełnomocnik Zamawiającego</w:t>
      </w:r>
      <w:r w:rsidRPr="0064271E"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  <w:t xml:space="preserve">: </w:t>
      </w:r>
    </w:p>
    <w:p w14:paraId="3BA3F6FA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</w:pPr>
      <w:r w:rsidRPr="0064271E"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  <w:t>Małgorzata Stachowiak, działająca przy wsparciu Grupy Doradcza Sienna Sp. z o.o.</w:t>
      </w:r>
    </w:p>
    <w:p w14:paraId="1C46A7B2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</w:pPr>
      <w:r w:rsidRPr="0064271E"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  <w:t>ul. Bagatela 10 lok. 3, 00-585 Warszawa</w:t>
      </w:r>
    </w:p>
    <w:p w14:paraId="5D9C0718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</w:pPr>
      <w:r w:rsidRPr="0064271E"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  <w:t xml:space="preserve">e-mail: </w:t>
      </w:r>
      <w:hyperlink r:id="rId7">
        <w:r w:rsidRPr="0064271E">
          <w:rPr>
            <w:rStyle w:val="czeinternetowe"/>
            <w:rFonts w:ascii="Verdana" w:eastAsia="Times New Roman" w:hAnsi="Verdana" w:cs="Open Sans"/>
            <w:sz w:val="20"/>
            <w:szCs w:val="20"/>
            <w:lang w:eastAsia="pl-PL"/>
          </w:rPr>
          <w:t>grupasienna@grupasienna.pl</w:t>
        </w:r>
      </w:hyperlink>
      <w:r w:rsidRPr="0064271E"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  <w:t xml:space="preserve">, </w:t>
      </w:r>
    </w:p>
    <w:p w14:paraId="45C8FCBC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i/>
          <w:iCs/>
          <w:color w:val="000000"/>
          <w:sz w:val="20"/>
          <w:szCs w:val="20"/>
          <w:u w:val="single"/>
          <w:lang w:eastAsia="pl-PL"/>
        </w:rPr>
      </w:pPr>
      <w:r w:rsidRPr="0064271E">
        <w:rPr>
          <w:rFonts w:ascii="Verdana" w:eastAsia="Times New Roman" w:hAnsi="Verdana" w:cs="Open Sans"/>
          <w:i/>
          <w:iCs/>
          <w:color w:val="000000"/>
          <w:sz w:val="20"/>
          <w:szCs w:val="20"/>
          <w:u w:val="single"/>
          <w:lang w:eastAsia="pl-PL"/>
        </w:rPr>
        <w:t>Dotyczy:</w:t>
      </w:r>
    </w:p>
    <w:p w14:paraId="4A948A0B" w14:textId="77777777" w:rsidR="00CB4E12" w:rsidRPr="0064271E" w:rsidRDefault="00CB4E12" w:rsidP="00CB4E12">
      <w:pPr>
        <w:pStyle w:val="Default"/>
        <w:spacing w:after="120" w:line="360" w:lineRule="auto"/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64271E">
        <w:rPr>
          <w:rFonts w:ascii="Verdana" w:eastAsia="Times New Roman" w:hAnsi="Verdana" w:cs="Open Sans"/>
          <w:i/>
          <w:iCs/>
          <w:sz w:val="20"/>
          <w:szCs w:val="20"/>
          <w:u w:val="single"/>
          <w:lang w:eastAsia="pl-PL"/>
        </w:rPr>
        <w:t xml:space="preserve">Postępowania w trybie dialogu konkurencyjnego pn. Wykonanie systemu zarządzania domami pomocy społecznej (DPS) powiecie koszalińskim nr GDS 1/21, ID </w:t>
      </w:r>
      <w:r w:rsidRPr="0064271E">
        <w:rPr>
          <w:rFonts w:ascii="Verdana" w:hAnsi="Verdana"/>
          <w:i/>
          <w:iCs/>
          <w:sz w:val="20"/>
          <w:szCs w:val="20"/>
          <w:u w:val="single"/>
        </w:rPr>
        <w:t>518350</w:t>
      </w:r>
      <w:r w:rsidRPr="0064271E">
        <w:rPr>
          <w:rFonts w:ascii="Verdana" w:hAnsi="Verdana"/>
          <w:i/>
          <w:iCs/>
          <w:sz w:val="20"/>
          <w:szCs w:val="20"/>
          <w:u w:val="single"/>
        </w:rPr>
        <w:tab/>
      </w:r>
    </w:p>
    <w:p w14:paraId="3F80A85B" w14:textId="77777777" w:rsidR="00CB4E12" w:rsidRPr="0064271E" w:rsidRDefault="00CB4E12" w:rsidP="00CB4E12">
      <w:pPr>
        <w:spacing w:after="120" w:line="360" w:lineRule="auto"/>
        <w:jc w:val="both"/>
        <w:rPr>
          <w:rFonts w:ascii="Verdana" w:eastAsia="Times New Roman" w:hAnsi="Verdana" w:cs="Open Sans"/>
          <w:color w:val="000000"/>
          <w:sz w:val="20"/>
          <w:szCs w:val="20"/>
          <w:lang w:eastAsia="pl-PL"/>
        </w:rPr>
      </w:pPr>
    </w:p>
    <w:p w14:paraId="45C7752A" w14:textId="77777777" w:rsidR="00CB4E12" w:rsidRPr="0064271E" w:rsidRDefault="00CB4E12" w:rsidP="00CB4E12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>Wyjaśnienia oraz zmiana SWZ</w:t>
      </w:r>
    </w:p>
    <w:p w14:paraId="0FE69863" w14:textId="7CA8D719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64271E">
        <w:rPr>
          <w:rFonts w:ascii="Verdana" w:hAnsi="Verdana"/>
          <w:sz w:val="20"/>
          <w:szCs w:val="20"/>
        </w:rPr>
        <w:t>Działając w oparciu o art. 185 ust. 3 ustawy 11 września 2019 r. (dalej jako „PZP”) w zw. z art. 135 ust. 2 PZP Zamawiający udziela wyjaśnień na wnios</w:t>
      </w:r>
      <w:r w:rsidR="00BA0D83" w:rsidRPr="0064271E">
        <w:rPr>
          <w:rFonts w:ascii="Verdana" w:hAnsi="Verdana"/>
          <w:sz w:val="20"/>
          <w:szCs w:val="20"/>
        </w:rPr>
        <w:t xml:space="preserve">ek </w:t>
      </w:r>
      <w:r w:rsidRPr="0064271E">
        <w:rPr>
          <w:rFonts w:ascii="Verdana" w:hAnsi="Verdana"/>
          <w:sz w:val="20"/>
          <w:szCs w:val="20"/>
        </w:rPr>
        <w:t>wykonawc</w:t>
      </w:r>
      <w:r w:rsidR="00BA0D83" w:rsidRPr="0064271E">
        <w:rPr>
          <w:rFonts w:ascii="Verdana" w:hAnsi="Verdana"/>
          <w:sz w:val="20"/>
          <w:szCs w:val="20"/>
        </w:rPr>
        <w:t>y</w:t>
      </w:r>
      <w:r w:rsidRPr="0064271E">
        <w:rPr>
          <w:rFonts w:ascii="Verdana" w:hAnsi="Verdana"/>
          <w:sz w:val="20"/>
          <w:szCs w:val="20"/>
        </w:rPr>
        <w:t>, któr</w:t>
      </w:r>
      <w:r w:rsidR="00BA0D83" w:rsidRPr="0064271E">
        <w:rPr>
          <w:rFonts w:ascii="Verdana" w:hAnsi="Verdana"/>
          <w:sz w:val="20"/>
          <w:szCs w:val="20"/>
        </w:rPr>
        <w:t>y</w:t>
      </w:r>
      <w:r w:rsidRPr="0064271E">
        <w:rPr>
          <w:rFonts w:ascii="Verdana" w:hAnsi="Verdana"/>
          <w:sz w:val="20"/>
          <w:szCs w:val="20"/>
        </w:rPr>
        <w:t xml:space="preserve"> wpłyn</w:t>
      </w:r>
      <w:r w:rsidR="00BA0D83" w:rsidRPr="0064271E">
        <w:rPr>
          <w:rFonts w:ascii="Verdana" w:hAnsi="Verdana"/>
          <w:sz w:val="20"/>
          <w:szCs w:val="20"/>
        </w:rPr>
        <w:t>ął</w:t>
      </w:r>
      <w:r w:rsidRPr="0064271E">
        <w:rPr>
          <w:rFonts w:ascii="Verdana" w:hAnsi="Verdana"/>
          <w:sz w:val="20"/>
          <w:szCs w:val="20"/>
        </w:rPr>
        <w:t xml:space="preserve"> 29 października 2021 r. </w:t>
      </w:r>
    </w:p>
    <w:p w14:paraId="1C70D66C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2FDEB983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>Pytanie numer 31:</w:t>
      </w:r>
    </w:p>
    <w:p w14:paraId="74C24245" w14:textId="0DE97A93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Zwracamy ponownie uwagę na fakt, że niejasne i z drugiej strony bardzo rygorystyczne zapisy Umowy skutkują poważnymi konsekwencjami finansowymi. Wnosimy o ponowne rozpatrzenie zadanych pytań i wprowadzenie stosownych zmian do Umowy. </w:t>
      </w:r>
    </w:p>
    <w:p w14:paraId="3A68E7AE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Zamawiający w ramach zarówno Gwarancji jak i dodatkowego Wsparcia Powdrożeniowego, jak i opcjonalnych Usług Wsparcia wymaga usług będących typowym wsparciem realizowanym w ramach umów outsourcingowych (m.in. monitoring systemu, wykonywanie i monitorowanie systemu kopii zapasowych, aktualizacje systemów itp.). </w:t>
      </w:r>
    </w:p>
    <w:p w14:paraId="658CCCE2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W wyjaśnieniach z dnia 27.10.2021: </w:t>
      </w:r>
    </w:p>
    <w:p w14:paraId="659CEFA9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Zamawiający wskazuje, że czym innym jest 1) wsparcie powdrożeniowe, 2) usługi wsparcia oraz 3) gwarancja. Wszelkie wymogi, co do poszczególnych zakresu tych usług uszczegółowione są w treści opisu przedmiotu zamówieniu oraz w umowie. Zamawiający wskazuje na różne okresy realizacji każdej z kategorii usług. Przykładowo wsparcie powdrożeniowe wchodzi w zakres zamówienia podstawowego i trwa 6 miesięcy od dnia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lastRenderedPageBreak/>
        <w:t xml:space="preserve">odbioru Systemu. Usługi wsparcia zaś są częścią zamówienia opcjonalnego i będą realizowane jedynie, gdy Zamawiający złoży stosowane oświadczenie, jak też nie są realizowane co do zasady w trakcie realizacji wsparcia powdrożeniowego. </w:t>
      </w:r>
    </w:p>
    <w:p w14:paraId="50A3265F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Otóż naszym zdaniem zakresy tych usług się w znacznej mierze pokrywają, co poniżej postaramy się wyjaśnić. Największe kontrowersje i sprzeciw budzi jednak sposób rozliczenia za Usługi Wsparcia w ramach praw opcji. </w:t>
      </w:r>
    </w:p>
    <w:p w14:paraId="1E03EDA5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Zamawiający w § 10. Prawo opcji - Urządzenia oraz Usługi Wsparcia ust. 7 charakteryzuje Usługi Wsparcia w sposób następujący: </w:t>
      </w:r>
    </w:p>
    <w:p w14:paraId="17C09255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Usługi Wsparcia polegają na: </w:t>
      </w:r>
    </w:p>
    <w:p w14:paraId="51BA93FB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1)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wprowadzaniu aktualizacji Systemu lub jego części, niezależnie od rodzaju Oprogramowania; </w:t>
      </w:r>
    </w:p>
    <w:p w14:paraId="7DCBDA7F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2) ciągłym monitorowaniu Systemu w celu zapewnienia płynności jego działania; </w:t>
      </w:r>
    </w:p>
    <w:p w14:paraId="108A43EF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3)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ciągłym monitoringu i administracji serwerów oraz baz danych w celu zapewnienia ciągłości ich działania; </w:t>
      </w:r>
    </w:p>
    <w:p w14:paraId="235CDCCD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4)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aktualizowaniu Oprogramowania dotyczącego serwerów Systemu; </w:t>
      </w:r>
    </w:p>
    <w:p w14:paraId="3C8F680F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5)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aktualizacji Dokumentacji przekazanej w ramach tworzenia i Odbioru Systemu; </w:t>
      </w:r>
    </w:p>
    <w:p w14:paraId="6497DB24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6)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świadczeniu usług serwisowych, takich jak usługi gwarancyjne w zakresie Błędów w zakresie przekraczającym okres Gwarancji w okresie jej trwania, a po jej zakończeniu również w zakresie obejmującym usługi Gwarancji w postaci usuwania Błędów. </w:t>
      </w:r>
    </w:p>
    <w:p w14:paraId="5BBF3C64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7) dostosowywaniu Systemu do zmian prawa; </w:t>
      </w:r>
    </w:p>
    <w:p w14:paraId="0EB2C16C" w14:textId="05F3242B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Zakres ten jest zasadniczo tożsamy z opisanym w § 9. Wsparcie powdrożeniowe ust. 2. zakresem Wsparcia Powdrożeniowego świadczonego przez Wykonawcę w okresie pierwszych 6 m-cy działania systemu. </w:t>
      </w:r>
    </w:p>
    <w:p w14:paraId="7AB305DA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Co do usług gwarancyjnych z kolei w </w:t>
      </w:r>
      <w:r w:rsidRPr="0064271E">
        <w:rPr>
          <w:rFonts w:ascii="Verdana" w:hAnsi="Verdana" w:cs="Calibri"/>
          <w:color w:val="000000"/>
          <w:sz w:val="20"/>
          <w:szCs w:val="20"/>
        </w:rPr>
        <w:t xml:space="preserve">wyjaśnieniach z dnia 27.10.2021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 xml:space="preserve">Zamawiający wskazuje też, że zakres usług gwarancyjnych został szczegółowo opisany w opisie przedmiotu zamówienia oraz w umowie. Gwarancja dotyczy przede wszystkim zapewnienia prawidłowości działania Systemu. </w:t>
      </w:r>
    </w:p>
    <w:p w14:paraId="40F4702F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Zgodnie z Umową (§ 15. Gwarancja ust. 12) Gwarancja świadczona przez Wykonawcę w 24-miesięcznym okresie Gwarancji obejmuje w szczególności: </w:t>
      </w:r>
    </w:p>
    <w:p w14:paraId="7C809BCE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1) Usługi usuwania Błędów oraz wad Urządzeń i Systemu; </w:t>
      </w:r>
    </w:p>
    <w:p w14:paraId="6CE61AC7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2) aktualizację Systemu lub oprogramowania Urządzeń - dostarczanie nowych wersji z usuniętymi Błędami wykrytymi w trakcie eksploatacji, </w:t>
      </w:r>
    </w:p>
    <w:p w14:paraId="529E48B1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3) zapewnienie określonego poziomu dostępności funkcjonalności Systemu i Urządzeń, </w:t>
      </w:r>
    </w:p>
    <w:p w14:paraId="1D5786A5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4) wykonywanie poprawek jakości Kodów Źródłowych, zgłoszonych w czasie weryfikacji jakości kodu na zasadach przyjętych dla Błędu Krytycznego </w:t>
      </w:r>
    </w:p>
    <w:p w14:paraId="41D52156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5) zapewnienie gwarantowanego poziomu dostępności; </w:t>
      </w:r>
    </w:p>
    <w:p w14:paraId="286CBF54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6) monitorowanie Systemu i interfejsów API; </w:t>
      </w:r>
    </w:p>
    <w:p w14:paraId="6EF4C03F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7) monitorowanie stanu Systemu, wydajności i zarejestrowanych Zgłoszeń.; </w:t>
      </w:r>
    </w:p>
    <w:p w14:paraId="53DA3447" w14:textId="128A8651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>Zwracamy uwagę, że punkty 2, 6, 7 powyżej w dużej mierze pokrywają się z Wsparciem Powdrożeniowym określonym w §9. ust. 2 pkt. Wsparcie powdrożeniow</w:t>
      </w:r>
      <w:r w:rsidR="00AA6C28" w:rsidRPr="0064271E">
        <w:rPr>
          <w:rFonts w:ascii="Verdana" w:hAnsi="Verdana" w:cs="Calibri"/>
          <w:color w:val="000000"/>
          <w:sz w:val="20"/>
          <w:szCs w:val="20"/>
        </w:rPr>
        <w:t xml:space="preserve">e </w:t>
      </w:r>
      <w:r w:rsidRPr="0064271E">
        <w:rPr>
          <w:rFonts w:ascii="Verdana" w:hAnsi="Verdana" w:cs="Calibri"/>
          <w:color w:val="000000"/>
          <w:sz w:val="20"/>
          <w:szCs w:val="20"/>
        </w:rPr>
        <w:t xml:space="preserve">2 i 3 oraz Usługami Wsparcia określonymi ponad określone w §10 ust. 7 pkt 2 i 3 Umowy, zwłaszcza że „System” w Umowie został zdefiniowany jako </w:t>
      </w:r>
      <w:r w:rsidRPr="0064271E">
        <w:rPr>
          <w:rFonts w:ascii="Verdana" w:hAnsi="Verdana" w:cs="Calibri"/>
          <w:i/>
          <w:iCs/>
          <w:color w:val="000000"/>
          <w:sz w:val="20"/>
          <w:szCs w:val="20"/>
        </w:rPr>
        <w:t>Będący przedmiotem Zamówienia system teleinformatyczny wraz z Urządzeniami będący przedmiotem Umowy</w:t>
      </w:r>
      <w:r w:rsidRPr="0064271E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14:paraId="7514708A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W związku z tym co do zasady w okresie 7-24 m-cy użytkowania Systemu Zamawiający ma zagwarantowane w szerokim zakresie Usługi Wsparcia w ramach Gwarancji i ich dodatkowy wykup jest nieuzasadniony. </w:t>
      </w:r>
    </w:p>
    <w:p w14:paraId="2C2E5BCA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Teraz przejdźmy do kluczowej dla Wykonawcy kwestii rozliczeń za wykonane usługi. </w:t>
      </w:r>
    </w:p>
    <w:p w14:paraId="09841F64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Zamawiający w § 17. Wynagrodzenie ust. 13 określa zasady rozliczenia za Usługi Wsparcia </w:t>
      </w:r>
    </w:p>
    <w:p w14:paraId="2CB4EBFD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Płatność za Usługi Wsparcia świadczone po ich zleceniu w ramach prawa opcji, będzie dokonywana w okresach miesięcznych w następujący sposób: </w:t>
      </w:r>
    </w:p>
    <w:p w14:paraId="33CE0647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1) </w:t>
      </w:r>
      <w:r w:rsidRPr="0064271E">
        <w:rPr>
          <w:rFonts w:ascii="Verdana" w:hAnsi="Verdana" w:cs="Calibri"/>
          <w:color w:val="000000"/>
          <w:sz w:val="20"/>
          <w:szCs w:val="20"/>
        </w:rPr>
        <w:t xml:space="preserve">W przypadku braku udzielenia zleceń przez Zamawiającego obejmujących usługi inne niż określone w § 10 ust. 7 pkt 2) i 3) Umowy (tzw. gotowość), Zamawiający zapłaci Wykonawcy 5% wartości wynagrodzenia za 1 miesiąc świadczenia Usług Wsparcia </w:t>
      </w:r>
    </w:p>
    <w:p w14:paraId="2352DC4E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2) </w:t>
      </w:r>
      <w:r w:rsidRPr="0064271E">
        <w:rPr>
          <w:rFonts w:ascii="Verdana" w:hAnsi="Verdana" w:cs="Calibri"/>
          <w:color w:val="000000"/>
          <w:sz w:val="20"/>
          <w:szCs w:val="20"/>
        </w:rPr>
        <w:t xml:space="preserve">W przypadku zlecenia przez Zamawiającego wykonania pozostałych Usług Wsparcia (ponad określone w § 10 ust. 7 pkt 2 i 3 Umowy) oraz ich prawidłowego wykonania w danym miesiącu, Zamawiający płaci wynagrodzenie za Usługi Wsparcia w wysokości przysługującej za 1 miesiąc. </w:t>
      </w:r>
    </w:p>
    <w:p w14:paraId="1EDE489B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Tym samym zgodnie z SWZ oraz Umową z jednej strony Zamawiający przenosi na Wykonawcę odpowiedzialność za bieżące monitorowanie i utrzymywanie systemu, z drugiej strony Zamawiający planuje płacić 5% wartości, którą Wykonawca oszacuje dla takich prac. Takie podejście jest nieakceptowalne i niestosowane w tego typu umowach. </w:t>
      </w:r>
    </w:p>
    <w:p w14:paraId="50942EBC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Przykładowo na potrzeby kalkulacji przyjmijmy miesięczny koszt usług w zakresie: </w:t>
      </w:r>
    </w:p>
    <w:p w14:paraId="5FD1C6A0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1) ciągłym monitorowaniu Systemu w celu zapewnienia płynności jego działania; </w:t>
      </w:r>
    </w:p>
    <w:p w14:paraId="0DBDCA49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Verdana"/>
          <w:color w:val="000000"/>
          <w:sz w:val="20"/>
          <w:szCs w:val="20"/>
        </w:rPr>
        <w:t xml:space="preserve">2) </w:t>
      </w:r>
      <w:r w:rsidRPr="0064271E">
        <w:rPr>
          <w:rFonts w:ascii="Verdana" w:hAnsi="Verdana" w:cs="Calibri"/>
          <w:color w:val="000000"/>
          <w:sz w:val="20"/>
          <w:szCs w:val="20"/>
        </w:rPr>
        <w:t xml:space="preserve">ciągłym monitoringu i administracji serwerów oraz baz danych w celu zapewnienia ciągłości ich działania; </w:t>
      </w:r>
    </w:p>
    <w:p w14:paraId="12D61CAD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na poziomie 10 tys. zł (kwota ta bynajmniej nie jest wygórowana i nie odbiega od standardów rynkowych w zakresie analogicznych usług outsourcingowych). </w:t>
      </w:r>
    </w:p>
    <w:p w14:paraId="3B16C3EF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Zamawiający, o ile nie zleci dodatkowych prac, planuje płacić 5% wartości kwoty wskazanej w kosztach Usług Wsparcia powdrożeniowego zatem wykonawca chcąc uzyskać kwotę 10 tys. zł miesięcznie musi złożyć ofertę na 200 tys. zł miesięcznie(!!!) </w:t>
      </w:r>
    </w:p>
    <w:p w14:paraId="73676C4E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Mając na uwadze powyższe ponownie wnosimy o usunięcie 5% ograniczenia, a nawet idąc dalej proponujemy Usunięcie Usług Wsparcia z zakresu Umowy. </w:t>
      </w:r>
    </w:p>
    <w:p w14:paraId="61B2ED49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JEST TO KRYTYCZNIE WAŻNE Z PUNKTU WIDZENIA WYKONALNOŚCI PROJEKTU </w:t>
      </w:r>
    </w:p>
    <w:p w14:paraId="2845FA97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>Zwracamy uwagę, że niezależnie od wysokich kosztów ryzyka, które musimy przyjąć w ofercie w związku z bezpieczną dla nas wyceną tych usług, co wiąże się z b. dużym przekroczeniem budżetu Zamawiającego, zapis ten uniemożliwia nam złożenia oferty zgodnej z wymaganiami SIWZ (ograniczenie ceny wartości łącznej zakresu opcjonalnego do 45% wartości zamówienia podstawowego).</w:t>
      </w:r>
    </w:p>
    <w:p w14:paraId="1FAB2A01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>Odpowiedź Zamawiającego:</w:t>
      </w:r>
    </w:p>
    <w:p w14:paraId="04773638" w14:textId="0D5E0236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64271E">
        <w:rPr>
          <w:rFonts w:ascii="Verdana" w:hAnsi="Verdana"/>
          <w:sz w:val="20"/>
          <w:szCs w:val="20"/>
        </w:rPr>
        <w:t xml:space="preserve">Zamawiający wskazuje, że zakresy poszczególnych usług </w:t>
      </w:r>
      <w:r w:rsidR="00AA6C28" w:rsidRPr="0064271E">
        <w:rPr>
          <w:rFonts w:ascii="Verdana" w:hAnsi="Verdana"/>
          <w:sz w:val="20"/>
          <w:szCs w:val="20"/>
        </w:rPr>
        <w:t xml:space="preserve">w zakresie monitorowania </w:t>
      </w:r>
      <w:r w:rsidRPr="0064271E">
        <w:rPr>
          <w:rFonts w:ascii="Verdana" w:hAnsi="Verdana"/>
          <w:sz w:val="20"/>
          <w:szCs w:val="20"/>
        </w:rPr>
        <w:t>nie są zbieżne</w:t>
      </w:r>
      <w:r w:rsidR="00AA6C28" w:rsidRPr="0064271E">
        <w:rPr>
          <w:rFonts w:ascii="Verdana" w:hAnsi="Verdana"/>
          <w:sz w:val="20"/>
          <w:szCs w:val="20"/>
        </w:rPr>
        <w:t>, w szczególności odnośnie do usług wsparcia i usług gwarancyjnych. Rozbicie szczegółowe świadczeń w ramach poszczególnych usług ogranicza ryzyka po stronie wykonawcy.</w:t>
      </w:r>
    </w:p>
    <w:p w14:paraId="3BB0F2A4" w14:textId="40F1EA06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4271E">
        <w:rPr>
          <w:rFonts w:ascii="Verdana" w:hAnsi="Verdana"/>
          <w:sz w:val="20"/>
          <w:szCs w:val="20"/>
        </w:rPr>
        <w:t>Zamawiający dokonuje</w:t>
      </w:r>
      <w:r w:rsidR="00AA6C28" w:rsidRPr="0064271E">
        <w:rPr>
          <w:rFonts w:ascii="Verdana" w:hAnsi="Verdana"/>
          <w:sz w:val="20"/>
          <w:szCs w:val="20"/>
        </w:rPr>
        <w:t xml:space="preserve"> jednak</w:t>
      </w:r>
      <w:r w:rsidRPr="0064271E">
        <w:rPr>
          <w:rFonts w:ascii="Verdana" w:hAnsi="Verdana"/>
          <w:sz w:val="20"/>
          <w:szCs w:val="20"/>
        </w:rPr>
        <w:t xml:space="preserve"> zmiany </w:t>
      </w:r>
      <w:r w:rsidRPr="0064271E">
        <w:rPr>
          <w:rFonts w:ascii="Verdana" w:hAnsi="Verdana"/>
          <w:color w:val="000000"/>
          <w:sz w:val="20"/>
          <w:szCs w:val="20"/>
        </w:rPr>
        <w:t>§ 17 ust. 13 pkt 1) umowy w taki sposób, że w miejsce „5%” wpisuje się „20%”.</w:t>
      </w:r>
    </w:p>
    <w:p w14:paraId="6021BD32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>Pytanie numer 32:</w:t>
      </w:r>
    </w:p>
    <w:p w14:paraId="5D508BFB" w14:textId="77777777" w:rsidR="00CB4E12" w:rsidRPr="0064271E" w:rsidRDefault="00CB4E12" w:rsidP="00CB4E1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Dodatkowo zwracamy się z pytaniem czy dla szkoleń użytkowników możemy przyjąć że pojedyncza grupa szkolonych użytkowników będzie min. 20 osobowa. Czy możliwe będzie realizowanie w ciągu jednego dnia szkoleń dla 2 grup min. 20 osobowych? Czy możliwe będzie prowadzenie szkoleń dzień po dniu? </w:t>
      </w:r>
    </w:p>
    <w:p w14:paraId="76170801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>Pozytywna odpowiedź na to pytanie pozwoli Wykonawcy zoptymalizować koszty szkoleń.</w:t>
      </w:r>
    </w:p>
    <w:p w14:paraId="6C9AF6D0" w14:textId="2DD0688A" w:rsidR="00CB4E12" w:rsidRPr="0064271E" w:rsidRDefault="00CB4E12" w:rsidP="00CB4E12">
      <w:pPr>
        <w:spacing w:after="12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4271E">
        <w:rPr>
          <w:rFonts w:ascii="Verdana" w:hAnsi="Verdana" w:cs="Calibri"/>
          <w:b/>
          <w:bCs/>
          <w:color w:val="000000"/>
          <w:sz w:val="20"/>
          <w:szCs w:val="20"/>
        </w:rPr>
        <w:t>Odpowiedź Zamawiającego:</w:t>
      </w:r>
    </w:p>
    <w:p w14:paraId="2F474662" w14:textId="6618CDAC" w:rsidR="00CB4E12" w:rsidRPr="0064271E" w:rsidRDefault="00CB4E12" w:rsidP="00CB4E12">
      <w:pPr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>Zamawiający wskazuje, że w ramach szkolenia użytkowników Systemu (200 osób) należy przyjąć następujący podział i możliwości:</w:t>
      </w:r>
    </w:p>
    <w:p w14:paraId="38E4BAD2" w14:textId="34C2E821" w:rsidR="00CB4E12" w:rsidRPr="0064271E" w:rsidRDefault="00CB4E12" w:rsidP="00CB4E12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pracownicy administracyjni stanowiący około </w:t>
      </w:r>
      <w:r w:rsidR="00286E50">
        <w:rPr>
          <w:rFonts w:ascii="Verdana" w:hAnsi="Verdana" w:cs="Calibri"/>
          <w:color w:val="000000"/>
          <w:sz w:val="20"/>
          <w:szCs w:val="20"/>
        </w:rPr>
        <w:t>3</w:t>
      </w:r>
      <w:r w:rsidRPr="0064271E">
        <w:rPr>
          <w:rFonts w:ascii="Verdana" w:hAnsi="Verdana" w:cs="Calibri"/>
          <w:color w:val="000000"/>
          <w:sz w:val="20"/>
          <w:szCs w:val="20"/>
        </w:rPr>
        <w:t>0% liczby osób do przeszkolenia – grupy szkoleniowe do 10 osób</w:t>
      </w:r>
      <w:r w:rsidR="00AA6C28" w:rsidRPr="0064271E">
        <w:rPr>
          <w:rFonts w:ascii="Verdana" w:hAnsi="Verdana" w:cs="Calibri"/>
          <w:color w:val="000000"/>
          <w:sz w:val="20"/>
          <w:szCs w:val="20"/>
        </w:rPr>
        <w:t>,</w:t>
      </w:r>
    </w:p>
    <w:p w14:paraId="5D6FD996" w14:textId="7DB9AD55" w:rsidR="00CB4E12" w:rsidRPr="0064271E" w:rsidRDefault="00CB4E12" w:rsidP="00CB4E12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 xml:space="preserve">pracownicy zajmujący się opieką stanowiący około </w:t>
      </w:r>
      <w:r w:rsidR="00286E50">
        <w:rPr>
          <w:rFonts w:ascii="Verdana" w:hAnsi="Verdana" w:cs="Calibri"/>
          <w:color w:val="000000"/>
          <w:sz w:val="20"/>
          <w:szCs w:val="20"/>
        </w:rPr>
        <w:t>7</w:t>
      </w:r>
      <w:r w:rsidRPr="0064271E">
        <w:rPr>
          <w:rFonts w:ascii="Verdana" w:hAnsi="Verdana" w:cs="Calibri"/>
          <w:color w:val="000000"/>
          <w:sz w:val="20"/>
          <w:szCs w:val="20"/>
        </w:rPr>
        <w:t>0% liczb osób do przeszkolenia – grupy</w:t>
      </w:r>
      <w:r w:rsidR="00AA6C28" w:rsidRPr="0064271E">
        <w:rPr>
          <w:rFonts w:ascii="Verdana" w:hAnsi="Verdana" w:cs="Calibri"/>
          <w:color w:val="000000"/>
          <w:sz w:val="20"/>
          <w:szCs w:val="20"/>
        </w:rPr>
        <w:t xml:space="preserve"> szkoleniowe</w:t>
      </w:r>
      <w:r w:rsidRPr="0064271E">
        <w:rPr>
          <w:rFonts w:ascii="Verdana" w:hAnsi="Verdana" w:cs="Calibri"/>
          <w:color w:val="000000"/>
          <w:sz w:val="20"/>
          <w:szCs w:val="20"/>
        </w:rPr>
        <w:t xml:space="preserve"> do 20 osób</w:t>
      </w:r>
      <w:r w:rsidR="00AA6C28" w:rsidRPr="0064271E">
        <w:rPr>
          <w:rFonts w:ascii="Verdana" w:hAnsi="Verdana" w:cs="Calibri"/>
          <w:color w:val="000000"/>
          <w:sz w:val="20"/>
          <w:szCs w:val="20"/>
        </w:rPr>
        <w:t>.</w:t>
      </w:r>
    </w:p>
    <w:p w14:paraId="3C0B4374" w14:textId="77C5CE98" w:rsidR="00CB4E12" w:rsidRDefault="00CB4E12" w:rsidP="00CB4E12">
      <w:pPr>
        <w:spacing w:after="12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271E">
        <w:rPr>
          <w:rFonts w:ascii="Verdana" w:hAnsi="Verdana" w:cs="Calibri"/>
          <w:color w:val="000000"/>
          <w:sz w:val="20"/>
          <w:szCs w:val="20"/>
        </w:rPr>
        <w:t>Jednocześnie Zamawiający wskazuje, że możliwym jest przeprowadzenie kilku szkoleń jednego dnia lub dzień po dniu.</w:t>
      </w:r>
      <w:r w:rsidR="00286E50">
        <w:rPr>
          <w:rFonts w:ascii="Verdana" w:hAnsi="Verdana" w:cs="Calibri"/>
          <w:color w:val="000000"/>
          <w:sz w:val="20"/>
          <w:szCs w:val="20"/>
        </w:rPr>
        <w:t xml:space="preserve"> W uzasadnionych przypadkach za zgodą Zamawiającego dopuszcza się zwiększenie osób w grupie.</w:t>
      </w:r>
    </w:p>
    <w:p w14:paraId="3B57AA33" w14:textId="77777777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2D292FCF" w14:textId="3491F620" w:rsidR="00CB4E12" w:rsidRPr="0064271E" w:rsidRDefault="00CB4E12" w:rsidP="00CB4E12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>Jednocześnie dokonuje się zmiany terminu składania ofert oraz terminu związania ofertą w ten sposób, że w ust. X pkt 1 SWZ w miejsca „4 listopada 2021 r.  wpisuje się „8 listopada 2021 r.”, a w ust. IX pkt 6 SWZ w miejsce „27 stycznia 2022 r.” wpisuje się „</w:t>
      </w:r>
      <w:r w:rsidR="009C624B" w:rsidRPr="0064271E">
        <w:rPr>
          <w:rFonts w:ascii="Verdana" w:hAnsi="Verdana"/>
          <w:b/>
          <w:bCs/>
          <w:sz w:val="20"/>
          <w:szCs w:val="20"/>
        </w:rPr>
        <w:t>4 lutego</w:t>
      </w:r>
      <w:r w:rsidRPr="0064271E">
        <w:rPr>
          <w:rFonts w:ascii="Verdana" w:hAnsi="Verdana"/>
          <w:b/>
          <w:bCs/>
          <w:sz w:val="20"/>
          <w:szCs w:val="20"/>
        </w:rPr>
        <w:t xml:space="preserve"> 2022 r.”</w:t>
      </w:r>
    </w:p>
    <w:p w14:paraId="5E9BE677" w14:textId="1DE54FF4" w:rsidR="0064271E" w:rsidRPr="0064271E" w:rsidRDefault="0064271E" w:rsidP="00CB4E12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1390CA0" w14:textId="69BAA1D2" w:rsidR="0064271E" w:rsidRPr="0064271E" w:rsidRDefault="0064271E" w:rsidP="00CB4E12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>Zamawiający dokonuje również zmiany w:</w:t>
      </w:r>
    </w:p>
    <w:p w14:paraId="3B7ECFB4" w14:textId="0EB92702" w:rsidR="0064271E" w:rsidRPr="0064271E" w:rsidRDefault="0064271E" w:rsidP="0064271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 xml:space="preserve">ust. V pkt 2 SWZ nadając mu treść </w:t>
      </w:r>
      <w:r w:rsidRPr="0064271E">
        <w:rPr>
          <w:rFonts w:ascii="Verdana" w:hAnsi="Verdana"/>
          <w:sz w:val="20"/>
          <w:szCs w:val="20"/>
        </w:rPr>
        <w:t>„</w:t>
      </w:r>
      <w:r w:rsidRPr="0064271E">
        <w:rPr>
          <w:rFonts w:ascii="Verdana" w:hAnsi="Verdana" w:cs="Open Sans"/>
          <w:iCs/>
          <w:sz w:val="20"/>
          <w:szCs w:val="20"/>
        </w:rPr>
        <w:t>nie przekroczy 50% wynagrodzenia brutto za zamówienie podstawowe – 1 150 000,00 PLN”</w:t>
      </w:r>
    </w:p>
    <w:p w14:paraId="66A30881" w14:textId="57E8F22C" w:rsidR="0064271E" w:rsidRPr="0064271E" w:rsidRDefault="0064271E" w:rsidP="0064271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64271E">
        <w:rPr>
          <w:rFonts w:ascii="Verdana" w:hAnsi="Verdana"/>
          <w:b/>
          <w:bCs/>
          <w:sz w:val="20"/>
          <w:szCs w:val="20"/>
        </w:rPr>
        <w:t xml:space="preserve">ust. IX pkt 14 SWZ nadając mu treść </w:t>
      </w:r>
      <w:r w:rsidRPr="0064271E">
        <w:rPr>
          <w:rFonts w:ascii="Verdana" w:hAnsi="Verdana"/>
          <w:sz w:val="20"/>
          <w:szCs w:val="20"/>
        </w:rPr>
        <w:t>„</w:t>
      </w:r>
      <w:r w:rsidRPr="0064271E">
        <w:rPr>
          <w:rFonts w:ascii="Verdana" w:hAnsi="Verdana" w:cs="Open Sans"/>
          <w:sz w:val="20"/>
          <w:szCs w:val="20"/>
        </w:rPr>
        <w:t>Cena zaoferowana za zamówienie objęte opcją nie może przekraczać 50% ceny zamówienia podstawowego.”</w:t>
      </w:r>
    </w:p>
    <w:p w14:paraId="344107A1" w14:textId="6C748FC9" w:rsidR="0064271E" w:rsidRPr="0064271E" w:rsidRDefault="0064271E" w:rsidP="0064271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286E50">
        <w:rPr>
          <w:rFonts w:ascii="Verdana" w:hAnsi="Verdana"/>
          <w:b/>
          <w:bCs/>
          <w:sz w:val="20"/>
          <w:szCs w:val="20"/>
        </w:rPr>
        <w:t>ust. 3 zdanie pod tabelą załącznika nr 3 do SWZ (formularz)</w:t>
      </w:r>
      <w:r w:rsidRPr="0064271E">
        <w:rPr>
          <w:rFonts w:ascii="Verdana" w:hAnsi="Verdana"/>
          <w:sz w:val="20"/>
          <w:szCs w:val="20"/>
        </w:rPr>
        <w:t xml:space="preserve"> nadając mu treść „</w:t>
      </w:r>
      <w:r w:rsidRPr="0064271E">
        <w:rPr>
          <w:rFonts w:ascii="Verdana" w:hAnsi="Verdana" w:cstheme="minorHAnsi"/>
          <w:sz w:val="20"/>
          <w:szCs w:val="20"/>
        </w:rPr>
        <w:t>UWAGA! Cena za prawo opcji nie może przekroczyć 50% ceny za zamówienie podstawowe.”</w:t>
      </w:r>
    </w:p>
    <w:p w14:paraId="04786108" w14:textId="77EF7A4F" w:rsidR="0064271E" w:rsidRPr="0064271E" w:rsidRDefault="0064271E" w:rsidP="00286E50">
      <w:pPr>
        <w:pStyle w:val="Akapitzlist"/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sectPr w:rsidR="0064271E" w:rsidRPr="006427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BB5C" w14:textId="77777777" w:rsidR="00981E85" w:rsidRDefault="00981E85" w:rsidP="00E809E8">
      <w:pPr>
        <w:spacing w:after="0" w:line="240" w:lineRule="auto"/>
      </w:pPr>
      <w:r>
        <w:separator/>
      </w:r>
    </w:p>
  </w:endnote>
  <w:endnote w:type="continuationSeparator" w:id="0">
    <w:p w14:paraId="32649C46" w14:textId="77777777" w:rsidR="00981E85" w:rsidRDefault="00981E85" w:rsidP="00E8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323867"/>
      <w:docPartObj>
        <w:docPartGallery w:val="Page Numbers (Bottom of Page)"/>
        <w:docPartUnique/>
      </w:docPartObj>
    </w:sdtPr>
    <w:sdtEndPr/>
    <w:sdtContent>
      <w:p w14:paraId="011D2964" w14:textId="0EFF6D45" w:rsidR="00E809E8" w:rsidRDefault="00E809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4B3F6" w14:textId="77777777" w:rsidR="00E809E8" w:rsidRDefault="00E80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25EA" w14:textId="77777777" w:rsidR="00981E85" w:rsidRDefault="00981E85" w:rsidP="00E809E8">
      <w:pPr>
        <w:spacing w:after="0" w:line="240" w:lineRule="auto"/>
      </w:pPr>
      <w:r>
        <w:separator/>
      </w:r>
    </w:p>
  </w:footnote>
  <w:footnote w:type="continuationSeparator" w:id="0">
    <w:p w14:paraId="19635C23" w14:textId="77777777" w:rsidR="00981E85" w:rsidRDefault="00981E85" w:rsidP="00E8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A3E"/>
    <w:multiLevelType w:val="multilevel"/>
    <w:tmpl w:val="4A20144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bCs w:val="0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990453"/>
    <w:multiLevelType w:val="hybridMultilevel"/>
    <w:tmpl w:val="308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E5CC6"/>
    <w:multiLevelType w:val="hybridMultilevel"/>
    <w:tmpl w:val="B8AC5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12"/>
    <w:rsid w:val="00080EA5"/>
    <w:rsid w:val="00286E50"/>
    <w:rsid w:val="00427AF4"/>
    <w:rsid w:val="00541624"/>
    <w:rsid w:val="0064271E"/>
    <w:rsid w:val="006C0E45"/>
    <w:rsid w:val="00716062"/>
    <w:rsid w:val="007F6D93"/>
    <w:rsid w:val="008A7509"/>
    <w:rsid w:val="0097667F"/>
    <w:rsid w:val="00981E85"/>
    <w:rsid w:val="009C624B"/>
    <w:rsid w:val="00AA6C28"/>
    <w:rsid w:val="00BA0D83"/>
    <w:rsid w:val="00CB4E12"/>
    <w:rsid w:val="00D71663"/>
    <w:rsid w:val="00E809E8"/>
    <w:rsid w:val="00F17AD8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842E"/>
  <w15:chartTrackingRefBased/>
  <w15:docId w15:val="{A5A3CBB8-0F97-49F1-8316-8904149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B4E1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CB4E12"/>
  </w:style>
  <w:style w:type="paragraph" w:customStyle="1" w:styleId="Default">
    <w:name w:val="Default"/>
    <w:rsid w:val="00CB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ist Paragraph2,List Paragraph,Akapit z listą BS,Numerowanie,lp1,Preambuła,Nagłowek 3,L1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rsid w:val="00CB4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9E8"/>
  </w:style>
  <w:style w:type="paragraph" w:styleId="Stopka">
    <w:name w:val="footer"/>
    <w:basedOn w:val="Normalny"/>
    <w:link w:val="StopkaZnak"/>
    <w:uiPriority w:val="99"/>
    <w:unhideWhenUsed/>
    <w:rsid w:val="00E8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9E8"/>
  </w:style>
  <w:style w:type="character" w:customStyle="1" w:styleId="AkapitzlistZnak">
    <w:name w:val="Akapit z listą Znak"/>
    <w:aliases w:val="List Paragraph2 Znak,List Paragraph Znak,Akapit z listą BS Znak,Numerowanie Znak,lp1 Znak,Preambuła Znak,Nagłowek 3 Znak,L1 Znak,Kolorowa lista — akcent 11 Znak,Dot pt Znak,F5 List Paragraph Znak,Recommendation Znak,A_wyliczenie Znak"/>
    <w:link w:val="Akapitzlist"/>
    <w:uiPriority w:val="34"/>
    <w:qFormat/>
    <w:locked/>
    <w:rsid w:val="0064271E"/>
  </w:style>
  <w:style w:type="paragraph" w:styleId="NormalnyWeb">
    <w:name w:val="Normal (Web)"/>
    <w:basedOn w:val="Normalny"/>
    <w:uiPriority w:val="99"/>
    <w:semiHidden/>
    <w:unhideWhenUsed/>
    <w:rsid w:val="00286E5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upasienna@grupasien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GDS</cp:lastModifiedBy>
  <cp:revision>2</cp:revision>
  <dcterms:created xsi:type="dcterms:W3CDTF">2021-11-02T12:47:00Z</dcterms:created>
  <dcterms:modified xsi:type="dcterms:W3CDTF">2021-11-02T12:47:00Z</dcterms:modified>
</cp:coreProperties>
</file>