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AABC" w14:textId="77777777" w:rsidR="00E60934" w:rsidRDefault="00D067E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59AB0FB" w14:textId="77777777" w:rsidR="00E60934" w:rsidRDefault="00D067E7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„Adaptacja budynku przy ul. Mickiewicza w Nowym Tomyślu na Centrum Usług Wspólnych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</w:p>
    <w:p w14:paraId="2A84805A" w14:textId="77777777" w:rsidR="00E60934" w:rsidRDefault="00D067E7">
      <w:pPr>
        <w:pStyle w:val="Akapitzlist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14:paraId="383CB724" w14:textId="77777777" w:rsidR="00E60934" w:rsidRDefault="00E60934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C4AADA2" w14:textId="77777777" w:rsidR="00E60934" w:rsidRDefault="00D067E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27F3D341" w14:textId="77777777" w:rsidR="00E60934" w:rsidRDefault="00D067E7">
      <w:pPr>
        <w:pStyle w:val="Akapitzlist"/>
        <w:spacing w:line="276" w:lineRule="auto"/>
        <w:ind w:left="36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1. 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Adaptacja budynku przy ul. Mickiewicza w Nowym Tomyślu na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Centrum Usług Wspólnych</w:t>
      </w:r>
    </w:p>
    <w:p w14:paraId="4FFC2F51" w14:textId="77777777" w:rsidR="00E60934" w:rsidRDefault="00D067E7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18B013F0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roboty rozbiórkowe i przygotowawcze,</w:t>
      </w:r>
    </w:p>
    <w:p w14:paraId="35F9AC0A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ścian działowych,</w:t>
      </w:r>
    </w:p>
    <w:p w14:paraId="4649CAE8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termoizolację stropu wełna mineralną,</w:t>
      </w:r>
    </w:p>
    <w:p w14:paraId="17FA06DE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montaż nowych okien i drzwi,</w:t>
      </w:r>
    </w:p>
    <w:p w14:paraId="6DE62B4B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nowych tynków, okładzin, malowanie ścian,</w:t>
      </w:r>
    </w:p>
    <w:p w14:paraId="3217C260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sufitów podwieszanyc</w:t>
      </w:r>
      <w:r>
        <w:rPr>
          <w:rFonts w:ascii="Times New Roman" w:hAnsi="Times New Roman" w:cs="Times New Roman"/>
        </w:rPr>
        <w:t>h,</w:t>
      </w:r>
    </w:p>
    <w:p w14:paraId="5488A687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posadzek,</w:t>
      </w:r>
    </w:p>
    <w:p w14:paraId="19697817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częściowy remont elewacji,</w:t>
      </w:r>
    </w:p>
    <w:p w14:paraId="7E30C52C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instalacji elektrycznych i sanitarnych wraz ze sprawdzeniem ich poprawnego działania,</w:t>
      </w:r>
    </w:p>
    <w:p w14:paraId="30091961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ogrzewania elektrycznego i klimatyzacji,</w:t>
      </w:r>
    </w:p>
    <w:p w14:paraId="681F6365" w14:textId="77777777" w:rsidR="00E60934" w:rsidRDefault="00D067E7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wykonanie instalacji sieci LAN KAT 6 wraz z przyłączem światło</w:t>
      </w:r>
      <w:r>
        <w:rPr>
          <w:rFonts w:ascii="Times New Roman" w:hAnsi="Times New Roman" w:cs="Times New Roman"/>
        </w:rPr>
        <w:t>wodowym na potrzeby lokalizacji 12 stanowisk komputerowych w obiekcie wraz z wyposażeniem i uzbrojeniem serwerowni.</w:t>
      </w:r>
    </w:p>
    <w:p w14:paraId="17350CA2" w14:textId="77777777" w:rsidR="00E60934" w:rsidRDefault="00E60934">
      <w:pPr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69326EC0" w14:textId="77777777" w:rsidR="00E60934" w:rsidRDefault="00D067E7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 do: 30.09.2022r.</w:t>
      </w:r>
    </w:p>
    <w:p w14:paraId="4ECFBC07" w14:textId="77777777" w:rsidR="00E60934" w:rsidRDefault="00E60934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126D3130" w14:textId="77777777" w:rsidR="00E60934" w:rsidRDefault="00D067E7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zobowiązany jest </w:t>
      </w:r>
      <w:r>
        <w:rPr>
          <w:rFonts w:ascii="Times New Roman" w:hAnsi="Times New Roman" w:cs="Times New Roman"/>
        </w:rPr>
        <w:t>do przeprowadzenia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0204AD59" w14:textId="77777777" w:rsidR="00E60934" w:rsidRDefault="00E60934">
      <w:pPr>
        <w:spacing w:line="276" w:lineRule="auto"/>
        <w:jc w:val="both"/>
        <w:rPr>
          <w:rFonts w:ascii="Times New Roman" w:hAnsi="Times New Roman" w:cs="Times New Roman"/>
        </w:rPr>
      </w:pPr>
    </w:p>
    <w:p w14:paraId="087AD792" w14:textId="77777777" w:rsidR="00E60934" w:rsidRDefault="00D067E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</w:t>
      </w:r>
      <w:r>
        <w:rPr>
          <w:rFonts w:ascii="Times New Roman" w:hAnsi="Times New Roman" w:cs="Times New Roman"/>
        </w:rPr>
        <w:t xml:space="preserve">ca </w:t>
      </w:r>
      <w:bookmarkStart w:id="0" w:name="__DdeLink__62_1594010283"/>
      <w:r>
        <w:rPr>
          <w:rFonts w:ascii="Times New Roman" w:hAnsi="Times New Roman" w:cs="Times New Roman"/>
        </w:rPr>
        <w:t xml:space="preserve">zobowiązany jest </w:t>
      </w:r>
      <w:bookmarkEnd w:id="0"/>
      <w:r>
        <w:rPr>
          <w:rFonts w:ascii="Times New Roman" w:hAnsi="Times New Roman" w:cs="Times New Roman"/>
        </w:rPr>
        <w:t xml:space="preserve">do przeprowadzenia robót remontowych w zakresie punktów 1. - 10. na podstawie przedłożonej dokumentacji technicznej, natomiast w zakresie  punktu 11. dot. wykonania sieci LAN KAT 6 na podstawie rzutów pomieszczeń, przeprowadzonej wizji </w:t>
      </w:r>
      <w:r>
        <w:rPr>
          <w:rFonts w:ascii="Times New Roman" w:hAnsi="Times New Roman" w:cs="Times New Roman"/>
        </w:rPr>
        <w:t>lokalnej w obiekcie oraz wykonania uzgodnień z Zamawiającym.</w:t>
      </w:r>
    </w:p>
    <w:p w14:paraId="6BACC445" w14:textId="77777777" w:rsidR="00E60934" w:rsidRDefault="00E60934">
      <w:pPr>
        <w:spacing w:line="276" w:lineRule="auto"/>
        <w:jc w:val="both"/>
        <w:rPr>
          <w:rFonts w:ascii="Times New Roman" w:hAnsi="Times New Roman" w:cs="Times New Roman"/>
        </w:rPr>
      </w:pPr>
    </w:p>
    <w:p w14:paraId="5DF27FCB" w14:textId="77777777" w:rsidR="00E60934" w:rsidRDefault="00E60934">
      <w:pPr>
        <w:spacing w:line="276" w:lineRule="auto"/>
        <w:jc w:val="both"/>
        <w:rPr>
          <w:rFonts w:ascii="Times New Roman" w:hAnsi="Times New Roman" w:cs="Times New Roman"/>
        </w:rPr>
      </w:pPr>
    </w:p>
    <w:p w14:paraId="3B1D7FAA" w14:textId="77777777" w:rsidR="00E60934" w:rsidRDefault="00E60934">
      <w:pPr>
        <w:spacing w:after="160" w:line="276" w:lineRule="auto"/>
        <w:rPr>
          <w:rFonts w:hint="eastAsia"/>
        </w:rPr>
      </w:pPr>
    </w:p>
    <w:sectPr w:rsidR="00E609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8E"/>
    <w:multiLevelType w:val="multilevel"/>
    <w:tmpl w:val="1D826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5B090E"/>
    <w:multiLevelType w:val="multilevel"/>
    <w:tmpl w:val="385EF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E93120B"/>
    <w:multiLevelType w:val="multilevel"/>
    <w:tmpl w:val="C55A9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6AFE5D45"/>
    <w:multiLevelType w:val="multilevel"/>
    <w:tmpl w:val="CA0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31513775">
    <w:abstractNumId w:val="3"/>
  </w:num>
  <w:num w:numId="2" w16cid:durableId="484590080">
    <w:abstractNumId w:val="1"/>
  </w:num>
  <w:num w:numId="3" w16cid:durableId="1602489435">
    <w:abstractNumId w:val="2"/>
  </w:num>
  <w:num w:numId="4" w16cid:durableId="60037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34"/>
    <w:rsid w:val="00D067E7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EF9"/>
  <w15:docId w15:val="{1C845656-BE71-432C-B487-3B8517C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 Partners</cp:lastModifiedBy>
  <cp:revision>2</cp:revision>
  <cp:lastPrinted>2022-05-31T08:37:00Z</cp:lastPrinted>
  <dcterms:created xsi:type="dcterms:W3CDTF">2022-06-01T13:29:00Z</dcterms:created>
  <dcterms:modified xsi:type="dcterms:W3CDTF">2022-06-01T13:29:00Z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