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0127C070" w14:textId="77777777" w:rsidR="00B4639D" w:rsidRDefault="00B4639D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73AE4F5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7C26FC0" w:rsidR="005B5871" w:rsidRPr="00E054BA" w:rsidRDefault="00E81D74" w:rsidP="00C662F4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B23AD9" w:rsidRPr="00B23AD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C7705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mównic drewnian</w:t>
            </w:r>
            <w:r w:rsidR="00581C3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F9F4DE9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C7705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94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B73C1A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CF322D1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3CA753CA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5A095E27" w:rsidR="00E054BA" w:rsidRDefault="007C2CCC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</w:t>
      </w:r>
      <w:r w:rsidR="00735D70">
        <w:rPr>
          <w:rFonts w:eastAsia="Calibri" w:cs="Arial"/>
          <w:color w:val="222A35" w:themeColor="text2" w:themeShade="80"/>
          <w:lang w:eastAsia="pl-PL"/>
        </w:rPr>
        <w:t>gr Agnieszka Maj</w:t>
      </w:r>
    </w:p>
    <w:p w14:paraId="346DE040" w14:textId="15A5A15F" w:rsidR="007C2CCC" w:rsidRDefault="007C2CCC" w:rsidP="007C2CCC">
      <w:pPr>
        <w:spacing w:before="40" w:after="40" w:line="240" w:lineRule="auto"/>
        <w:ind w:left="6946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ds. Inwestycji </w:t>
      </w:r>
      <w:r>
        <w:rPr>
          <w:rFonts w:eastAsia="Calibri" w:cs="Arial"/>
          <w:color w:val="222A35" w:themeColor="text2" w:themeShade="80"/>
          <w:lang w:eastAsia="pl-PL"/>
        </w:rPr>
        <w:br/>
        <w:t>i Zarządzania Logistycznego</w:t>
      </w:r>
    </w:p>
    <w:p w14:paraId="0E2C7EC0" w14:textId="77777777" w:rsidR="007C2CCC" w:rsidRDefault="007C2CCC" w:rsidP="007C2CCC">
      <w:pPr>
        <w:spacing w:before="40" w:after="40" w:line="240" w:lineRule="auto"/>
        <w:ind w:left="6946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B7A76B4" w14:textId="77777777" w:rsidR="007C2CCC" w:rsidRDefault="007C2CCC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45E218F" w14:textId="77777777" w:rsidR="007C2CCC" w:rsidRDefault="007C2CCC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8EC455D" w14:textId="77777777" w:rsidR="007C2CCC" w:rsidRDefault="007C2CCC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AAA2C78" w14:textId="77777777" w:rsidR="007C2CCC" w:rsidRDefault="007C2CCC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CB17BE6" w14:textId="77777777" w:rsidR="007C2CCC" w:rsidRDefault="007C2CCC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1A3E098" w14:textId="77777777" w:rsidR="007C2CCC" w:rsidRDefault="007C2CCC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C1FE899" w14:textId="0FEAE6C6" w:rsidR="009C57E1" w:rsidRDefault="00C7705D" w:rsidP="00B23AD9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Katowice, listopad 2023 r.</w:t>
      </w:r>
    </w:p>
    <w:p w14:paraId="1C1FF09C" w14:textId="77777777" w:rsidR="007C2CCC" w:rsidRDefault="007C2CCC">
      <w:pPr>
        <w:rPr>
          <w:rFonts w:cs="Arial"/>
          <w:b/>
          <w:color w:val="222A35" w:themeColor="text2" w:themeShade="80"/>
          <w:sz w:val="22"/>
        </w:rPr>
      </w:pPr>
      <w:r>
        <w:rPr>
          <w:rFonts w:cs="Arial"/>
          <w:b/>
          <w:color w:val="222A35" w:themeColor="text2" w:themeShade="80"/>
          <w:sz w:val="22"/>
        </w:rPr>
        <w:br w:type="page"/>
      </w:r>
    </w:p>
    <w:p w14:paraId="60EADCB7" w14:textId="5C0738EE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7F1569A1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1FB5EE97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7F36E210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3D7BAE0C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00F040FC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535FD057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2CBE4CAD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11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085882F7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11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40929241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15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2328B5FD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35077AC2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5C4D2923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2877F2BE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7803B7B4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67715650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32BE44B8" w:rsidR="005975F7" w:rsidRPr="005975F7" w:rsidRDefault="00735D7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1876">
          <w:rPr>
            <w:rFonts w:ascii="Bahnschrift" w:hAnsi="Bahnschrift"/>
            <w:noProof/>
            <w:webHidden/>
            <w:sz w:val="20"/>
          </w:rPr>
          <w:t>27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9A326B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33285B5B" w:rsidR="00F85C46" w:rsidRPr="00FB1D1B" w:rsidRDefault="00F85C46" w:rsidP="00E1454C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66169485"/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0BA135B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300C65">
        <w:rPr>
          <w:rFonts w:eastAsia="Calibri"/>
        </w:rPr>
        <w:t>202</w:t>
      </w:r>
      <w:r w:rsidR="00B4639D">
        <w:rPr>
          <w:rFonts w:eastAsia="Calibri"/>
        </w:rPr>
        <w:t>3</w:t>
      </w:r>
      <w:r w:rsidRPr="005A39C3">
        <w:rPr>
          <w:rFonts w:eastAsia="Calibri"/>
        </w:rPr>
        <w:t xml:space="preserve"> r. poz. </w:t>
      </w:r>
      <w:r w:rsidR="00B4639D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>. zm.) zwana dalej „ustawą Pzp” wraz z akta</w:t>
      </w:r>
      <w:r w:rsidR="00722392" w:rsidRPr="005A39C3">
        <w:rPr>
          <w:rFonts w:eastAsia="Calibri"/>
        </w:rPr>
        <w:t>mi wykonawczymi do tejże ustawy;</w:t>
      </w:r>
    </w:p>
    <w:p w14:paraId="56AF95C0" w14:textId="0155318A" w:rsidR="00890F72" w:rsidRDefault="00E81D74" w:rsidP="00772CB2">
      <w:pPr>
        <w:pStyle w:val="Nagwek3"/>
        <w:ind w:left="851"/>
        <w:rPr>
          <w:rFonts w:eastAsia="Calibri"/>
        </w:rPr>
      </w:pPr>
      <w:r w:rsidRPr="009602EF">
        <w:t>Postępowanie dotyczy</w:t>
      </w:r>
      <w:r w:rsidR="00384DA3" w:rsidRPr="009602EF">
        <w:t xml:space="preserve"> zamówienia</w:t>
      </w:r>
      <w:r w:rsidRPr="009602EF">
        <w:t xml:space="preserve"> o wartości poniżej</w:t>
      </w:r>
      <w:r w:rsidR="00891B36" w:rsidRPr="009602EF">
        <w:t xml:space="preserve"> progu unijnego (poniżej</w:t>
      </w:r>
      <w:r w:rsidR="00384DA3" w:rsidRPr="009602EF">
        <w:t xml:space="preserve"> 21</w:t>
      </w:r>
      <w:r w:rsidR="00B23AD9" w:rsidRPr="009602EF">
        <w:t>5</w:t>
      </w:r>
      <w:r w:rsidR="00384DA3" w:rsidRPr="009602EF">
        <w:t> 000 euro)</w:t>
      </w:r>
      <w:r w:rsidRPr="009602EF">
        <w:rPr>
          <w:rFonts w:eastAsia="Calibri"/>
        </w:rPr>
        <w:t xml:space="preserve"> i jest prowadzone </w:t>
      </w:r>
      <w:r w:rsidR="00772CB2" w:rsidRPr="009602EF">
        <w:rPr>
          <w:rFonts w:eastAsia="Calibri"/>
          <w:szCs w:val="20"/>
        </w:rPr>
        <w:t xml:space="preserve">zgodnie z przepisem art. 30 ust. 4 ustawy </w:t>
      </w:r>
      <w:proofErr w:type="spellStart"/>
      <w:r w:rsidR="00772CB2" w:rsidRPr="009602EF">
        <w:rPr>
          <w:rFonts w:eastAsia="Calibri"/>
          <w:szCs w:val="20"/>
        </w:rPr>
        <w:t>Pzp</w:t>
      </w:r>
      <w:proofErr w:type="spellEnd"/>
      <w:r w:rsidR="00772CB2" w:rsidRPr="009602EF">
        <w:rPr>
          <w:rFonts w:eastAsia="Calibri"/>
          <w:szCs w:val="20"/>
        </w:rPr>
        <w:t xml:space="preserve"> </w:t>
      </w:r>
      <w:r w:rsidRPr="009602EF">
        <w:rPr>
          <w:rFonts w:eastAsia="Calibri"/>
        </w:rPr>
        <w:t>w trybie podstawowym bez negocjacji w rozumieniu art. 275 pkt 1 ustawy Pzp (wariant I)</w:t>
      </w:r>
      <w:r w:rsidR="00264155" w:rsidRPr="009602EF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264155" w:rsidRPr="009602EF">
        <w:rPr>
          <w:rFonts w:eastAsia="Calibri"/>
        </w:rPr>
        <w:t>Pzp</w:t>
      </w:r>
      <w:proofErr w:type="spellEnd"/>
      <w:r w:rsidRPr="009602EF">
        <w:rPr>
          <w:rFonts w:eastAsia="Calibri"/>
        </w:rPr>
        <w:t>.</w:t>
      </w:r>
    </w:p>
    <w:p w14:paraId="6D2D8C26" w14:textId="77777777" w:rsidR="00C7705D" w:rsidRPr="00F813B7" w:rsidRDefault="00C7705D" w:rsidP="00C7705D">
      <w:pPr>
        <w:pStyle w:val="Nagwek3"/>
        <w:ind w:left="851"/>
      </w:pPr>
      <w:r w:rsidRPr="00F813B7">
        <w:t>Przedmiot zamówienia jest realizowany w ramach projektu pt.</w:t>
      </w:r>
      <w:r>
        <w:t>:</w:t>
      </w:r>
      <w:r w:rsidRPr="00F813B7">
        <w:t xml:space="preserve"> </w:t>
      </w:r>
      <w:bookmarkStart w:id="6" w:name="_Hlk143604833"/>
      <w:r w:rsidRPr="00F813B7">
        <w:rPr>
          <w:b/>
        </w:rPr>
        <w:t>„</w:t>
      </w:r>
      <w:proofErr w:type="spellStart"/>
      <w:r w:rsidRPr="00F813B7">
        <w:rPr>
          <w:b/>
        </w:rPr>
        <w:t>SPINplace</w:t>
      </w:r>
      <w:proofErr w:type="spellEnd"/>
      <w:r w:rsidRPr="00F813B7">
        <w:rPr>
          <w:b/>
        </w:rPr>
        <w:t xml:space="preserve"> – centrum kreatywności i coworkingu”</w:t>
      </w:r>
      <w:r w:rsidRPr="00F813B7">
        <w:t>, współfinansowanego przez Unię Europejską w ramach Regionalnego Programu Województwa Śląskiego na lata 2014-2020 (Europejskiego Funduszu Rozwoju Regionalnego), oś priorytetowa I. „Nowoczesna gospodarka”, działanie: 1.4 „Wsparcie ekosystemu innowacji”, poddziałanie 1.4.2 „Wsparcie regionalnych oraz lokalnych centrów kreatywności i innowacji”; nr umowy o dofinansowanie: UDA-RPSL.01.04.02-24-02G4/19-00.</w:t>
      </w:r>
    </w:p>
    <w:bookmarkEnd w:id="6"/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CD7EDD9" w14:textId="063CC413" w:rsidR="005A39C3" w:rsidRPr="000B6757" w:rsidRDefault="00F85C46" w:rsidP="004E4865">
      <w:pPr>
        <w:pStyle w:val="Nagwek3"/>
        <w:numPr>
          <w:ilvl w:val="0"/>
          <w:numId w:val="45"/>
        </w:numPr>
        <w:ind w:left="851" w:hanging="284"/>
        <w:rPr>
          <w:rFonts w:eastAsia="Calibri"/>
          <w:b/>
        </w:rPr>
      </w:pPr>
      <w:r w:rsidRPr="00382315">
        <w:rPr>
          <w:lang w:eastAsia="pl-PL"/>
        </w:rPr>
        <w:t xml:space="preserve">Nazwa zamówienia nadana przez Zamawiającego: </w:t>
      </w:r>
      <w:bookmarkStart w:id="7" w:name="_Hlk65743392"/>
      <w:r w:rsidRPr="00863BE1">
        <w:rPr>
          <w:b/>
          <w:lang w:eastAsia="pl-PL"/>
        </w:rPr>
        <w:t>„</w:t>
      </w:r>
      <w:bookmarkStart w:id="8" w:name="_Hlk110507629"/>
      <w:r w:rsidR="000B6757" w:rsidRPr="000B6757">
        <w:rPr>
          <w:rFonts w:eastAsia="Calibri"/>
          <w:b/>
        </w:rPr>
        <w:t xml:space="preserve">Dostawa </w:t>
      </w:r>
      <w:bookmarkEnd w:id="8"/>
      <w:r w:rsidR="00581C32">
        <w:rPr>
          <w:rFonts w:eastAsia="Calibri"/>
          <w:b/>
        </w:rPr>
        <w:t>mównicy drewnianej</w:t>
      </w:r>
      <w:r w:rsidR="00946D2D" w:rsidRPr="000B6757">
        <w:rPr>
          <w:rFonts w:eastAsia="Calibri"/>
          <w:b/>
        </w:rPr>
        <w:t>”</w:t>
      </w:r>
      <w:bookmarkEnd w:id="7"/>
      <w:r w:rsidR="00B23AD9">
        <w:rPr>
          <w:rFonts w:eastAsia="Calibri"/>
          <w:b/>
        </w:rPr>
        <w:t>.</w:t>
      </w:r>
    </w:p>
    <w:p w14:paraId="161D163C" w14:textId="4B6E044E" w:rsidR="00B73C1A" w:rsidRDefault="00F85C46" w:rsidP="004E4865">
      <w:pPr>
        <w:pStyle w:val="Nagwek3"/>
        <w:numPr>
          <w:ilvl w:val="0"/>
          <w:numId w:val="45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581C32">
        <w:rPr>
          <w:b/>
        </w:rPr>
        <w:t>94</w:t>
      </w:r>
      <w:r w:rsidR="008162AF">
        <w:rPr>
          <w:b/>
        </w:rPr>
        <w:t>.2023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9" w:name="_Toc375581633"/>
      <w:bookmarkStart w:id="10" w:name="_Toc375581815"/>
      <w:bookmarkStart w:id="11" w:name="_Toc375582132"/>
      <w:bookmarkStart w:id="12" w:name="_Toc66169486"/>
      <w:r w:rsidRPr="00AF7FE4">
        <w:lastRenderedPageBreak/>
        <w:t>Przedmiot zamówienia. Termin oraz pozostałe warunki realizacji zamówienia.</w:t>
      </w:r>
      <w:bookmarkEnd w:id="9"/>
      <w:bookmarkEnd w:id="10"/>
      <w:bookmarkEnd w:id="11"/>
      <w:bookmarkEnd w:id="12"/>
    </w:p>
    <w:p w14:paraId="06832101" w14:textId="77777777" w:rsidR="00C354C4" w:rsidRPr="00C95D35" w:rsidRDefault="00C354C4" w:rsidP="004E4865">
      <w:pPr>
        <w:pStyle w:val="Nagwek2"/>
        <w:numPr>
          <w:ilvl w:val="0"/>
          <w:numId w:val="8"/>
        </w:numPr>
        <w:ind w:left="567" w:hanging="283"/>
        <w:rPr>
          <w:color w:val="auto"/>
        </w:rPr>
      </w:pPr>
      <w:bookmarkStart w:id="13" w:name="_Toc62396889"/>
      <w:bookmarkStart w:id="14" w:name="_Toc66169487"/>
      <w:r w:rsidRPr="00C95D35">
        <w:rPr>
          <w:color w:val="auto"/>
        </w:rPr>
        <w:t>Przedmiot zamówienia.</w:t>
      </w:r>
    </w:p>
    <w:p w14:paraId="6F95D82F" w14:textId="30C9F898" w:rsidR="00C354C4" w:rsidRPr="00455C64" w:rsidRDefault="00C354C4" w:rsidP="004E4865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581C32">
        <w:rPr>
          <w:rFonts w:eastAsia="Times New Roman" w:cs="Arial"/>
          <w:b/>
          <w:bCs/>
          <w:szCs w:val="20"/>
          <w:lang w:eastAsia="pl-PL"/>
        </w:rPr>
        <w:t>mównic drewnianych (2 szt.)</w:t>
      </w:r>
      <w:r w:rsidR="00B73C1A">
        <w:rPr>
          <w:rFonts w:eastAsia="Times New Roman" w:cs="Arial"/>
          <w:b/>
          <w:bCs/>
          <w:szCs w:val="20"/>
          <w:lang w:eastAsia="pl-PL"/>
        </w:rPr>
        <w:t xml:space="preserve">, </w:t>
      </w:r>
      <w:r w:rsidR="00B73C1A" w:rsidRPr="00B73C1A">
        <w:rPr>
          <w:rFonts w:eastAsia="Times New Roman" w:cs="Arial"/>
          <w:bCs/>
          <w:szCs w:val="20"/>
          <w:lang w:eastAsia="pl-PL"/>
        </w:rPr>
        <w:t>spełniając</w:t>
      </w:r>
      <w:r w:rsidR="00581C32">
        <w:rPr>
          <w:rFonts w:eastAsia="Times New Roman" w:cs="Arial"/>
          <w:bCs/>
          <w:szCs w:val="20"/>
          <w:lang w:eastAsia="pl-PL"/>
        </w:rPr>
        <w:t>ych</w:t>
      </w:r>
      <w:r w:rsidR="00B73C1A" w:rsidRPr="00B73C1A">
        <w:rPr>
          <w:rFonts w:eastAsia="Times New Roman" w:cs="Arial"/>
          <w:bCs/>
          <w:szCs w:val="20"/>
          <w:lang w:eastAsia="pl-PL"/>
        </w:rPr>
        <w:t xml:space="preserve"> wymagania określone</w:t>
      </w:r>
      <w:r w:rsidRPr="00B73C1A">
        <w:rPr>
          <w:rFonts w:eastAsia="Times New Roman" w:cs="Arial"/>
          <w:bCs/>
          <w:szCs w:val="20"/>
          <w:lang w:eastAsia="pl-PL"/>
        </w:rPr>
        <w:t xml:space="preserve"> w załączniku nr 2 do</w:t>
      </w:r>
      <w:r w:rsidR="00B73C1A"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 xml:space="preserve">SWZ, </w:t>
      </w:r>
      <w:r>
        <w:rPr>
          <w:rFonts w:eastAsia="Times New Roman" w:cs="Arial"/>
          <w:bCs/>
          <w:szCs w:val="20"/>
          <w:lang w:eastAsia="pl-PL"/>
        </w:rPr>
        <w:t>zwan</w:t>
      </w:r>
      <w:r w:rsidR="00581C32">
        <w:rPr>
          <w:rFonts w:eastAsia="Times New Roman" w:cs="Arial"/>
          <w:bCs/>
          <w:szCs w:val="20"/>
          <w:lang w:eastAsia="pl-PL"/>
        </w:rPr>
        <w:t>ych</w:t>
      </w:r>
      <w:r>
        <w:rPr>
          <w:rFonts w:eastAsia="Times New Roman" w:cs="Arial"/>
          <w:bCs/>
          <w:szCs w:val="20"/>
          <w:lang w:eastAsia="pl-PL"/>
        </w:rPr>
        <w:t xml:space="preserve"> dalej „</w:t>
      </w:r>
      <w:r w:rsidR="00772CB2">
        <w:rPr>
          <w:rFonts w:eastAsia="Times New Roman" w:cs="Arial"/>
          <w:bCs/>
          <w:szCs w:val="20"/>
          <w:lang w:eastAsia="pl-PL"/>
        </w:rPr>
        <w:t>meblami</w:t>
      </w:r>
      <w:r w:rsidR="007317D6">
        <w:rPr>
          <w:rFonts w:eastAsia="Times New Roman" w:cs="Arial"/>
          <w:bCs/>
          <w:szCs w:val="20"/>
          <w:lang w:eastAsia="pl-PL"/>
        </w:rPr>
        <w:t>”.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="00300C65">
        <w:rPr>
          <w:rFonts w:eastAsia="Times New Roman" w:cs="Arial"/>
          <w:bCs/>
          <w:szCs w:val="20"/>
          <w:lang w:eastAsia="pl-PL"/>
        </w:rPr>
        <w:t>Przedmiot zamówienia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 w:rsidR="00300C65">
        <w:rPr>
          <w:rFonts w:eastAsia="Times New Roman" w:cs="Arial"/>
          <w:bCs/>
          <w:szCs w:val="20"/>
          <w:lang w:eastAsia="pl-PL"/>
        </w:rPr>
        <w:t>winien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r w:rsidR="00300C65">
        <w:rPr>
          <w:szCs w:val="20"/>
        </w:rPr>
        <w:t>fabrycznie nowy</w:t>
      </w:r>
      <w:r w:rsidR="00A332D9">
        <w:rPr>
          <w:szCs w:val="20"/>
        </w:rPr>
        <w:t>, pochodzić z</w:t>
      </w:r>
      <w:r w:rsidR="00172DAE">
        <w:rPr>
          <w:szCs w:val="20"/>
        </w:rPr>
        <w:t> </w:t>
      </w:r>
      <w:r w:rsidR="00A332D9">
        <w:rPr>
          <w:szCs w:val="20"/>
        </w:rPr>
        <w:t>bieżącej produkcji (</w:t>
      </w:r>
      <w:r w:rsidR="007317D6">
        <w:rPr>
          <w:szCs w:val="20"/>
        </w:rPr>
        <w:t>tj.</w:t>
      </w:r>
      <w:r w:rsidR="00C23548">
        <w:rPr>
          <w:szCs w:val="20"/>
        </w:rPr>
        <w:t> </w:t>
      </w:r>
      <w:r w:rsidR="00772CB2">
        <w:rPr>
          <w:szCs w:val="20"/>
        </w:rPr>
        <w:t xml:space="preserve">rok produkcji </w:t>
      </w:r>
      <w:r w:rsidR="00B4639D">
        <w:rPr>
          <w:szCs w:val="20"/>
        </w:rPr>
        <w:t xml:space="preserve">min. </w:t>
      </w:r>
      <w:r w:rsidR="00772CB2">
        <w:rPr>
          <w:szCs w:val="20"/>
        </w:rPr>
        <w:t>202</w:t>
      </w:r>
      <w:r w:rsidR="00581C32">
        <w:rPr>
          <w:szCs w:val="20"/>
        </w:rPr>
        <w:t>2</w:t>
      </w:r>
      <w:r w:rsidR="00A332D9">
        <w:rPr>
          <w:szCs w:val="20"/>
        </w:rPr>
        <w:t>), posiadać stosowne certyfikaty</w:t>
      </w:r>
      <w:r w:rsidR="007317D6">
        <w:rPr>
          <w:szCs w:val="20"/>
        </w:rPr>
        <w:t xml:space="preserve"> i aprobaty</w:t>
      </w:r>
      <w:r w:rsidR="00A332D9">
        <w:rPr>
          <w:szCs w:val="20"/>
        </w:rPr>
        <w:t xml:space="preserve"> dopuszczające do</w:t>
      </w:r>
      <w:r w:rsidR="00070309">
        <w:rPr>
          <w:szCs w:val="20"/>
        </w:rPr>
        <w:t> </w:t>
      </w:r>
      <w:r w:rsidR="00A332D9">
        <w:rPr>
          <w:szCs w:val="20"/>
        </w:rPr>
        <w:t>sprzedaży i użytkowania na terenie RP</w:t>
      </w:r>
      <w:r w:rsidRPr="00455C64">
        <w:rPr>
          <w:rFonts w:eastAsia="Times New Roman" w:cs="Arial"/>
          <w:bCs/>
          <w:szCs w:val="20"/>
          <w:lang w:eastAsia="pl-PL"/>
        </w:rPr>
        <w:t xml:space="preserve">. </w:t>
      </w:r>
    </w:p>
    <w:p w14:paraId="6D841E87" w14:textId="3FB6568C" w:rsidR="007317D6" w:rsidRPr="00772CB2" w:rsidRDefault="00C354C4" w:rsidP="004E4865">
      <w:pPr>
        <w:numPr>
          <w:ilvl w:val="0"/>
          <w:numId w:val="9"/>
        </w:numPr>
        <w:spacing w:before="60" w:line="324" w:lineRule="auto"/>
        <w:ind w:left="851" w:hanging="284"/>
        <w:rPr>
          <w:rFonts w:cs="Arial"/>
          <w:bCs/>
          <w:szCs w:val="20"/>
          <w:lang w:eastAsia="pl-PL"/>
        </w:rPr>
      </w:pPr>
      <w:r w:rsidRPr="00455C64">
        <w:rPr>
          <w:rFonts w:eastAsia="Times New Roman" w:cs="Arial"/>
          <w:b/>
          <w:bCs/>
          <w:szCs w:val="20"/>
          <w:lang w:eastAsia="pl-PL"/>
        </w:rPr>
        <w:t>Z</w:t>
      </w:r>
      <w:r w:rsidRPr="00772CB2">
        <w:rPr>
          <w:rFonts w:eastAsia="Times New Roman" w:cs="Arial"/>
          <w:b/>
          <w:bCs/>
          <w:szCs w:val="20"/>
          <w:lang w:eastAsia="pl-PL"/>
        </w:rPr>
        <w:t>akres zamówienia obejmuje:</w:t>
      </w:r>
      <w:r w:rsidRPr="00772CB2">
        <w:rPr>
          <w:rFonts w:eastAsia="Times New Roman" w:cs="Arial"/>
          <w:bCs/>
          <w:szCs w:val="20"/>
          <w:lang w:eastAsia="pl-PL"/>
        </w:rPr>
        <w:t xml:space="preserve"> zakup </w:t>
      </w:r>
      <w:r w:rsidR="00772CB2" w:rsidRPr="00772CB2">
        <w:rPr>
          <w:rFonts w:eastAsia="Times New Roman" w:cs="Arial"/>
          <w:bCs/>
          <w:szCs w:val="20"/>
          <w:lang w:eastAsia="pl-PL"/>
        </w:rPr>
        <w:t>mebli</w:t>
      </w:r>
      <w:r w:rsidR="007317D6" w:rsidRPr="00772CB2">
        <w:rPr>
          <w:rFonts w:eastAsia="Times New Roman" w:cs="Arial"/>
          <w:bCs/>
          <w:szCs w:val="20"/>
          <w:lang w:eastAsia="pl-PL"/>
        </w:rPr>
        <w:t xml:space="preserve"> </w:t>
      </w:r>
      <w:r w:rsidR="00A332D9" w:rsidRPr="00772CB2">
        <w:rPr>
          <w:bCs/>
          <w:szCs w:val="20"/>
        </w:rPr>
        <w:t xml:space="preserve">wraz z </w:t>
      </w:r>
      <w:r w:rsidR="00E47E57" w:rsidRPr="00772CB2">
        <w:rPr>
          <w:bCs/>
          <w:szCs w:val="20"/>
        </w:rPr>
        <w:t xml:space="preserve">transportem, </w:t>
      </w:r>
      <w:r w:rsidR="00A332D9" w:rsidRPr="00772CB2">
        <w:rPr>
          <w:bCs/>
          <w:szCs w:val="20"/>
        </w:rPr>
        <w:t>dostarczeniem</w:t>
      </w:r>
      <w:r w:rsidR="00E47E57" w:rsidRPr="00772CB2">
        <w:rPr>
          <w:bCs/>
          <w:szCs w:val="20"/>
        </w:rPr>
        <w:t xml:space="preserve">, </w:t>
      </w:r>
      <w:r w:rsidR="00A332D9" w:rsidRPr="00772CB2">
        <w:rPr>
          <w:bCs/>
          <w:szCs w:val="20"/>
        </w:rPr>
        <w:t>wniesieniem</w:t>
      </w:r>
      <w:r w:rsidR="000504A1">
        <w:rPr>
          <w:bCs/>
          <w:szCs w:val="20"/>
        </w:rPr>
        <w:t xml:space="preserve">, </w:t>
      </w:r>
      <w:r w:rsidR="00E47E57" w:rsidRPr="00772CB2">
        <w:rPr>
          <w:bCs/>
          <w:szCs w:val="20"/>
        </w:rPr>
        <w:t xml:space="preserve"> rozładunkiem </w:t>
      </w:r>
      <w:r w:rsidR="00A332D9" w:rsidRPr="00772CB2">
        <w:rPr>
          <w:bCs/>
          <w:szCs w:val="20"/>
        </w:rPr>
        <w:t xml:space="preserve">do </w:t>
      </w:r>
      <w:r w:rsidR="00C23548" w:rsidRPr="00772CB2">
        <w:rPr>
          <w:bCs/>
          <w:szCs w:val="20"/>
        </w:rPr>
        <w:t>pomieszczeń</w:t>
      </w:r>
      <w:r w:rsidR="007317D6" w:rsidRPr="00772CB2">
        <w:rPr>
          <w:bCs/>
          <w:szCs w:val="20"/>
        </w:rPr>
        <w:t xml:space="preserve"> Zamawiającego</w:t>
      </w:r>
      <w:r w:rsidR="000504A1">
        <w:rPr>
          <w:bCs/>
          <w:szCs w:val="20"/>
        </w:rPr>
        <w:t xml:space="preserve"> oraz montażem. </w:t>
      </w:r>
      <w:r w:rsidR="000504A1" w:rsidRPr="00077DB4">
        <w:t xml:space="preserve">Przez montaż należy rozumieć instalację kompletnych i gotowych do użycia </w:t>
      </w:r>
      <w:r w:rsidR="00122898">
        <w:t>m</w:t>
      </w:r>
      <w:r w:rsidR="000504A1" w:rsidRPr="00077DB4">
        <w:t>ebli oraz ich wypoziomowanie</w:t>
      </w:r>
      <w:r w:rsidR="000504A1">
        <w:t>.</w:t>
      </w:r>
    </w:p>
    <w:p w14:paraId="507368B7" w14:textId="05A2766D" w:rsidR="00C354C4" w:rsidRPr="007317D6" w:rsidRDefault="00C354C4" w:rsidP="004E4865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t>Rodzaj zamówienia: dostawa;</w:t>
      </w:r>
    </w:p>
    <w:p w14:paraId="76850972" w14:textId="77777777" w:rsidR="00C354C4" w:rsidRPr="00C95D35" w:rsidRDefault="00C354C4" w:rsidP="004E4865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68C859DD" w14:textId="71A9AE07" w:rsidR="00C354C4" w:rsidRDefault="00581C32" w:rsidP="00C354C4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39130000-2</w:t>
      </w:r>
      <w:r w:rsidR="00C354C4" w:rsidRPr="00455C64">
        <w:rPr>
          <w:rFonts w:cs="Arial"/>
          <w:bCs/>
          <w:szCs w:val="20"/>
          <w:lang w:eastAsia="pl-PL"/>
        </w:rPr>
        <w:t xml:space="preserve"> </w:t>
      </w:r>
      <w:r w:rsidR="00772CB2" w:rsidRPr="00772CB2">
        <w:rPr>
          <w:rFonts w:cs="Arial"/>
          <w:bCs/>
          <w:szCs w:val="20"/>
          <w:lang w:eastAsia="pl-PL"/>
        </w:rPr>
        <w:t xml:space="preserve">Meble </w:t>
      </w:r>
      <w:r>
        <w:rPr>
          <w:rFonts w:cs="Arial"/>
          <w:bCs/>
          <w:szCs w:val="20"/>
          <w:lang w:eastAsia="pl-PL"/>
        </w:rPr>
        <w:t>biurowe</w:t>
      </w:r>
      <w:r w:rsidR="007317D6">
        <w:rPr>
          <w:rFonts w:cs="Arial"/>
          <w:bCs/>
          <w:szCs w:val="20"/>
          <w:lang w:eastAsia="pl-PL"/>
        </w:rPr>
        <w:t>;</w:t>
      </w:r>
    </w:p>
    <w:p w14:paraId="692F15E4" w14:textId="77777777" w:rsidR="00C354C4" w:rsidRPr="00C95D35" w:rsidRDefault="00C354C4" w:rsidP="004E4865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4E67B88C" w14:textId="77777777" w:rsidR="00C354C4" w:rsidRPr="00C95D35" w:rsidRDefault="00C354C4" w:rsidP="00C354C4">
      <w:pPr>
        <w:pStyle w:val="Nagwek4"/>
        <w:spacing w:line="324" w:lineRule="auto"/>
        <w:ind w:left="1134" w:hanging="283"/>
      </w:pPr>
      <w:r w:rsidRPr="00382315">
        <w:t xml:space="preserve">szczegółowy opis </w:t>
      </w:r>
      <w:r w:rsidRPr="00C95D35">
        <w:t>przedmiotu zamówienia stanowi załącznik nr 2 do SWZ;</w:t>
      </w:r>
    </w:p>
    <w:p w14:paraId="12AB5263" w14:textId="77777777" w:rsidR="0053445D" w:rsidRDefault="0053445D" w:rsidP="0053445D">
      <w:pPr>
        <w:pStyle w:val="Nagwek4"/>
        <w:spacing w:line="324" w:lineRule="auto"/>
        <w:ind w:left="1134" w:hanging="283"/>
      </w:pPr>
      <w:bookmarkStart w:id="15" w:name="_Hlk65492329"/>
      <w:r w:rsidRPr="00C95D35">
        <w:t xml:space="preserve">w przypadkach, kiedy w opisie </w:t>
      </w:r>
      <w:r>
        <w:rPr>
          <w:lang w:val="pl-PL"/>
        </w:rPr>
        <w:t>P</w:t>
      </w:r>
      <w:proofErr w:type="spellStart"/>
      <w:r w:rsidRPr="00C95D35">
        <w:t>rzedmiotu</w:t>
      </w:r>
      <w:proofErr w:type="spellEnd"/>
      <w:r w:rsidRPr="00C95D35">
        <w:t xml:space="preserve"> zamówienia wskazane zostałyby znaki towarowe, patenty, pochodzenie, źródło lub szczególny proces, charakteryzujące określone produkty lub usługi, oznacza to, że Zamawiający nie może opisać </w:t>
      </w:r>
      <w:r>
        <w:rPr>
          <w:lang w:val="pl-PL"/>
        </w:rPr>
        <w:t>P</w:t>
      </w:r>
      <w:proofErr w:type="spellStart"/>
      <w:r w:rsidRPr="00C95D35">
        <w:t>rzedmiotu</w:t>
      </w:r>
      <w:proofErr w:type="spellEnd"/>
      <w:r w:rsidRPr="00C95D35">
        <w:t xml:space="preserve"> zamówienia w</w:t>
      </w:r>
      <w:r w:rsidRPr="00C95D35">
        <w:rPr>
          <w:lang w:val="pl-PL"/>
        </w:rPr>
        <w:t> </w:t>
      </w:r>
      <w:r w:rsidRPr="00C95D35">
        <w:t xml:space="preserve">wystarczająco precyzyjny i zrozumiały sposób i jest to uzasadnione specyfiką </w:t>
      </w:r>
      <w:r>
        <w:rPr>
          <w:lang w:val="pl-PL"/>
        </w:rPr>
        <w:t>P</w:t>
      </w:r>
      <w:proofErr w:type="spellStart"/>
      <w:r w:rsidRPr="00C95D35">
        <w:t>rzedmiotu</w:t>
      </w:r>
      <w:proofErr w:type="spellEnd"/>
      <w:r w:rsidRPr="00C95D35">
        <w:t xml:space="preserve"> zamówienia. W</w:t>
      </w:r>
      <w:r w:rsidRPr="00C95D35">
        <w:rPr>
          <w:lang w:val="pl-PL"/>
        </w:rPr>
        <w:t> </w:t>
      </w:r>
      <w:r w:rsidRPr="00C95D35">
        <w:t>takich sytuacjach ewentualne posłużenie się powyższymi wskazaniami, należy odczytywać z</w:t>
      </w:r>
      <w:r w:rsidRPr="00C95D35">
        <w:rPr>
          <w:lang w:val="pl-PL"/>
        </w:rPr>
        <w:t> </w:t>
      </w:r>
      <w:r w:rsidRPr="00C95D35">
        <w:t xml:space="preserve">wyrazami „lub </w:t>
      </w:r>
      <w:r w:rsidRPr="006E632C">
        <w:t xml:space="preserve">równoważny”. Zamawiający wskazuje w opisie </w:t>
      </w:r>
      <w:r>
        <w:rPr>
          <w:lang w:val="pl-PL"/>
        </w:rPr>
        <w:t>P</w:t>
      </w:r>
      <w:proofErr w:type="spellStart"/>
      <w:r w:rsidRPr="006E632C">
        <w:t>rzedmiotu</w:t>
      </w:r>
      <w:proofErr w:type="spellEnd"/>
      <w:r w:rsidRPr="006E632C">
        <w:t xml:space="preserve"> zamówienia kryteria stosowane w celu oceny równoważności;</w:t>
      </w:r>
    </w:p>
    <w:p w14:paraId="51844F8B" w14:textId="77777777" w:rsidR="0053445D" w:rsidRPr="00115383" w:rsidRDefault="0053445D" w:rsidP="0053445D">
      <w:pPr>
        <w:pStyle w:val="Nagwek4"/>
        <w:spacing w:line="324" w:lineRule="auto"/>
        <w:ind w:left="1134" w:hanging="283"/>
        <w:rPr>
          <w:bCs w:val="0"/>
        </w:rPr>
      </w:pPr>
      <w:r w:rsidRPr="009B388D">
        <w:t xml:space="preserve">Wykonawca oferując przedmiot równoważny do opisanego w specyfikacji jest zobowiązany zachować równoważność w zakresie parametrów użytkowych, funkcjonalnych i jakościowych, które muszą być na poziomie nie </w:t>
      </w:r>
      <w:r>
        <w:rPr>
          <w:bCs w:val="0"/>
        </w:rPr>
        <w:t>gorszym</w:t>
      </w:r>
      <w:r w:rsidRPr="009B388D">
        <w:t xml:space="preserve"> od parametrów wskazanych przez Zamawiającego</w:t>
      </w:r>
      <w:r>
        <w:rPr>
          <w:lang w:val="pl-PL"/>
        </w:rPr>
        <w:t>;</w:t>
      </w:r>
    </w:p>
    <w:p w14:paraId="5BEC6E72" w14:textId="77777777" w:rsidR="0053445D" w:rsidRPr="00154EFC" w:rsidRDefault="0053445D" w:rsidP="0053445D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 xml:space="preserve">w sytuacjach, kiedy Zamawiający opisuje </w:t>
      </w:r>
      <w:r>
        <w:rPr>
          <w:rFonts w:eastAsia="Calibri"/>
          <w:lang w:val="pl-PL"/>
        </w:rPr>
        <w:t>P</w:t>
      </w:r>
      <w:proofErr w:type="spellStart"/>
      <w:r w:rsidRPr="00154EFC">
        <w:rPr>
          <w:rFonts w:eastAsia="Calibri"/>
        </w:rPr>
        <w:t>rzedmiot</w:t>
      </w:r>
      <w:proofErr w:type="spellEnd"/>
      <w:r w:rsidRPr="00154EFC">
        <w:rPr>
          <w:rFonts w:eastAsia="Calibri"/>
        </w:rPr>
        <w:t xml:space="preserve"> zamówienia poprzez odniesienie się do norm, ocen technicznych, specyfikacji technicznych i systemów referencji technicznych, o których mowa w art. 101 ust. 1 pkt 2 i ust. 3 ustawy </w:t>
      </w:r>
      <w:proofErr w:type="spellStart"/>
      <w:r w:rsidRPr="00154EFC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5"/>
    <w:p w14:paraId="1855FB49" w14:textId="493AF294" w:rsidR="0053445D" w:rsidRDefault="0053445D" w:rsidP="0053445D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</w:t>
      </w:r>
      <w:r>
        <w:rPr>
          <w:rFonts w:eastAsia="Calibri"/>
          <w:lang w:val="pl-PL"/>
        </w:rPr>
        <w:t>P</w:t>
      </w:r>
      <w:proofErr w:type="spellStart"/>
      <w:r w:rsidRPr="00C95D35">
        <w:rPr>
          <w:rFonts w:eastAsia="Calibri"/>
        </w:rPr>
        <w:t>rzedmiotu</w:t>
      </w:r>
      <w:proofErr w:type="spellEnd"/>
      <w:r w:rsidRPr="00C95D35">
        <w:rPr>
          <w:rFonts w:eastAsia="Calibri"/>
        </w:rPr>
        <w:t xml:space="preserve"> zamówienia określa dopuszczalny margines tolerancji lub minimalny zakres wymaganych parametrów technicznych – parametry </w:t>
      </w:r>
      <w:r>
        <w:rPr>
          <w:rFonts w:eastAsia="Calibri"/>
          <w:lang w:val="pl-PL"/>
        </w:rPr>
        <w:lastRenderedPageBreak/>
        <w:t xml:space="preserve">oferowanych </w:t>
      </w:r>
      <w:r w:rsidR="00122898">
        <w:rPr>
          <w:rFonts w:eastAsia="Calibri"/>
          <w:lang w:val="pl-PL"/>
        </w:rPr>
        <w:t>m</w:t>
      </w:r>
      <w:r>
        <w:rPr>
          <w:rFonts w:eastAsia="Calibri"/>
          <w:lang w:val="pl-PL"/>
        </w:rPr>
        <w:t>ebli</w:t>
      </w:r>
      <w:r w:rsidRPr="00C95D35">
        <w:rPr>
          <w:rFonts w:eastAsia="Calibri"/>
        </w:rPr>
        <w:t xml:space="preserve"> winny mieścić się przedziałach i zakresach tolerancji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 2 do SWZ pod rygorem odrzucenia oferty.</w:t>
      </w:r>
    </w:p>
    <w:p w14:paraId="3595DA44" w14:textId="4CCCBA08" w:rsidR="0053445D" w:rsidRDefault="0053445D" w:rsidP="0053445D">
      <w:pPr>
        <w:pStyle w:val="Nagwek4"/>
        <w:spacing w:line="324" w:lineRule="auto"/>
        <w:ind w:left="1134" w:hanging="283"/>
        <w:rPr>
          <w:rFonts w:eastAsia="Calibri"/>
        </w:rPr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>
        <w:rPr>
          <w:rFonts w:eastAsia="Calibri"/>
          <w:lang w:val="pl-PL"/>
        </w:rPr>
        <w:t xml:space="preserve">wartości </w:t>
      </w:r>
      <w:r>
        <w:rPr>
          <w:rFonts w:eastAsia="Calibri"/>
        </w:rPr>
        <w:t>tolerancj</w:t>
      </w:r>
      <w:r>
        <w:rPr>
          <w:rFonts w:eastAsia="Calibri"/>
          <w:lang w:val="pl-PL"/>
        </w:rPr>
        <w:t xml:space="preserve">i </w:t>
      </w:r>
      <w:r w:rsidRPr="00955F19">
        <w:rPr>
          <w:rFonts w:eastAsia="Calibri"/>
        </w:rPr>
        <w:t>zostały określone w</w:t>
      </w:r>
      <w:r w:rsidR="00070309">
        <w:rPr>
          <w:rFonts w:eastAsia="Calibri"/>
          <w:lang w:val="pl-PL"/>
        </w:rPr>
        <w:t> </w:t>
      </w:r>
      <w:r w:rsidRPr="00955F19">
        <w:rPr>
          <w:rFonts w:eastAsia="Calibri"/>
        </w:rPr>
        <w:t xml:space="preserve">załączniku nr </w:t>
      </w:r>
      <w:r w:rsidRPr="00BC6ACF">
        <w:rPr>
          <w:rFonts w:eastAsia="Calibri"/>
        </w:rPr>
        <w:t>2 do SWZ</w:t>
      </w:r>
      <w:r>
        <w:rPr>
          <w:rFonts w:eastAsia="Calibri"/>
          <w:lang w:val="pl-PL"/>
        </w:rPr>
        <w:t>;</w:t>
      </w:r>
    </w:p>
    <w:p w14:paraId="49242EA0" w14:textId="77777777" w:rsidR="00C354C4" w:rsidRPr="00C95D35" w:rsidRDefault="00C354C4" w:rsidP="004E4865">
      <w:pPr>
        <w:pStyle w:val="Nagwek2"/>
        <w:numPr>
          <w:ilvl w:val="0"/>
          <w:numId w:val="8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520FD4B8" w14:textId="2340D0CF" w:rsidR="00922F29" w:rsidRPr="00E47E57" w:rsidRDefault="00E47E57" w:rsidP="004E4865">
      <w:pPr>
        <w:pStyle w:val="Nagwek3"/>
        <w:numPr>
          <w:ilvl w:val="0"/>
          <w:numId w:val="12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  <w:r w:rsidRPr="00476418">
        <w:rPr>
          <w:rFonts w:eastAsia="Calibri"/>
        </w:rPr>
        <w:t xml:space="preserve"> </w:t>
      </w:r>
      <w:r w:rsidR="00C354C4" w:rsidRPr="00C95D35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="00C354C4" w:rsidRPr="00C95D35">
        <w:rPr>
          <w:rFonts w:eastAsia="Calibri"/>
        </w:rPr>
        <w:t>dopu</w:t>
      </w:r>
      <w:r w:rsidR="00C354C4">
        <w:rPr>
          <w:rFonts w:eastAsia="Calibri"/>
        </w:rPr>
        <w:t>szcza możliwoś</w:t>
      </w:r>
      <w:r>
        <w:rPr>
          <w:rFonts w:eastAsia="Calibri"/>
        </w:rPr>
        <w:t>ci</w:t>
      </w:r>
      <w:r w:rsidR="00C354C4" w:rsidRPr="00C95D35">
        <w:rPr>
          <w:rFonts w:eastAsia="Calibri"/>
        </w:rPr>
        <w:t xml:space="preserve"> składania ofert częściowych</w:t>
      </w:r>
      <w:r>
        <w:rPr>
          <w:rFonts w:eastAsia="Calibri"/>
        </w:rPr>
        <w:t>.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062C7891" w14:textId="36A66ED2" w:rsidR="005E2F99" w:rsidRPr="006108E1" w:rsidRDefault="00C354C4" w:rsidP="00E47E57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t xml:space="preserve">Termin realizacji zamówienia: </w:t>
      </w:r>
      <w:r w:rsidR="00E47E57">
        <w:rPr>
          <w:color w:val="auto"/>
        </w:rPr>
        <w:t xml:space="preserve"> </w:t>
      </w:r>
      <w:r w:rsidR="005E2F99" w:rsidRPr="006108E1">
        <w:rPr>
          <w:b w:val="0"/>
          <w:color w:val="auto"/>
        </w:rPr>
        <w:t>do</w:t>
      </w:r>
      <w:r w:rsidR="005E2F99" w:rsidRPr="001D6667">
        <w:rPr>
          <w:color w:val="auto"/>
        </w:rPr>
        <w:t xml:space="preserve"> </w:t>
      </w:r>
      <w:r w:rsidR="0071332C">
        <w:rPr>
          <w:b w:val="0"/>
          <w:color w:val="auto"/>
        </w:rPr>
        <w:t>10 dni od otrzymania zamówienia</w:t>
      </w:r>
      <w:r w:rsidR="00B4639D">
        <w:rPr>
          <w:b w:val="0"/>
          <w:color w:val="auto"/>
        </w:rPr>
        <w:t>.</w:t>
      </w:r>
    </w:p>
    <w:p w14:paraId="641ED3FC" w14:textId="32205191" w:rsidR="00C354C4" w:rsidRPr="00175550" w:rsidRDefault="00E25E54" w:rsidP="00C354C4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E25E54">
        <w:rPr>
          <w:rFonts w:cs="Arial"/>
          <w:bCs/>
          <w:i/>
          <w:szCs w:val="20"/>
          <w:lang w:eastAsia="pl-PL"/>
        </w:rPr>
        <w:t xml:space="preserve">Termin realizacji zamówienia stanowi </w:t>
      </w:r>
      <w:proofErr w:type="spellStart"/>
      <w:r w:rsidRPr="00E25E54">
        <w:rPr>
          <w:rFonts w:cs="Arial"/>
          <w:bCs/>
          <w:i/>
          <w:szCs w:val="20"/>
          <w:lang w:eastAsia="pl-PL"/>
        </w:rPr>
        <w:t>pozacenowe</w:t>
      </w:r>
      <w:proofErr w:type="spellEnd"/>
      <w:r w:rsidRPr="00E25E54">
        <w:rPr>
          <w:rFonts w:cs="Arial"/>
          <w:bCs/>
          <w:i/>
          <w:szCs w:val="20"/>
          <w:lang w:eastAsia="pl-PL"/>
        </w:rPr>
        <w:t xml:space="preserve"> kryterium oceny ofert – w przypadku </w:t>
      </w:r>
      <w:r w:rsidRPr="00827E44">
        <w:rPr>
          <w:rFonts w:cs="Arial"/>
          <w:bCs/>
          <w:i/>
          <w:szCs w:val="20"/>
          <w:lang w:eastAsia="pl-PL"/>
        </w:rPr>
        <w:t>skróceni</w:t>
      </w:r>
      <w:r>
        <w:rPr>
          <w:rFonts w:cs="Arial"/>
          <w:bCs/>
          <w:i/>
          <w:szCs w:val="20"/>
          <w:lang w:eastAsia="pl-PL"/>
        </w:rPr>
        <w:t>a</w:t>
      </w:r>
      <w:r w:rsidRPr="00827E44">
        <w:rPr>
          <w:rFonts w:cs="Arial"/>
          <w:bCs/>
          <w:i/>
          <w:szCs w:val="20"/>
          <w:lang w:eastAsia="pl-PL"/>
        </w:rPr>
        <w:t xml:space="preserve"> terminu realizacji</w:t>
      </w:r>
      <w:r w:rsidRPr="00E25E54">
        <w:rPr>
          <w:rFonts w:cs="Arial"/>
          <w:bCs/>
          <w:i/>
          <w:szCs w:val="20"/>
          <w:lang w:eastAsia="pl-PL"/>
        </w:rPr>
        <w:t>, oferta Wykonawcy otrzyma dodatkowe punkty, zgodnie z zasadami określonymi w</w:t>
      </w:r>
      <w:r>
        <w:rPr>
          <w:rFonts w:cs="Arial"/>
          <w:bCs/>
          <w:i/>
          <w:szCs w:val="20"/>
          <w:lang w:eastAsia="pl-PL"/>
        </w:rPr>
        <w:t> </w:t>
      </w:r>
      <w:r w:rsidRPr="00E25E54">
        <w:rPr>
          <w:rFonts w:cs="Arial"/>
          <w:bCs/>
          <w:i/>
          <w:szCs w:val="20"/>
          <w:lang w:eastAsia="pl-PL"/>
        </w:rPr>
        <w:t>rozdz. XIII SWZ</w:t>
      </w:r>
      <w:r>
        <w:rPr>
          <w:rFonts w:cs="Arial"/>
          <w:bCs/>
          <w:i/>
          <w:szCs w:val="20"/>
          <w:lang w:eastAsia="pl-PL"/>
        </w:rPr>
        <w:t>.</w:t>
      </w:r>
    </w:p>
    <w:p w14:paraId="0DB757B9" w14:textId="331BA80F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płatności. </w:t>
      </w:r>
    </w:p>
    <w:p w14:paraId="4DACFA45" w14:textId="77777777" w:rsidR="00C354C4" w:rsidRDefault="00C354C4" w:rsidP="004E4865">
      <w:pPr>
        <w:pStyle w:val="Nagwek3"/>
        <w:keepNext/>
        <w:numPr>
          <w:ilvl w:val="0"/>
          <w:numId w:val="56"/>
        </w:numPr>
        <w:ind w:left="851" w:hanging="284"/>
      </w:pPr>
      <w:r w:rsidRPr="00382315">
        <w:t xml:space="preserve">Adres dostawy: </w:t>
      </w:r>
    </w:p>
    <w:p w14:paraId="6E2BC399" w14:textId="77F9870A" w:rsidR="007C0EC6" w:rsidRPr="006108E1" w:rsidRDefault="007C0EC6" w:rsidP="00A94DDB">
      <w:pPr>
        <w:pStyle w:val="Nagwek2"/>
        <w:keepNext w:val="0"/>
        <w:numPr>
          <w:ilvl w:val="0"/>
          <w:numId w:val="0"/>
        </w:numPr>
        <w:spacing w:before="0"/>
        <w:ind w:left="851"/>
        <w:rPr>
          <w:b w:val="0"/>
          <w:color w:val="auto"/>
        </w:rPr>
      </w:pPr>
      <w:r w:rsidRPr="006108E1">
        <w:rPr>
          <w:b w:val="0"/>
          <w:color w:val="auto"/>
        </w:rPr>
        <w:t>Uniwersytet Śląski w Katowicach,</w:t>
      </w:r>
      <w:r w:rsidR="00827E44" w:rsidRPr="00827E44">
        <w:rPr>
          <w:b w:val="0"/>
          <w:color w:val="auto"/>
        </w:rPr>
        <w:t xml:space="preserve"> ul. Bankowa </w:t>
      </w:r>
      <w:r w:rsidR="00581C32">
        <w:rPr>
          <w:b w:val="0"/>
          <w:color w:val="auto"/>
        </w:rPr>
        <w:t>5</w:t>
      </w:r>
      <w:r w:rsidR="00827E44" w:rsidRPr="00827E44">
        <w:rPr>
          <w:b w:val="0"/>
          <w:color w:val="auto"/>
        </w:rPr>
        <w:t>, 40-007 Katowice</w:t>
      </w:r>
    </w:p>
    <w:p w14:paraId="5676508D" w14:textId="067322CA" w:rsidR="005E2F99" w:rsidRDefault="00C354C4" w:rsidP="00E47E57">
      <w:pPr>
        <w:pStyle w:val="Nagwek3"/>
        <w:ind w:left="851" w:hanging="284"/>
        <w:rPr>
          <w:b/>
        </w:rPr>
      </w:pPr>
      <w:r w:rsidRPr="00382315">
        <w:t xml:space="preserve">Wymagany minimalny </w:t>
      </w:r>
      <w:r w:rsidR="006108E1">
        <w:t>okres</w:t>
      </w:r>
      <w:r w:rsidRPr="00382315">
        <w:t xml:space="preserve"> gwarancji</w:t>
      </w:r>
      <w:r w:rsidR="005E2F99">
        <w:t xml:space="preserve"> na oferowan</w:t>
      </w:r>
      <w:r w:rsidR="00827E44">
        <w:t>e</w:t>
      </w:r>
      <w:r>
        <w:t xml:space="preserve"> </w:t>
      </w:r>
      <w:r w:rsidR="00827E44">
        <w:t>meble</w:t>
      </w:r>
      <w:r>
        <w:t xml:space="preserve"> wynosi: </w:t>
      </w:r>
      <w:r w:rsidR="001244C9">
        <w:rPr>
          <w:b/>
        </w:rPr>
        <w:t>24</w:t>
      </w:r>
      <w:r w:rsidR="001D6667">
        <w:rPr>
          <w:b/>
        </w:rPr>
        <w:t xml:space="preserve"> </w:t>
      </w:r>
      <w:r w:rsidR="005E2F99" w:rsidRPr="006108E1">
        <w:rPr>
          <w:b/>
        </w:rPr>
        <w:t>miesi</w:t>
      </w:r>
      <w:r w:rsidR="001244C9">
        <w:rPr>
          <w:b/>
        </w:rPr>
        <w:t>ące</w:t>
      </w:r>
      <w:r w:rsidR="006108E1">
        <w:rPr>
          <w:b/>
        </w:rPr>
        <w:t>.</w:t>
      </w:r>
    </w:p>
    <w:p w14:paraId="36FA846B" w14:textId="52E03F77" w:rsidR="00A94DDB" w:rsidRPr="00175550" w:rsidRDefault="00827E44" w:rsidP="00A94DDB">
      <w:pPr>
        <w:spacing w:before="40" w:after="40" w:line="324" w:lineRule="auto"/>
        <w:ind w:firstLine="0"/>
        <w:contextualSpacing/>
        <w:rPr>
          <w:rFonts w:cs="Arial"/>
          <w:bCs/>
          <w:szCs w:val="20"/>
          <w:lang w:eastAsia="pl-PL"/>
        </w:rPr>
      </w:pPr>
      <w:bookmarkStart w:id="16" w:name="_Hlk149206336"/>
      <w:r w:rsidRPr="00E658BA">
        <w:rPr>
          <w:i/>
        </w:rPr>
        <w:t xml:space="preserve">Okres gwarancji 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dłuższej gwarancji, oferta Wykonawcy otrzyma dodatkowe punkty, zgodnie z zasadami określonymi w rozdz. XIII SWZ</w:t>
      </w:r>
      <w:bookmarkEnd w:id="16"/>
      <w:r w:rsidR="00A94DDB" w:rsidRPr="00175550">
        <w:rPr>
          <w:rFonts w:cs="Arial"/>
          <w:bCs/>
          <w:szCs w:val="20"/>
          <w:lang w:eastAsia="pl-PL"/>
        </w:rPr>
        <w:t>.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4E4865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4BEDEEC9" w:rsidR="00C354C4" w:rsidRPr="000B0AF2" w:rsidRDefault="00827E44" w:rsidP="004E4865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zastrzega możliwości ubiegania się o zamówienie wyłącznie dla wykonawców, o których mowa w art. 94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(klauzula zastrzeżona);</w:t>
      </w:r>
    </w:p>
    <w:p w14:paraId="448C4457" w14:textId="7F39C70E" w:rsidR="00C354C4" w:rsidRPr="000B0AF2" w:rsidRDefault="00827E44" w:rsidP="004E4865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Z uwagi na rodzaj zamówienia, Zamawiający nie przewiduje wymagań związanych</w:t>
      </w:r>
      <w:r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>
        <w:rPr>
          <w:rFonts w:eastAsia="Calibri"/>
        </w:rPr>
        <w:t xml:space="preserve">, zgodnie z art. 95 ustawy </w:t>
      </w:r>
      <w:proofErr w:type="spellStart"/>
      <w:r>
        <w:rPr>
          <w:rFonts w:eastAsia="Calibri"/>
        </w:rPr>
        <w:t>Pzp</w:t>
      </w:r>
      <w:proofErr w:type="spellEnd"/>
      <w:r w:rsidR="00C354C4" w:rsidRPr="000B0AF2">
        <w:rPr>
          <w:rFonts w:eastAsia="Calibri"/>
        </w:rPr>
        <w:t>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77777777" w:rsidR="00C354C4" w:rsidRPr="00AF756E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Pzp.</w:t>
      </w:r>
    </w:p>
    <w:p w14:paraId="63B2A81D" w14:textId="77777777" w:rsidR="005975F7" w:rsidRDefault="005975F7" w:rsidP="005975F7">
      <w:pPr>
        <w:pStyle w:val="Nagwek1"/>
      </w:pPr>
      <w:r>
        <w:t>Przedmiotowe środki dowodowe.</w:t>
      </w:r>
      <w:bookmarkEnd w:id="13"/>
      <w:bookmarkEnd w:id="14"/>
    </w:p>
    <w:p w14:paraId="1532C7EB" w14:textId="77777777" w:rsidR="002C3644" w:rsidRPr="002C3644" w:rsidRDefault="002C3644" w:rsidP="004E4865">
      <w:pPr>
        <w:pStyle w:val="Nagwek2"/>
        <w:numPr>
          <w:ilvl w:val="0"/>
          <w:numId w:val="55"/>
        </w:numPr>
      </w:pPr>
      <w:bookmarkStart w:id="17" w:name="_Toc375581634"/>
      <w:bookmarkStart w:id="18" w:name="_Toc375581816"/>
      <w:bookmarkStart w:id="19" w:name="_Toc375582133"/>
      <w:bookmarkStart w:id="20" w:name="_Toc66169488"/>
      <w:r w:rsidRPr="002C3644">
        <w:t>Wykaz wymaganych przedmiotowych środków dowodowych.</w:t>
      </w:r>
    </w:p>
    <w:p w14:paraId="582C5025" w14:textId="66965334" w:rsidR="002C3644" w:rsidRDefault="002C3644" w:rsidP="006108E1">
      <w:pPr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6108E1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60EA579B" w14:textId="2B544DA1" w:rsidR="00A94DDB" w:rsidRPr="00A94DDB" w:rsidRDefault="00A94DDB" w:rsidP="00A94DDB">
            <w:pPr>
              <w:spacing w:before="120" w:line="360" w:lineRule="auto"/>
              <w:ind w:left="0" w:firstLine="0"/>
              <w:rPr>
                <w:b w:val="0"/>
                <w:bCs w:val="0"/>
                <w:sz w:val="18"/>
                <w:szCs w:val="18"/>
              </w:rPr>
            </w:pPr>
            <w:r w:rsidRPr="00A94DDB">
              <w:rPr>
                <w:b w:val="0"/>
                <w:sz w:val="18"/>
                <w:szCs w:val="18"/>
              </w:rPr>
              <w:t xml:space="preserve">Opis techniczny oferowanych </w:t>
            </w:r>
            <w:r w:rsidR="00122898">
              <w:rPr>
                <w:b w:val="0"/>
                <w:sz w:val="18"/>
                <w:szCs w:val="18"/>
              </w:rPr>
              <w:t>m</w:t>
            </w:r>
            <w:r w:rsidRPr="00A94DDB">
              <w:rPr>
                <w:b w:val="0"/>
                <w:sz w:val="18"/>
                <w:szCs w:val="18"/>
              </w:rPr>
              <w:t>ebli, ze wskazaniem wszystkich parametrów t</w:t>
            </w:r>
            <w:r w:rsidR="00122898">
              <w:rPr>
                <w:b w:val="0"/>
                <w:sz w:val="18"/>
                <w:szCs w:val="18"/>
              </w:rPr>
              <w:t>e</w:t>
            </w:r>
            <w:r w:rsidRPr="00A94DDB">
              <w:rPr>
                <w:b w:val="0"/>
                <w:sz w:val="18"/>
                <w:szCs w:val="18"/>
              </w:rPr>
              <w:t xml:space="preserve">chnicznych, w celu potwierdzenia zgodności oferowanych </w:t>
            </w:r>
            <w:r w:rsidR="00122898">
              <w:rPr>
                <w:b w:val="0"/>
                <w:sz w:val="18"/>
                <w:szCs w:val="18"/>
              </w:rPr>
              <w:t>m</w:t>
            </w:r>
            <w:r w:rsidRPr="00A94DDB">
              <w:rPr>
                <w:b w:val="0"/>
                <w:sz w:val="18"/>
                <w:szCs w:val="18"/>
              </w:rPr>
              <w:t>ebli z wymaganiami określonymi w opisie przedmiotu zamówienia (załącznik nr 2 do SWZ).</w:t>
            </w:r>
          </w:p>
          <w:p w14:paraId="522F8729" w14:textId="6FD58741" w:rsidR="002C3644" w:rsidRPr="00A94DDB" w:rsidRDefault="00A94DDB" w:rsidP="00A94DDB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 w:val="0"/>
                <w:sz w:val="18"/>
                <w:szCs w:val="18"/>
              </w:rPr>
            </w:pPr>
            <w:r w:rsidRPr="00117E46">
              <w:rPr>
                <w:rFonts w:eastAsia="Palatino Linotype" w:cs="Times New Roman"/>
                <w:b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046116B3" w14:textId="18AF8525" w:rsidR="002C3644" w:rsidRP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5F0E8C91" w14:textId="77777777" w:rsidR="002C3644" w:rsidRPr="002C3644" w:rsidRDefault="002C3644" w:rsidP="004E4865">
      <w:pPr>
        <w:keepNext/>
        <w:numPr>
          <w:ilvl w:val="0"/>
          <w:numId w:val="7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 xml:space="preserve">Zgodnie z przepisem art. 107 ust. 2 ustawy Pzp, jeżeli wykonawca nie złoży wraz z ofertą przedmiotowych środków dowodowych lub złożone przedmiotowe środki dowodowe będą </w:t>
      </w:r>
      <w:r w:rsidRPr="002C3644">
        <w:rPr>
          <w:lang w:eastAsia="x-none"/>
        </w:rPr>
        <w:lastRenderedPageBreak/>
        <w:t>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7"/>
      <w:bookmarkEnd w:id="18"/>
      <w:bookmarkEnd w:id="19"/>
      <w:bookmarkEnd w:id="20"/>
      <w:r w:rsidRPr="00E054BA">
        <w:t xml:space="preserve"> </w:t>
      </w:r>
    </w:p>
    <w:p w14:paraId="55FBF8D8" w14:textId="0757913C" w:rsidR="00A867B7" w:rsidRPr="00ED6871" w:rsidRDefault="00A62353" w:rsidP="004E4865">
      <w:pPr>
        <w:pStyle w:val="Nagwek2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4E4865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4E4865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>ustawy Pzp;</w:t>
      </w:r>
    </w:p>
    <w:p w14:paraId="0EE89DC3" w14:textId="2DA0C666" w:rsidR="00D83EC3" w:rsidRDefault="0080582A" w:rsidP="004E4865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lastRenderedPageBreak/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Pzp,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Pzp</w:t>
      </w:r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059596AE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827E44" w:rsidRPr="00AD3ED3">
        <w:rPr>
          <w:rFonts w:eastAsia="Calibri"/>
          <w:color w:val="323E4F" w:themeColor="text2" w:themeShade="BF"/>
        </w:rPr>
        <w:t>Dz.U. 2023 poz. 129 ze zm</w:t>
      </w:r>
      <w:r w:rsidR="00827E44">
        <w:rPr>
          <w:rFonts w:eastAsia="Calibri"/>
          <w:color w:val="323E4F" w:themeColor="text2" w:themeShade="BF"/>
        </w:rPr>
        <w:t>.</w:t>
      </w:r>
      <w:r>
        <w:rPr>
          <w:rFonts w:eastAsia="Calibri"/>
        </w:rPr>
        <w:t>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4E4865">
      <w:pPr>
        <w:pStyle w:val="Nagwek3"/>
        <w:numPr>
          <w:ilvl w:val="0"/>
          <w:numId w:val="57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5EF2444B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</w:t>
      </w:r>
      <w:r w:rsidR="006F5CCC">
        <w:t>3</w:t>
      </w:r>
      <w:r>
        <w:t xml:space="preserve"> r. poz. </w:t>
      </w:r>
      <w:r w:rsidR="006F5CCC">
        <w:t>1124 ze zm.</w:t>
      </w:r>
      <w:r>
        <w:t>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0FC938D2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827E44">
        <w:t>t.j</w:t>
      </w:r>
      <w:proofErr w:type="spellEnd"/>
      <w:r w:rsidR="00827E44">
        <w:t xml:space="preserve">. </w:t>
      </w:r>
      <w:r w:rsidR="00827E44" w:rsidRPr="00E71DDC">
        <w:rPr>
          <w:bCs w:val="0"/>
          <w:szCs w:val="20"/>
        </w:rPr>
        <w:t>Dz.U. 2023 poz. 120 ze zm</w:t>
      </w:r>
      <w:r w:rsidR="00122898">
        <w:t>.</w:t>
      </w:r>
      <w: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lastRenderedPageBreak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C81876">
      <w:pPr>
        <w:pStyle w:val="Nagwek2"/>
        <w:keepNext w:val="0"/>
        <w:keepLines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bookmarkStart w:id="21" w:name="_Toc66169489"/>
      <w:r>
        <w:t>Kwalifikacja podmiotowa – warunki udziału w postępowaniu.</w:t>
      </w:r>
      <w:bookmarkEnd w:id="21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Pzp,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22" w:name="_Toc66169490"/>
      <w:r>
        <w:rPr>
          <w:noProof/>
        </w:rPr>
        <w:t>Oświadczenie wstępne, podmiotowe środki dowodowe oraz inne dokumenty.</w:t>
      </w:r>
      <w:bookmarkEnd w:id="22"/>
    </w:p>
    <w:p w14:paraId="22CBC4F0" w14:textId="02103DDA" w:rsidR="00F85C46" w:rsidRDefault="00B376D2" w:rsidP="004E4865">
      <w:pPr>
        <w:pStyle w:val="Nagwek2"/>
        <w:numPr>
          <w:ilvl w:val="0"/>
          <w:numId w:val="15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4E4865">
      <w:pPr>
        <w:pStyle w:val="Nagwek3"/>
        <w:keepNext/>
        <w:keepLines/>
        <w:numPr>
          <w:ilvl w:val="0"/>
          <w:numId w:val="5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DD8671" w14:textId="538D330F" w:rsidR="009140BE" w:rsidRPr="000649CD" w:rsidRDefault="009140BE" w:rsidP="00827E44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  <w:r w:rsidR="00827E4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 xml:space="preserve"> </w:t>
            </w:r>
            <w:r w:rsidR="005B7629"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 w:rsidR="005B7629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E4865">
      <w:pPr>
        <w:pStyle w:val="Nagwek3"/>
        <w:keepNext/>
        <w:numPr>
          <w:ilvl w:val="0"/>
          <w:numId w:val="54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827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</w:tcPr>
          <w:p w14:paraId="3F291E75" w14:textId="2144DD13" w:rsidR="009C40E6" w:rsidRPr="002B5872" w:rsidRDefault="009C40E6" w:rsidP="00827E44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E1454C">
      <w:pPr>
        <w:pStyle w:val="Nagwek1"/>
      </w:pPr>
      <w:bookmarkStart w:id="23" w:name="_Toc66169491"/>
      <w:r w:rsidRPr="00E054BA">
        <w:lastRenderedPageBreak/>
        <w:t>Wymagania dotyczące wadium.</w:t>
      </w:r>
      <w:bookmarkStart w:id="24" w:name="OLE_LINK1"/>
      <w:bookmarkEnd w:id="23"/>
      <w:r w:rsidRPr="00E054BA">
        <w:t xml:space="preserve"> </w:t>
      </w:r>
    </w:p>
    <w:p w14:paraId="5BEC372B" w14:textId="3B43B92F" w:rsidR="002C3644" w:rsidRPr="002C3644" w:rsidRDefault="00125C88" w:rsidP="00125C88">
      <w:pPr>
        <w:ind w:left="0" w:firstLine="0"/>
        <w:rPr>
          <w:color w:val="000000" w:themeColor="text1"/>
        </w:rPr>
      </w:pPr>
      <w:bookmarkStart w:id="25" w:name="_Toc66169492"/>
      <w:bookmarkEnd w:id="24"/>
      <w:r>
        <w:rPr>
          <w:color w:val="000000" w:themeColor="text1"/>
        </w:rPr>
        <w:t>Zamawiający nie wymaga wniesienia wadium w niniejszym postępowaniu.</w:t>
      </w:r>
    </w:p>
    <w:p w14:paraId="4043A489" w14:textId="30ABA657" w:rsidR="00F85C46" w:rsidRPr="00E054BA" w:rsidRDefault="004B4CE9" w:rsidP="00E1454C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5"/>
    </w:p>
    <w:p w14:paraId="618711CE" w14:textId="7B68746D" w:rsidR="00907E2D" w:rsidRDefault="00907E2D" w:rsidP="004E4865">
      <w:pPr>
        <w:pStyle w:val="Nagwek2"/>
        <w:numPr>
          <w:ilvl w:val="0"/>
          <w:numId w:val="16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4E4865">
      <w:pPr>
        <w:pStyle w:val="Nagwek3"/>
        <w:numPr>
          <w:ilvl w:val="0"/>
          <w:numId w:val="4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3BB76718" w:rsidR="00D05F0F" w:rsidRPr="00ED6871" w:rsidRDefault="00D05F0F" w:rsidP="004E4865">
      <w:pPr>
        <w:pStyle w:val="Nagwek3"/>
        <w:numPr>
          <w:ilvl w:val="0"/>
          <w:numId w:val="17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070309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4B21C76E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>do</w:t>
      </w:r>
      <w:r w:rsidR="00070309">
        <w:rPr>
          <w:rFonts w:eastAsia="Calibri"/>
        </w:rPr>
        <w:t> </w:t>
      </w:r>
      <w:r w:rsidR="00CD6350" w:rsidRPr="000F1B1F">
        <w:rPr>
          <w:rFonts w:eastAsia="Calibri"/>
        </w:rPr>
        <w:t xml:space="preserve">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</w:t>
      </w:r>
      <w:r w:rsidR="00070309">
        <w:t> </w:t>
      </w:r>
      <w:r w:rsidR="00305D5C" w:rsidRPr="000F1B1F">
        <w:t>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7973FD15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827E44">
        <w:rPr>
          <w:b/>
          <w:color w:val="222A35" w:themeColor="text2" w:themeShade="80"/>
          <w:lang w:val="pl"/>
        </w:rPr>
        <w:t>mgr Damian Ludwikowski, mgr Małgorzata Wróblewska, mgr Justyna Rutkowska – Zawada, mgr Kalina Rożek</w:t>
      </w:r>
      <w:r w:rsidR="00C540B8" w:rsidRPr="000F1B1F">
        <w:t xml:space="preserve">. Adres mailowy: </w:t>
      </w:r>
      <w:hyperlink r:id="rId16" w:history="1">
        <w:r w:rsidR="00827E44" w:rsidRPr="008B6FD0">
          <w:rPr>
            <w:rStyle w:val="Hipercze"/>
          </w:rPr>
          <w:t>dzp@us.edu.pl</w:t>
        </w:r>
      </w:hyperlink>
      <w:r w:rsidR="00827E44">
        <w:t xml:space="preserve">. </w:t>
      </w:r>
      <w:r w:rsidR="00C540B8" w:rsidRPr="000F1B1F">
        <w:t>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369F619C" w:rsidR="006D6009" w:rsidRPr="00ED6871" w:rsidRDefault="00357D01" w:rsidP="004E4865">
      <w:pPr>
        <w:pStyle w:val="Nagwek3"/>
        <w:numPr>
          <w:ilvl w:val="0"/>
          <w:numId w:val="18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>; dalej: “Rozporządzenie w sprawie środków komunikacji”), określa niezbędne wymagania sprzętowo - aplikacyjne umożliwiające pracę na</w:t>
      </w:r>
      <w:r w:rsidR="00070309">
        <w:rPr>
          <w:rFonts w:eastAsia="Calibri"/>
          <w:lang w:val="pl"/>
        </w:rPr>
        <w:t> 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4E4865">
      <w:pPr>
        <w:pStyle w:val="Nagwek4"/>
        <w:numPr>
          <w:ilvl w:val="0"/>
          <w:numId w:val="19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lastRenderedPageBreak/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4E4865">
      <w:pPr>
        <w:pStyle w:val="Nagwek4"/>
        <w:numPr>
          <w:ilvl w:val="0"/>
          <w:numId w:val="20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735D70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2861EEB3" w:rsidR="003439DD" w:rsidRDefault="003439DD" w:rsidP="004E4865">
      <w:pPr>
        <w:pStyle w:val="Nagwek3"/>
        <w:keepLines/>
        <w:numPr>
          <w:ilvl w:val="0"/>
          <w:numId w:val="21"/>
        </w:numPr>
        <w:ind w:left="851" w:hanging="284"/>
      </w:pPr>
      <w:bookmarkStart w:id="26" w:name="_wp2umuqo1p7z" w:colFirst="0" w:colLast="0"/>
      <w:bookmarkEnd w:id="26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4E4865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4E4865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4E4865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4E4865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Pzp</w:t>
      </w:r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7" w:name="_Toc66169493"/>
      <w:r>
        <w:t>Opis sposobu przygotowania ofert.</w:t>
      </w:r>
      <w:bookmarkEnd w:id="27"/>
    </w:p>
    <w:p w14:paraId="5F379EB3" w14:textId="44C82CE4" w:rsidR="00C540B8" w:rsidRDefault="00C540B8" w:rsidP="004E4865">
      <w:pPr>
        <w:pStyle w:val="Nagwek2"/>
        <w:numPr>
          <w:ilvl w:val="0"/>
          <w:numId w:val="22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DD732C" w:rsidR="00C540B8" w:rsidRDefault="00C540B8" w:rsidP="004E4865">
      <w:pPr>
        <w:pStyle w:val="Nagwek3"/>
        <w:numPr>
          <w:ilvl w:val="0"/>
          <w:numId w:val="23"/>
        </w:numPr>
        <w:ind w:left="851" w:hanging="284"/>
      </w:pPr>
      <w:r w:rsidRPr="00C540B8">
        <w:t>Wykonawca może złożyć tylko jedną ofertę w</w:t>
      </w:r>
      <w:r w:rsidR="004F6D52">
        <w:t xml:space="preserve"> </w:t>
      </w:r>
      <w:r>
        <w:t>postępowani</w:t>
      </w:r>
      <w:r w:rsidR="00E47E57">
        <w:t>u</w:t>
      </w:r>
      <w:r>
        <w:t>;</w:t>
      </w:r>
    </w:p>
    <w:p w14:paraId="4849800E" w14:textId="0B5371BA" w:rsidR="008B0002" w:rsidRDefault="008B0002" w:rsidP="004E4865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4E4865">
      <w:pPr>
        <w:pStyle w:val="Nagwek3"/>
        <w:numPr>
          <w:ilvl w:val="0"/>
          <w:numId w:val="54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4E4865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4E4865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</w:t>
      </w:r>
      <w:r w:rsidRPr="00915A9C">
        <w:rPr>
          <w:rFonts w:eastAsia="Arial Unicode MS"/>
        </w:rPr>
        <w:lastRenderedPageBreak/>
        <w:t>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4E4865">
      <w:pPr>
        <w:pStyle w:val="Nagwek3"/>
        <w:numPr>
          <w:ilvl w:val="0"/>
          <w:numId w:val="54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4E4865">
      <w:pPr>
        <w:pStyle w:val="Nagwek3"/>
        <w:numPr>
          <w:ilvl w:val="0"/>
          <w:numId w:val="54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4E4865">
      <w:pPr>
        <w:pStyle w:val="Nagwek3"/>
        <w:numPr>
          <w:ilvl w:val="0"/>
          <w:numId w:val="54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4E4865">
      <w:pPr>
        <w:pStyle w:val="Nagwek3"/>
        <w:numPr>
          <w:ilvl w:val="0"/>
          <w:numId w:val="54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4E4865">
      <w:pPr>
        <w:pStyle w:val="Nagwek4"/>
        <w:numPr>
          <w:ilvl w:val="0"/>
          <w:numId w:val="24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4E4865">
      <w:pPr>
        <w:pStyle w:val="Nagwek3"/>
        <w:keepLines/>
        <w:numPr>
          <w:ilvl w:val="0"/>
          <w:numId w:val="54"/>
        </w:numPr>
        <w:ind w:left="851" w:hanging="284"/>
      </w:pPr>
      <w:r w:rsidRPr="007213C6">
        <w:lastRenderedPageBreak/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4E4865">
      <w:pPr>
        <w:pStyle w:val="Nagwek3"/>
        <w:numPr>
          <w:ilvl w:val="0"/>
          <w:numId w:val="54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4E4865">
      <w:pPr>
        <w:pStyle w:val="Nagwek3"/>
        <w:numPr>
          <w:ilvl w:val="0"/>
          <w:numId w:val="54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4E4865">
      <w:pPr>
        <w:pStyle w:val="Nagwek3"/>
        <w:numPr>
          <w:ilvl w:val="0"/>
          <w:numId w:val="54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4E4865">
      <w:pPr>
        <w:pStyle w:val="Nagwek3"/>
        <w:numPr>
          <w:ilvl w:val="0"/>
          <w:numId w:val="54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3321F1E2" w:rsidR="00871CE0" w:rsidRDefault="00002F1C" w:rsidP="004E4865">
      <w:pPr>
        <w:pStyle w:val="Nagwek3"/>
        <w:numPr>
          <w:ilvl w:val="0"/>
          <w:numId w:val="54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27E44" w:rsidRPr="00EE444D">
        <w:t>z podaniem</w:t>
      </w:r>
      <w:r w:rsidR="00827E44">
        <w:t xml:space="preserve"> cen jednostkowych netto,</w:t>
      </w:r>
      <w:r w:rsidR="00827E44" w:rsidRPr="00EE444D">
        <w:t xml:space="preserve"> wartości netto, stawki i doliczonej wartości podatku VAT, ceny brutto za przedmiot zamówienia, a</w:t>
      </w:r>
      <w:r w:rsidR="00827E44">
        <w:t> </w:t>
      </w:r>
      <w:r w:rsidR="00827E44" w:rsidRPr="00EE444D">
        <w:t>także terminu, warunków realizacj</w:t>
      </w:r>
      <w:r w:rsidR="00827E44">
        <w:t>i zamówienia, okresu gwarancji</w:t>
      </w:r>
      <w:r w:rsidR="00EB2BA0" w:rsidRPr="00EB2BA0">
        <w:t>.</w:t>
      </w:r>
    </w:p>
    <w:p w14:paraId="05F430AC" w14:textId="2B4AF305" w:rsidR="00EB2BA0" w:rsidRDefault="00827E44" w:rsidP="004E4865">
      <w:pPr>
        <w:pStyle w:val="Nagwek3"/>
        <w:numPr>
          <w:ilvl w:val="0"/>
          <w:numId w:val="54"/>
        </w:numPr>
        <w:ind w:left="851" w:hanging="284"/>
        <w:rPr>
          <w:b/>
        </w:rPr>
      </w:pPr>
      <w:r w:rsidRPr="00D35008">
        <w:rPr>
          <w:rFonts w:eastAsia="Arial Unicode MS"/>
        </w:rPr>
        <w:t xml:space="preserve">Okres gwarancji oraz </w:t>
      </w:r>
      <w:r w:rsidRPr="00EE444D">
        <w:rPr>
          <w:rFonts w:eastAsia="Arial Unicode MS"/>
        </w:rPr>
        <w:t>term</w:t>
      </w:r>
      <w:r>
        <w:rPr>
          <w:rFonts w:eastAsia="Arial Unicode MS"/>
        </w:rPr>
        <w:t>in realizacji zamówienia powin</w:t>
      </w:r>
      <w:r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 </w:t>
      </w:r>
      <w:r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Pr="00EE444D">
        <w:rPr>
          <w:rFonts w:eastAsia="Arial Unicode MS"/>
        </w:rPr>
        <w:t xml:space="preserve"> słownym, Zamawiając</w:t>
      </w:r>
      <w:r>
        <w:rPr>
          <w:rFonts w:eastAsia="Arial Unicode MS"/>
        </w:rPr>
        <w:t>y przyjmie zapis podany słownie</w:t>
      </w:r>
      <w:r w:rsidR="00822B84">
        <w:rPr>
          <w:rFonts w:eastAsia="Palatino Linotype" w:cs="Arial"/>
          <w:color w:val="000000"/>
          <w:szCs w:val="20"/>
          <w:lang w:eastAsia="pl-PL"/>
        </w:rPr>
        <w:t>.</w:t>
      </w:r>
      <w:r w:rsidR="000C13DB" w:rsidRPr="000C13DB">
        <w:rPr>
          <w:rFonts w:eastAsia="Arial Unicode MS" w:cs="Arial"/>
          <w:sz w:val="22"/>
          <w:vertAlign w:val="superscript"/>
        </w:rPr>
        <w:t xml:space="preserve"> </w:t>
      </w:r>
    </w:p>
    <w:p w14:paraId="647D3FC1" w14:textId="273DF919" w:rsidR="00D43F9F" w:rsidRPr="00A94DDB" w:rsidRDefault="00A94DDB" w:rsidP="004E4865">
      <w:pPr>
        <w:numPr>
          <w:ilvl w:val="0"/>
          <w:numId w:val="12"/>
        </w:numPr>
        <w:ind w:left="851" w:hanging="284"/>
        <w:contextualSpacing/>
        <w:outlineLvl w:val="2"/>
        <w:rPr>
          <w:rFonts w:eastAsia="Palatino Linotype" w:cs="Times New Roman"/>
          <w:b/>
          <w:bCs/>
          <w:szCs w:val="26"/>
          <w:lang w:eastAsia="x-none"/>
        </w:rPr>
      </w:pPr>
      <w:r w:rsidRPr="008C3708">
        <w:rPr>
          <w:rFonts w:eastAsia="Palatino Linotype" w:cs="Times New Roman"/>
          <w:b/>
        </w:rPr>
        <w:t>Wykonawca winien skonkretyzować w formularzu oferty (załącznik nr 1A do SWZ) oferowan</w:t>
      </w:r>
      <w:r>
        <w:rPr>
          <w:rFonts w:eastAsia="Palatino Linotype" w:cs="Times New Roman"/>
          <w:b/>
        </w:rPr>
        <w:t>e</w:t>
      </w:r>
      <w:r w:rsidRPr="008C3708">
        <w:rPr>
          <w:rFonts w:eastAsia="Palatino Linotype" w:cs="Times New Roman"/>
          <w:b/>
        </w:rPr>
        <w:t xml:space="preserve"> </w:t>
      </w:r>
      <w:r w:rsidR="00122898">
        <w:rPr>
          <w:rFonts w:eastAsia="Palatino Linotype" w:cs="Times New Roman"/>
          <w:b/>
        </w:rPr>
        <w:t>m</w:t>
      </w:r>
      <w:r>
        <w:rPr>
          <w:rFonts w:eastAsia="Palatino Linotype" w:cs="Times New Roman"/>
          <w:b/>
        </w:rPr>
        <w:t>eble</w:t>
      </w:r>
      <w:r w:rsidRPr="008C3708">
        <w:rPr>
          <w:rFonts w:eastAsia="Palatino Linotype" w:cs="Times New Roman"/>
          <w:b/>
        </w:rPr>
        <w:t xml:space="preserve"> podając nazwę producenta wraz z podaniem modelu/typu </w:t>
      </w:r>
      <w:r w:rsidR="00122898">
        <w:rPr>
          <w:rFonts w:eastAsia="Palatino Linotype" w:cs="Times New Roman"/>
          <w:b/>
        </w:rPr>
        <w:t>m</w:t>
      </w:r>
      <w:r>
        <w:rPr>
          <w:rFonts w:eastAsia="Palatino Linotype" w:cs="Times New Roman"/>
          <w:b/>
        </w:rPr>
        <w:t>ebli</w:t>
      </w:r>
      <w:r w:rsidRPr="008C3708">
        <w:rPr>
          <w:rFonts w:eastAsia="Palatino Linotype" w:cs="Times New Roman"/>
          <w:b/>
        </w:rPr>
        <w:t xml:space="preserve"> lub innych, przypisanych wyłącznie temu produktowi cech (np. nr katalogowy), jednoznacznie identyfikujących zaoferowan</w:t>
      </w:r>
      <w:r>
        <w:rPr>
          <w:rFonts w:eastAsia="Palatino Linotype" w:cs="Times New Roman"/>
          <w:b/>
        </w:rPr>
        <w:t>e</w:t>
      </w:r>
      <w:r w:rsidRPr="008C3708">
        <w:rPr>
          <w:rFonts w:eastAsia="Palatino Linotype" w:cs="Times New Roman"/>
          <w:b/>
        </w:rPr>
        <w:t xml:space="preserve"> </w:t>
      </w:r>
      <w:r w:rsidR="00122898">
        <w:rPr>
          <w:rFonts w:eastAsia="Palatino Linotype" w:cs="Times New Roman"/>
          <w:b/>
        </w:rPr>
        <w:t>m</w:t>
      </w:r>
      <w:r>
        <w:rPr>
          <w:rFonts w:eastAsia="Palatino Linotype" w:cs="Times New Roman"/>
          <w:b/>
        </w:rPr>
        <w:t>eble</w:t>
      </w:r>
      <w:r w:rsidRPr="008C3708">
        <w:rPr>
          <w:rFonts w:eastAsia="Palatino Linotype" w:cs="Times New Roman"/>
          <w:b/>
        </w:rPr>
        <w:t xml:space="preserve">. W przypadku </w:t>
      </w:r>
      <w:r w:rsidR="00122898">
        <w:rPr>
          <w:rFonts w:eastAsia="Palatino Linotype" w:cs="Times New Roman"/>
          <w:b/>
        </w:rPr>
        <w:t>m</w:t>
      </w:r>
      <w:r>
        <w:rPr>
          <w:rFonts w:eastAsia="Palatino Linotype" w:cs="Times New Roman"/>
          <w:b/>
        </w:rPr>
        <w:t>ebli</w:t>
      </w:r>
      <w:r w:rsidRPr="008C3708">
        <w:rPr>
          <w:rFonts w:eastAsia="Palatino Linotype" w:cs="Times New Roman"/>
          <w:b/>
        </w:rPr>
        <w:t>, któr</w:t>
      </w:r>
      <w:r>
        <w:rPr>
          <w:rFonts w:eastAsia="Palatino Linotype" w:cs="Times New Roman"/>
          <w:b/>
        </w:rPr>
        <w:t>e</w:t>
      </w:r>
      <w:r w:rsidRPr="008C3708">
        <w:rPr>
          <w:rFonts w:eastAsia="Palatino Linotype" w:cs="Times New Roman"/>
          <w:b/>
        </w:rPr>
        <w:t xml:space="preserve"> nie posiada</w:t>
      </w:r>
      <w:r>
        <w:rPr>
          <w:rFonts w:eastAsia="Palatino Linotype" w:cs="Times New Roman"/>
          <w:b/>
        </w:rPr>
        <w:t>ją</w:t>
      </w:r>
      <w:r w:rsidRPr="008C3708">
        <w:rPr>
          <w:rFonts w:eastAsia="Palatino Linotype" w:cs="Times New Roman"/>
          <w:b/>
        </w:rPr>
        <w:t xml:space="preserve"> oznaczeń, o których mowa powyżej, produkowanych na zamówienie, Wykonawca winien w formularzu oferty wskazać w kolumnie model/typ – „wyrób na zamówienie”, „wyrób własny” lub inny równoznaczny zwrot. </w:t>
      </w:r>
    </w:p>
    <w:p w14:paraId="1D73CE36" w14:textId="72AD85D5" w:rsidR="00C540B8" w:rsidRDefault="00915A9C" w:rsidP="004E4865">
      <w:pPr>
        <w:pStyle w:val="Nagwek3"/>
        <w:numPr>
          <w:ilvl w:val="0"/>
          <w:numId w:val="54"/>
        </w:numPr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1222A90E" w:rsidR="00A57F79" w:rsidRPr="00A57F79" w:rsidRDefault="00A57F79" w:rsidP="004E4865">
      <w:pPr>
        <w:pStyle w:val="Nagwek3"/>
        <w:numPr>
          <w:ilvl w:val="0"/>
          <w:numId w:val="25"/>
        </w:numPr>
        <w:ind w:left="851" w:hanging="284"/>
      </w:pPr>
      <w:r>
        <w:t>C</w:t>
      </w:r>
      <w:r w:rsidRPr="00A57F79">
        <w:t>ena podana w ofercie 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822B84">
        <w:t xml:space="preserve"> 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28" w:name="_Hlk65494348"/>
      <w:r w:rsidR="00A94DDB" w:rsidRPr="00A40E9B">
        <w:rPr>
          <w:rFonts w:eastAsiaTheme="minorHAnsi" w:cs="Arial"/>
          <w:bCs w:val="0"/>
          <w:szCs w:val="20"/>
          <w:lang w:eastAsia="en-US"/>
        </w:rPr>
        <w:t>koszt mebli wraz z dostarczeniem zgodnie z opisem przedmiotu zamówienia, koszt rozładunku i wniesienia  w miejsce wskazane przez Zamawiającego</w:t>
      </w:r>
      <w:r w:rsidR="00A94DDB" w:rsidRPr="000504A1">
        <w:rPr>
          <w:rFonts w:eastAsiaTheme="minorHAnsi" w:cs="Arial"/>
          <w:bCs w:val="0"/>
          <w:szCs w:val="20"/>
          <w:lang w:eastAsia="en-US"/>
        </w:rPr>
        <w:t>, koszt montażu, koszt pomiarów (jeżeli dotyczy), koszt wszelkich niezbędnych materiałów montażowych, koszt</w:t>
      </w:r>
      <w:r w:rsidR="00A94DDB" w:rsidRPr="00A40E9B">
        <w:rPr>
          <w:rFonts w:eastAsiaTheme="minorHAnsi" w:cs="Arial"/>
          <w:bCs w:val="0"/>
          <w:szCs w:val="20"/>
          <w:lang w:eastAsia="en-US"/>
        </w:rPr>
        <w:t xml:space="preserve"> zapewnienia bezpłatnego serwisu technicznego w okresie gwarancyjnym, zgodnie z wymaganiami </w:t>
      </w:r>
      <w:r w:rsidR="00A94DDB" w:rsidRPr="003C0BAA">
        <w:rPr>
          <w:rFonts w:eastAsiaTheme="minorHAnsi" w:cs="Arial"/>
          <w:bCs w:val="0"/>
          <w:szCs w:val="20"/>
          <w:lang w:eastAsia="en-US"/>
        </w:rPr>
        <w:t>SWZ, cena powinna również uwzględniać podatki, opłaty i  inne należności płatne przez Wykonawcę (w tym koszt ewentualnego cła) oraz wszelkie elementy ryzyka związane z realizacją zamówienia</w:t>
      </w:r>
      <w:r w:rsidR="00A94DDB" w:rsidRPr="003C0BAA">
        <w:rPr>
          <w:rFonts w:eastAsia="Palatino Linotype" w:cs="Arial"/>
          <w:bCs w:val="0"/>
          <w:i/>
          <w:szCs w:val="20"/>
          <w:lang w:eastAsia="en-US"/>
        </w:rPr>
        <w:t>(w tym ryzyka kursowe)</w:t>
      </w:r>
      <w:r w:rsidR="00A94DDB" w:rsidRPr="003C0BAA">
        <w:rPr>
          <w:rFonts w:eastAsia="Palatino Linotype" w:cs="Arial"/>
          <w:szCs w:val="20"/>
          <w:lang w:eastAsia="pl-PL"/>
        </w:rPr>
        <w:t>;</w:t>
      </w:r>
      <w:bookmarkEnd w:id="28"/>
    </w:p>
    <w:p w14:paraId="50592B54" w14:textId="59028481" w:rsidR="00A57F79" w:rsidRPr="00E054BA" w:rsidRDefault="00473F6B" w:rsidP="004E4865">
      <w:pPr>
        <w:pStyle w:val="Nagwek3"/>
        <w:numPr>
          <w:ilvl w:val="0"/>
          <w:numId w:val="5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4E4865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4E4865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4E4865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4E4865">
      <w:pPr>
        <w:pStyle w:val="Nagwek3"/>
        <w:numPr>
          <w:ilvl w:val="0"/>
          <w:numId w:val="54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4E4865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4E4865">
      <w:pPr>
        <w:pStyle w:val="Nagwek3"/>
        <w:keepLines/>
        <w:numPr>
          <w:ilvl w:val="0"/>
          <w:numId w:val="54"/>
        </w:numPr>
        <w:ind w:left="851" w:hanging="284"/>
      </w:pPr>
      <w:r>
        <w:lastRenderedPageBreak/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4E4865">
      <w:pPr>
        <w:pStyle w:val="Nagwek3"/>
        <w:numPr>
          <w:ilvl w:val="0"/>
          <w:numId w:val="26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4E4865">
      <w:pPr>
        <w:pStyle w:val="Nagwek3"/>
        <w:numPr>
          <w:ilvl w:val="0"/>
          <w:numId w:val="54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4E4865">
      <w:pPr>
        <w:pStyle w:val="Nagwek3"/>
        <w:numPr>
          <w:ilvl w:val="0"/>
          <w:numId w:val="54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9" w:name="_Toc66169494"/>
      <w:r>
        <w:lastRenderedPageBreak/>
        <w:t>Sposób oraz termin składania ofert.</w:t>
      </w:r>
      <w:bookmarkEnd w:id="29"/>
    </w:p>
    <w:p w14:paraId="3FE1B093" w14:textId="7502386F" w:rsidR="0031115A" w:rsidRPr="00ED6871" w:rsidRDefault="0031115A" w:rsidP="004E4865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9D32EA8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EF2D47" w:rsidRPr="00EF2D47">
        <w:rPr>
          <w:b/>
          <w:lang w:eastAsia="x-none"/>
        </w:rPr>
        <w:t>17.11.2023 r.</w:t>
      </w:r>
      <w:r w:rsidR="00013813" w:rsidRPr="00EF2D47">
        <w:rPr>
          <w:b/>
          <w:lang w:eastAsia="x-none"/>
        </w:rPr>
        <w:t xml:space="preserve">, </w:t>
      </w:r>
      <w:r w:rsidRPr="00EF2D47">
        <w:rPr>
          <w:b/>
          <w:lang w:eastAsia="x-none"/>
        </w:rPr>
        <w:t>do godz</w:t>
      </w:r>
      <w:r w:rsidRPr="00C66A12">
        <w:rPr>
          <w:b/>
          <w:lang w:eastAsia="x-none"/>
        </w:rPr>
        <w:t xml:space="preserve">iny </w:t>
      </w:r>
      <w:r w:rsidR="00013813">
        <w:rPr>
          <w:b/>
          <w:lang w:eastAsia="x-none"/>
        </w:rPr>
        <w:t>10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4E4865">
      <w:pPr>
        <w:pStyle w:val="Nagwek3"/>
        <w:numPr>
          <w:ilvl w:val="0"/>
          <w:numId w:val="28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>rt. 68 ustawy Pzp</w:t>
      </w:r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E1454C">
      <w:pPr>
        <w:pStyle w:val="Nagwek1"/>
      </w:pPr>
      <w:bookmarkStart w:id="30" w:name="_Toc66169495"/>
      <w:r w:rsidRPr="00C66A12">
        <w:lastRenderedPageBreak/>
        <w:t>Termin i tryb otwarcia ofert.</w:t>
      </w:r>
      <w:bookmarkEnd w:id="30"/>
    </w:p>
    <w:p w14:paraId="7D3146F9" w14:textId="4946C3EC" w:rsidR="0003593D" w:rsidRPr="00C66A12" w:rsidRDefault="0003593D" w:rsidP="004E4865">
      <w:pPr>
        <w:pStyle w:val="Nagwek2"/>
        <w:numPr>
          <w:ilvl w:val="0"/>
          <w:numId w:val="29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4040D225" w:rsidR="0003593D" w:rsidRPr="00C66A12" w:rsidRDefault="0003593D" w:rsidP="004E4865">
      <w:pPr>
        <w:pStyle w:val="Nagwek3"/>
        <w:numPr>
          <w:ilvl w:val="0"/>
          <w:numId w:val="30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EF2D47">
        <w:rPr>
          <w:rFonts w:eastAsia="Calibri"/>
          <w:b/>
        </w:rPr>
        <w:t xml:space="preserve">w dniu </w:t>
      </w:r>
      <w:r w:rsidR="00EF2D47" w:rsidRPr="00EF2D47">
        <w:rPr>
          <w:b/>
        </w:rPr>
        <w:t>17.11.2023 r.</w:t>
      </w:r>
      <w:r w:rsidR="00013813">
        <w:t>,</w:t>
      </w:r>
      <w:r w:rsidR="009A7AB0" w:rsidRPr="00C66A12">
        <w:rPr>
          <w:rFonts w:eastAsia="Calibri"/>
          <w:b/>
        </w:rPr>
        <w:t xml:space="preserve"> o godz. </w:t>
      </w:r>
      <w:r w:rsidR="00013813">
        <w:rPr>
          <w:rFonts w:eastAsia="Calibri"/>
          <w:b/>
        </w:rPr>
        <w:t>10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4E4865">
      <w:pPr>
        <w:pStyle w:val="Nagwek3"/>
        <w:numPr>
          <w:ilvl w:val="0"/>
          <w:numId w:val="31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4E4865">
      <w:pPr>
        <w:pStyle w:val="Nagwek4"/>
        <w:numPr>
          <w:ilvl w:val="0"/>
          <w:numId w:val="48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4E4865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Zgodnie z przepisami ustawy Pzp,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E1454C">
      <w:pPr>
        <w:pStyle w:val="Nagwek1"/>
      </w:pPr>
      <w:bookmarkStart w:id="31" w:name="_Toc66169496"/>
      <w:r w:rsidRPr="00C66A12">
        <w:t>Termin związania ofertą.</w:t>
      </w:r>
      <w:bookmarkEnd w:id="31"/>
      <w:r w:rsidRPr="00C66A12">
        <w:t xml:space="preserve"> </w:t>
      </w:r>
      <w:bookmarkStart w:id="32" w:name="_GoBack"/>
      <w:bookmarkEnd w:id="32"/>
    </w:p>
    <w:p w14:paraId="2B839405" w14:textId="0FA7F6F1" w:rsidR="00D06776" w:rsidRPr="00C66A12" w:rsidRDefault="00D06776" w:rsidP="004E4865">
      <w:pPr>
        <w:pStyle w:val="Nagwek2"/>
        <w:numPr>
          <w:ilvl w:val="0"/>
          <w:numId w:val="32"/>
        </w:numPr>
        <w:ind w:left="567" w:hanging="283"/>
      </w:pPr>
      <w:r w:rsidRPr="00C66A12">
        <w:t>Określenie terminu związania ofertą.</w:t>
      </w:r>
    </w:p>
    <w:p w14:paraId="39B93014" w14:textId="0A9D2675" w:rsidR="00D06776" w:rsidRPr="00EF2D47" w:rsidRDefault="00D06776" w:rsidP="00ED6871">
      <w:pPr>
        <w:pStyle w:val="Nagwek3"/>
        <w:numPr>
          <w:ilvl w:val="0"/>
          <w:numId w:val="0"/>
        </w:numPr>
        <w:ind w:left="567"/>
        <w:rPr>
          <w:b/>
        </w:rPr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EF2D47">
        <w:rPr>
          <w:b/>
        </w:rPr>
        <w:t xml:space="preserve">do dnia </w:t>
      </w:r>
      <w:r w:rsidR="00EF2D47" w:rsidRPr="00EF2D47">
        <w:rPr>
          <w:b/>
        </w:rPr>
        <w:t>16.12.2023 r.</w:t>
      </w:r>
    </w:p>
    <w:p w14:paraId="2A2BB542" w14:textId="5D40E593" w:rsidR="00782008" w:rsidRDefault="00782008" w:rsidP="00ED6871">
      <w:pPr>
        <w:pStyle w:val="Nagwek2"/>
      </w:pPr>
      <w:r>
        <w:lastRenderedPageBreak/>
        <w:t>Przedłużenie terminu związania ofertą.</w:t>
      </w:r>
    </w:p>
    <w:p w14:paraId="1DB40FB2" w14:textId="181247C2" w:rsidR="00782008" w:rsidRDefault="00782008" w:rsidP="004E4865">
      <w:pPr>
        <w:pStyle w:val="Nagwek3"/>
        <w:numPr>
          <w:ilvl w:val="0"/>
          <w:numId w:val="33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4E4865">
      <w:pPr>
        <w:pStyle w:val="Nagwek3"/>
        <w:numPr>
          <w:ilvl w:val="0"/>
          <w:numId w:val="54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4E4865">
      <w:pPr>
        <w:pStyle w:val="Nagwek3"/>
        <w:numPr>
          <w:ilvl w:val="0"/>
          <w:numId w:val="54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33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3"/>
    </w:p>
    <w:p w14:paraId="66A324C0" w14:textId="77777777" w:rsidR="00013813" w:rsidRPr="00E054BA" w:rsidRDefault="00013813" w:rsidP="00013813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BC5DA1B" w14:textId="77777777" w:rsidR="00013813" w:rsidRDefault="00013813" w:rsidP="004E4865">
      <w:pPr>
        <w:pStyle w:val="Nagwek3"/>
        <w:numPr>
          <w:ilvl w:val="0"/>
          <w:numId w:val="60"/>
        </w:numPr>
        <w:ind w:left="851" w:hanging="284"/>
      </w:pPr>
      <w:r>
        <w:t>Z</w:t>
      </w:r>
      <w:r w:rsidRPr="00E054BA">
        <w:t>a ofertę najkorzystniejszą 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013813" w:rsidRPr="00957C9F" w14:paraId="08403174" w14:textId="77777777" w:rsidTr="00C7705D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04CF70F" w14:textId="77777777" w:rsidR="00013813" w:rsidRPr="00957C9F" w:rsidRDefault="00013813" w:rsidP="00C7705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AEA53B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0E05BDC6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0D4E19CB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13813" w:rsidRPr="00E054BA" w14:paraId="281C7E3D" w14:textId="77777777" w:rsidTr="00C7705D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1B5E52B" w14:textId="77777777" w:rsidR="00013813" w:rsidRPr="00791BE2" w:rsidRDefault="00013813" w:rsidP="00C7705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5A2554AC" w14:textId="77777777" w:rsidR="00013813" w:rsidRPr="00957C9F" w:rsidRDefault="00013813" w:rsidP="00C7705D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52E3136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822BF95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13813" w:rsidRPr="00E054BA" w14:paraId="46F6F3FD" w14:textId="77777777" w:rsidTr="00C7705D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823AC18" w14:textId="77777777" w:rsidR="00013813" w:rsidRPr="00791BE2" w:rsidRDefault="00013813" w:rsidP="00C7705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B8E0EED" w14:textId="77777777" w:rsidR="00013813" w:rsidRPr="00957C9F" w:rsidRDefault="00013813" w:rsidP="00C7705D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3DF7DC0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FE81EEB" w14:textId="77777777" w:rsidR="00013813" w:rsidRPr="00957C9F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013813" w:rsidRPr="00606A54" w14:paraId="01113D06" w14:textId="77777777" w:rsidTr="00C7705D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AFB09DB" w14:textId="77777777" w:rsidR="00013813" w:rsidRPr="00E658BA" w:rsidRDefault="00013813" w:rsidP="00C7705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FFFFFF" w:themeColor="background1"/>
                <w:szCs w:val="20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5BB5BAF9" w14:textId="77777777" w:rsidR="00013813" w:rsidRPr="00E658BA" w:rsidRDefault="00013813" w:rsidP="00C7705D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5D2C6EF" w14:textId="77777777" w:rsidR="00013813" w:rsidRPr="00E658BA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226AEEA" w14:textId="77777777" w:rsidR="00013813" w:rsidRPr="00E658BA" w:rsidRDefault="00013813" w:rsidP="00C7705D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E658BA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0D5EC5E1" w14:textId="77777777" w:rsidR="00013813" w:rsidRDefault="00013813" w:rsidP="00013813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07DA1326" w14:textId="77777777" w:rsidR="00013813" w:rsidRPr="00E054BA" w:rsidRDefault="00013813" w:rsidP="004E4865">
      <w:pPr>
        <w:pStyle w:val="Nagwek3"/>
        <w:numPr>
          <w:ilvl w:val="0"/>
          <w:numId w:val="17"/>
        </w:numPr>
        <w:spacing w:before="120"/>
        <w:ind w:left="851" w:hanging="284"/>
      </w:pPr>
      <w:r>
        <w:t>O</w:t>
      </w:r>
      <w:r w:rsidRPr="00E054BA">
        <w:t>pis stosowanych kryteriów oraz sposób oceny ofert:</w:t>
      </w:r>
    </w:p>
    <w:p w14:paraId="541D3F94" w14:textId="77777777" w:rsidR="00013813" w:rsidRPr="00E054BA" w:rsidRDefault="00013813" w:rsidP="004E4865">
      <w:pPr>
        <w:pStyle w:val="Nagwek4"/>
        <w:numPr>
          <w:ilvl w:val="0"/>
          <w:numId w:val="61"/>
        </w:numPr>
        <w:ind w:left="1134" w:hanging="283"/>
      </w:pPr>
      <w:r w:rsidRPr="00E054BA">
        <w:t>zasady przyznawania punktów w kryterium</w:t>
      </w:r>
      <w:r w:rsidRPr="00013813">
        <w:rPr>
          <w:b/>
        </w:rPr>
        <w:t xml:space="preserve"> „cena brutto”:</w:t>
      </w:r>
    </w:p>
    <w:p w14:paraId="011CFDC1" w14:textId="77777777" w:rsidR="00013813" w:rsidRPr="00CE4834" w:rsidRDefault="00013813" w:rsidP="004E4865">
      <w:pPr>
        <w:pStyle w:val="Akapitzlist"/>
        <w:numPr>
          <w:ilvl w:val="0"/>
          <w:numId w:val="3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503F7CF9" w14:textId="77777777" w:rsidR="00013813" w:rsidRPr="00CE4834" w:rsidRDefault="00013813" w:rsidP="00013813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2EAA4E93" w14:textId="77777777" w:rsidR="00013813" w:rsidRPr="00CE4834" w:rsidRDefault="00013813" w:rsidP="004E4865">
      <w:pPr>
        <w:pStyle w:val="Akapitzlist"/>
        <w:numPr>
          <w:ilvl w:val="0"/>
          <w:numId w:val="3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569534D8" w14:textId="77777777" w:rsidR="00013813" w:rsidRPr="00CE4834" w:rsidRDefault="00013813" w:rsidP="004E4865">
      <w:pPr>
        <w:pStyle w:val="Akapitzlist"/>
        <w:numPr>
          <w:ilvl w:val="0"/>
          <w:numId w:val="3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35191B56" w14:textId="77777777" w:rsidR="00013813" w:rsidRPr="00CE4834" w:rsidRDefault="00013813" w:rsidP="00013813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lastRenderedPageBreak/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1F3A760E" w14:textId="4E60EA3E" w:rsidR="00013813" w:rsidRPr="00E658BA" w:rsidRDefault="00013813" w:rsidP="00013813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</w:t>
      </w:r>
      <w:r w:rsidRPr="0071332C">
        <w:rPr>
          <w:rFonts w:ascii="Bahnschrift" w:hAnsi="Bahnschrift" w:cs="Arial"/>
          <w:b/>
          <w:szCs w:val="20"/>
        </w:rPr>
        <w:t xml:space="preserve">do </w:t>
      </w:r>
      <w:r w:rsidR="0071332C" w:rsidRPr="0071332C">
        <w:rPr>
          <w:rFonts w:ascii="Bahnschrift" w:hAnsi="Bahnschrift" w:cs="Arial"/>
          <w:b/>
          <w:szCs w:val="20"/>
          <w:lang w:val="pl-PL"/>
        </w:rPr>
        <w:t>10 dni od otrzymania zamówienia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20CFB953" w14:textId="77777777" w:rsidR="00013813" w:rsidRPr="00E658BA" w:rsidRDefault="00013813" w:rsidP="004E4865">
      <w:pPr>
        <w:pStyle w:val="Akapitzlist"/>
        <w:numPr>
          <w:ilvl w:val="0"/>
          <w:numId w:val="59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 xml:space="preserve">dla tego kryterium będzie obliczana na podstawie złożonego przez Wykonawcę oświadczenia  w formularzu oferty (pkt. 3 </w:t>
      </w:r>
      <w:proofErr w:type="spellStart"/>
      <w:r w:rsidRPr="00E658BA">
        <w:rPr>
          <w:rFonts w:cs="Arial"/>
          <w:szCs w:val="20"/>
          <w:lang w:eastAsia="pl-PL"/>
        </w:rPr>
        <w:t>ppkt</w:t>
      </w:r>
      <w:proofErr w:type="spellEnd"/>
      <w:r w:rsidRPr="00E658BA">
        <w:rPr>
          <w:rFonts w:cs="Arial"/>
          <w:szCs w:val="20"/>
          <w:lang w:eastAsia="pl-PL"/>
        </w:rPr>
        <w:t xml:space="preserve">. 1 </w:t>
      </w:r>
      <w:r w:rsidRPr="00E658BA">
        <w:rPr>
          <w:rFonts w:cs="Arial"/>
          <w:szCs w:val="20"/>
        </w:rPr>
        <w:t>formularza ofertowego</w:t>
      </w:r>
      <w:r w:rsidRPr="00E658BA">
        <w:rPr>
          <w:rFonts w:cs="Arial"/>
          <w:szCs w:val="20"/>
          <w:lang w:eastAsia="pl-PL"/>
        </w:rPr>
        <w:t>);</w:t>
      </w:r>
    </w:p>
    <w:p w14:paraId="5C056E81" w14:textId="0FDFA6EC" w:rsidR="00013813" w:rsidRPr="00E658BA" w:rsidRDefault="00013813" w:rsidP="004E4865">
      <w:pPr>
        <w:pStyle w:val="Akapitzlist"/>
        <w:numPr>
          <w:ilvl w:val="0"/>
          <w:numId w:val="59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Zamawiający w ramach tego kryterium przyzna maksymalnie </w:t>
      </w:r>
      <w:r w:rsidRPr="00E658BA">
        <w:rPr>
          <w:rFonts w:cs="Arial"/>
          <w:b/>
          <w:szCs w:val="20"/>
          <w:lang w:eastAsia="pl-PL"/>
        </w:rPr>
        <w:t xml:space="preserve"> </w:t>
      </w:r>
      <w:r w:rsidR="0071332C">
        <w:rPr>
          <w:rFonts w:cs="Arial"/>
          <w:b/>
          <w:szCs w:val="20"/>
          <w:lang w:eastAsia="pl-PL"/>
        </w:rPr>
        <w:t xml:space="preserve">20 </w:t>
      </w:r>
      <w:r w:rsidRPr="00E658BA">
        <w:rPr>
          <w:rFonts w:cs="Arial"/>
          <w:b/>
          <w:szCs w:val="20"/>
          <w:lang w:eastAsia="pl-PL"/>
        </w:rPr>
        <w:t>pkt;</w:t>
      </w:r>
    </w:p>
    <w:p w14:paraId="576D4465" w14:textId="200352BA" w:rsidR="00013813" w:rsidRPr="00E658BA" w:rsidRDefault="00013813" w:rsidP="004E4865">
      <w:pPr>
        <w:pStyle w:val="Akapitzlist"/>
        <w:numPr>
          <w:ilvl w:val="0"/>
          <w:numId w:val="59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 xml:space="preserve">za każdy dzień poniżej </w:t>
      </w:r>
      <w:r w:rsidR="0071332C" w:rsidRPr="0071332C">
        <w:rPr>
          <w:rFonts w:cs="Arial"/>
          <w:b/>
          <w:szCs w:val="20"/>
        </w:rPr>
        <w:t>10</w:t>
      </w:r>
      <w:r w:rsidRPr="0071332C">
        <w:rPr>
          <w:rFonts w:cs="Arial"/>
          <w:b/>
          <w:szCs w:val="20"/>
        </w:rPr>
        <w:t xml:space="preserve"> dni</w:t>
      </w:r>
      <w:r w:rsidRPr="00E658BA">
        <w:rPr>
          <w:rFonts w:cs="Arial"/>
          <w:szCs w:val="20"/>
        </w:rPr>
        <w:t xml:space="preserve"> Zamawiający przyzna </w:t>
      </w:r>
      <w:r w:rsidR="0071332C">
        <w:rPr>
          <w:rFonts w:cs="Arial"/>
          <w:szCs w:val="20"/>
        </w:rPr>
        <w:t>2,5</w:t>
      </w:r>
      <w:r w:rsidRPr="00E658BA">
        <w:rPr>
          <w:rFonts w:cs="Arial"/>
          <w:szCs w:val="20"/>
        </w:rPr>
        <w:t xml:space="preserve"> punkt</w:t>
      </w:r>
      <w:r w:rsidR="0071332C">
        <w:rPr>
          <w:rFonts w:cs="Arial"/>
          <w:szCs w:val="20"/>
        </w:rPr>
        <w:t>u</w:t>
      </w:r>
      <w:r w:rsidRPr="00E658BA">
        <w:rPr>
          <w:rFonts w:cs="Arial"/>
          <w:szCs w:val="20"/>
        </w:rPr>
        <w:t xml:space="preserve">, tj.: </w:t>
      </w:r>
    </w:p>
    <w:p w14:paraId="15E5C85C" w14:textId="26BC3C15" w:rsidR="00013813" w:rsidRPr="00E658BA" w:rsidRDefault="0071332C" w:rsidP="004E4865">
      <w:pPr>
        <w:pStyle w:val="Tekstpodstawowywcity2"/>
        <w:widowControl w:val="0"/>
        <w:numPr>
          <w:ilvl w:val="0"/>
          <w:numId w:val="58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10</w:t>
      </w:r>
      <w:r w:rsidR="00013813" w:rsidRPr="00E658BA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9</w:t>
      </w:r>
      <w:r w:rsidR="00013813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2,5</w:t>
      </w:r>
      <w:r w:rsidR="00013813" w:rsidRPr="00E658BA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8</w:t>
      </w:r>
      <w:r w:rsidR="00013813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5</w:t>
      </w:r>
      <w:r w:rsidR="00013813" w:rsidRPr="00E658BA">
        <w:rPr>
          <w:rFonts w:ascii="Bahnschrift" w:hAnsi="Bahnschrift" w:cs="Arial"/>
          <w:szCs w:val="20"/>
        </w:rPr>
        <w:t xml:space="preserve"> pkt; …</w:t>
      </w:r>
      <w:r w:rsidR="00013813" w:rsidRPr="00E658BA">
        <w:rPr>
          <w:rFonts w:ascii="Bahnschrift" w:hAnsi="Bahnschrift" w:cs="Arial"/>
          <w:szCs w:val="20"/>
          <w:lang w:val="pl-PL"/>
        </w:rPr>
        <w:t>.</w:t>
      </w:r>
      <w:r w:rsidR="00013813" w:rsidRPr="00E658BA">
        <w:rPr>
          <w:rFonts w:ascii="Bahnschrift" w:hAnsi="Bahnschrift" w:cs="Arial"/>
          <w:szCs w:val="20"/>
        </w:rPr>
        <w:t xml:space="preserve"> ; </w:t>
      </w:r>
      <w:r>
        <w:rPr>
          <w:rFonts w:ascii="Bahnschrift" w:hAnsi="Bahnschrift" w:cs="Arial"/>
          <w:szCs w:val="20"/>
          <w:lang w:val="pl-PL"/>
        </w:rPr>
        <w:t>3</w:t>
      </w:r>
      <w:r w:rsidR="00013813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17,5</w:t>
      </w:r>
      <w:r w:rsidR="00013813" w:rsidRPr="00E658BA">
        <w:rPr>
          <w:rFonts w:ascii="Bahnschrift" w:hAnsi="Bahnschrift" w:cs="Arial"/>
          <w:szCs w:val="20"/>
        </w:rPr>
        <w:t xml:space="preserve"> pkt), </w:t>
      </w:r>
      <w:r>
        <w:rPr>
          <w:rFonts w:ascii="Bahnschrift" w:hAnsi="Bahnschrift" w:cs="Arial"/>
          <w:szCs w:val="20"/>
          <w:lang w:val="pl-PL"/>
        </w:rPr>
        <w:t>2</w:t>
      </w:r>
      <w:r w:rsidR="00013813" w:rsidRPr="00E658BA">
        <w:rPr>
          <w:rFonts w:ascii="Bahnschrift" w:hAnsi="Bahnschrift" w:cs="Arial"/>
          <w:szCs w:val="20"/>
        </w:rPr>
        <w:t xml:space="preserve"> </w:t>
      </w:r>
      <w:r w:rsidR="00013813" w:rsidRPr="00E658BA">
        <w:rPr>
          <w:rFonts w:ascii="Bahnschrift" w:hAnsi="Bahnschrift" w:cs="Arial"/>
          <w:szCs w:val="20"/>
          <w:lang w:val="pl-PL"/>
        </w:rPr>
        <w:t>dni</w:t>
      </w:r>
      <w:r w:rsidR="00013813" w:rsidRPr="00E658BA">
        <w:rPr>
          <w:rFonts w:ascii="Bahnschrift" w:hAnsi="Bahnschrift" w:cs="Arial"/>
          <w:szCs w:val="20"/>
        </w:rPr>
        <w:t xml:space="preserve"> – </w:t>
      </w:r>
      <w:r w:rsidR="004E4865">
        <w:rPr>
          <w:rFonts w:ascii="Bahnschrift" w:hAnsi="Bahnschrift" w:cs="Arial"/>
          <w:szCs w:val="20"/>
          <w:lang w:val="pl-PL"/>
        </w:rPr>
        <w:t>20</w:t>
      </w:r>
      <w:r w:rsidR="00013813" w:rsidRPr="00E658BA">
        <w:rPr>
          <w:rFonts w:ascii="Bahnschrift" w:hAnsi="Bahnschrift" w:cs="Arial"/>
          <w:szCs w:val="20"/>
        </w:rPr>
        <w:t xml:space="preserve"> pkt</w:t>
      </w:r>
      <w:r w:rsidR="00013813" w:rsidRPr="00E658BA">
        <w:rPr>
          <w:rFonts w:ascii="Bahnschrift" w:hAnsi="Bahnschrift" w:cs="Arial"/>
          <w:szCs w:val="20"/>
          <w:lang w:val="pl-PL"/>
        </w:rPr>
        <w:t>,</w:t>
      </w:r>
    </w:p>
    <w:p w14:paraId="2B4439F4" w14:textId="7466FD34" w:rsidR="00013813" w:rsidRPr="00E658BA" w:rsidRDefault="00013813" w:rsidP="004E4865">
      <w:pPr>
        <w:pStyle w:val="Tekstpodstawowywcity2"/>
        <w:widowControl w:val="0"/>
        <w:numPr>
          <w:ilvl w:val="0"/>
          <w:numId w:val="58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terminu krótszego niż </w:t>
      </w:r>
      <w:r w:rsidR="0071332C">
        <w:rPr>
          <w:rFonts w:ascii="Bahnschrift" w:hAnsi="Bahnschrift" w:cs="Arial"/>
          <w:szCs w:val="20"/>
          <w:lang w:val="pl-PL"/>
        </w:rPr>
        <w:t>2</w:t>
      </w:r>
      <w:r w:rsidRPr="00E658BA">
        <w:rPr>
          <w:rFonts w:ascii="Bahnschrift" w:hAnsi="Bahnschrift" w:cs="Arial"/>
          <w:szCs w:val="20"/>
          <w:lang w:val="pl-PL"/>
        </w:rPr>
        <w:t xml:space="preserve"> dni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Pr="00E658BA">
        <w:rPr>
          <w:rFonts w:ascii="Bahnschrift" w:hAnsi="Bahnschrift" w:cs="Arial"/>
          <w:szCs w:val="20"/>
          <w:lang w:val="pl-PL"/>
        </w:rPr>
        <w:t>20,</w:t>
      </w:r>
    </w:p>
    <w:p w14:paraId="737018E2" w14:textId="0F383E13" w:rsidR="00013813" w:rsidRPr="00E658BA" w:rsidRDefault="00013813" w:rsidP="004E4865">
      <w:pPr>
        <w:numPr>
          <w:ilvl w:val="0"/>
          <w:numId w:val="58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zamówienia(tj. &gt;</w:t>
      </w:r>
      <w:r w:rsidR="0071332C">
        <w:rPr>
          <w:rFonts w:cs="Arial"/>
          <w:szCs w:val="20"/>
        </w:rPr>
        <w:t>10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2E778EBD" w14:textId="77777777" w:rsidR="00013813" w:rsidRPr="00E658BA" w:rsidRDefault="00013813" w:rsidP="00013813">
      <w:pPr>
        <w:pStyle w:val="Nagwek4"/>
        <w:ind w:left="1134" w:hanging="284"/>
      </w:pPr>
      <w:r w:rsidRPr="00E658BA">
        <w:t xml:space="preserve">zasady przyznawania punktów w kryterium </w:t>
      </w:r>
      <w:r w:rsidRPr="00E658BA">
        <w:rPr>
          <w:b/>
        </w:rPr>
        <w:t>„</w:t>
      </w:r>
      <w:r w:rsidRPr="00E658BA">
        <w:rPr>
          <w:b/>
          <w:lang w:val="pl-PL"/>
        </w:rPr>
        <w:t>okres gwarancji</w:t>
      </w:r>
      <w:r w:rsidRPr="00E658BA">
        <w:rPr>
          <w:b/>
        </w:rPr>
        <w:t>”:</w:t>
      </w:r>
    </w:p>
    <w:p w14:paraId="3BABAD38" w14:textId="23C4EC08" w:rsidR="00013813" w:rsidRPr="00E658BA" w:rsidRDefault="00013813" w:rsidP="00013813">
      <w:pPr>
        <w:pStyle w:val="Akapitzlist"/>
        <w:ind w:left="1134" w:firstLine="0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Zgodnie z warunkami SWZ, minimalny wymagany minimalny okres gwarancji wynosi: </w:t>
      </w:r>
      <w:r w:rsidR="004E4865">
        <w:rPr>
          <w:rFonts w:cs="Arial"/>
          <w:szCs w:val="20"/>
        </w:rPr>
        <w:t>24</w:t>
      </w:r>
      <w:r w:rsidRPr="00E658BA">
        <w:rPr>
          <w:rFonts w:cs="Arial"/>
          <w:szCs w:val="20"/>
        </w:rPr>
        <w:t xml:space="preserve"> miesi</w:t>
      </w:r>
      <w:r w:rsidR="004E4865">
        <w:rPr>
          <w:rFonts w:cs="Arial"/>
          <w:szCs w:val="20"/>
        </w:rPr>
        <w:t>ące</w:t>
      </w:r>
      <w:r w:rsidRPr="00E658BA">
        <w:rPr>
          <w:rFonts w:cs="Arial"/>
          <w:szCs w:val="20"/>
        </w:rPr>
        <w:t>. Punkty za kryterium „okres gwarancji” zostaną przyznane w następujący sposób:</w:t>
      </w:r>
    </w:p>
    <w:p w14:paraId="44211EE7" w14:textId="77777777" w:rsidR="00013813" w:rsidRPr="00E658BA" w:rsidRDefault="00013813" w:rsidP="00013813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val="pl-PL" w:eastAsia="pl-PL"/>
        </w:rPr>
      </w:pPr>
      <w:r w:rsidRPr="00E658BA">
        <w:rPr>
          <w:rFonts w:ascii="Bahnschrift" w:hAnsi="Bahnschrift" w:cs="Arial"/>
          <w:szCs w:val="20"/>
          <w:lang w:val="pl-PL"/>
        </w:rPr>
        <w:t>-</w:t>
      </w:r>
      <w:r w:rsidRPr="00E658BA">
        <w:rPr>
          <w:rFonts w:ascii="Bahnschrift" w:hAnsi="Bahnschrift" w:cs="Arial"/>
          <w:szCs w:val="20"/>
          <w:lang w:val="pl-PL"/>
        </w:rPr>
        <w:tab/>
        <w:t xml:space="preserve">ocena </w:t>
      </w:r>
      <w:r w:rsidRPr="00E658BA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(pkt. 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3 ppkt.2) </w:t>
      </w:r>
      <w:r w:rsidRPr="00E658BA">
        <w:rPr>
          <w:rFonts w:ascii="Bahnschrift" w:hAnsi="Bahnschrift" w:cs="Arial"/>
          <w:szCs w:val="20"/>
          <w:lang w:eastAsia="pl-PL"/>
        </w:rPr>
        <w:t>załącznika nr 1A do SWZ).</w:t>
      </w:r>
    </w:p>
    <w:p w14:paraId="45AB4A6D" w14:textId="77777777" w:rsidR="00013813" w:rsidRPr="00E658BA" w:rsidRDefault="00013813" w:rsidP="004E4865">
      <w:pPr>
        <w:pStyle w:val="Akapitzlist"/>
        <w:numPr>
          <w:ilvl w:val="0"/>
          <w:numId w:val="59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jeżeli Wykonawca zaoferuje </w:t>
      </w:r>
      <w:r w:rsidRPr="00E658BA">
        <w:rPr>
          <w:rFonts w:cs="Arial"/>
          <w:b/>
          <w:szCs w:val="20"/>
        </w:rPr>
        <w:t>okres gwarancji:</w:t>
      </w:r>
      <w:r w:rsidRPr="00E658BA">
        <w:rPr>
          <w:rFonts w:cs="Arial"/>
          <w:szCs w:val="20"/>
        </w:rPr>
        <w:t xml:space="preserve"> </w:t>
      </w:r>
    </w:p>
    <w:p w14:paraId="57530E83" w14:textId="3C303C2C" w:rsidR="00013813" w:rsidRPr="00E658BA" w:rsidRDefault="004E4865" w:rsidP="004E4865">
      <w:pPr>
        <w:numPr>
          <w:ilvl w:val="0"/>
          <w:numId w:val="58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24</w:t>
      </w:r>
      <w:r w:rsidR="00013813" w:rsidRPr="00E658BA">
        <w:rPr>
          <w:rFonts w:cs="Arial"/>
          <w:b/>
          <w:szCs w:val="20"/>
        </w:rPr>
        <w:t xml:space="preserve"> miesi</w:t>
      </w:r>
      <w:r>
        <w:rPr>
          <w:rFonts w:cs="Arial"/>
          <w:b/>
          <w:szCs w:val="20"/>
        </w:rPr>
        <w:t>ące</w:t>
      </w:r>
      <w:r w:rsidR="00013813" w:rsidRPr="00E658BA">
        <w:rPr>
          <w:rFonts w:cs="Arial"/>
          <w:b/>
          <w:szCs w:val="20"/>
        </w:rPr>
        <w:t xml:space="preserve"> – otrzyma 0 pkt,</w:t>
      </w:r>
    </w:p>
    <w:p w14:paraId="2860AC68" w14:textId="2F17D1C6" w:rsidR="00013813" w:rsidRPr="00E658BA" w:rsidRDefault="004E4865" w:rsidP="004E4865">
      <w:pPr>
        <w:numPr>
          <w:ilvl w:val="0"/>
          <w:numId w:val="58"/>
        </w:numPr>
        <w:ind w:left="1701" w:hanging="283"/>
        <w:contextualSpacing/>
        <w:rPr>
          <w:rFonts w:cs="Arial"/>
          <w:b/>
          <w:szCs w:val="20"/>
        </w:rPr>
      </w:pPr>
      <w:r w:rsidRPr="00E658BA">
        <w:rPr>
          <w:rFonts w:cs="Arial"/>
          <w:b/>
          <w:szCs w:val="20"/>
        </w:rPr>
        <w:t xml:space="preserve">36 miesięcy </w:t>
      </w:r>
      <w:r w:rsidR="00013813" w:rsidRPr="00E658BA">
        <w:rPr>
          <w:rFonts w:cs="Arial"/>
          <w:b/>
          <w:szCs w:val="20"/>
        </w:rPr>
        <w:t>– otrzyma 10 pkt,</w:t>
      </w:r>
    </w:p>
    <w:p w14:paraId="1FC2CC14" w14:textId="2B7D85AB" w:rsidR="00013813" w:rsidRPr="00E658BA" w:rsidRDefault="004E4865" w:rsidP="004E4865">
      <w:pPr>
        <w:numPr>
          <w:ilvl w:val="0"/>
          <w:numId w:val="58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48</w:t>
      </w:r>
      <w:r w:rsidR="00013813" w:rsidRPr="00E658BA">
        <w:rPr>
          <w:rFonts w:cs="Arial"/>
          <w:b/>
          <w:szCs w:val="20"/>
        </w:rPr>
        <w:t xml:space="preserve"> miesięcy – otrzyma 20 pkt,</w:t>
      </w:r>
    </w:p>
    <w:p w14:paraId="0F1BDAE2" w14:textId="13EF1097" w:rsidR="00013813" w:rsidRPr="00E658BA" w:rsidRDefault="00013813" w:rsidP="004E4865">
      <w:pPr>
        <w:pStyle w:val="Tekstpodstawowywcity2"/>
        <w:widowControl w:val="0"/>
        <w:numPr>
          <w:ilvl w:val="0"/>
          <w:numId w:val="58"/>
        </w:numPr>
        <w:spacing w:line="360" w:lineRule="auto"/>
        <w:ind w:hanging="202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</w:t>
      </w:r>
      <w:r w:rsidRPr="00E658BA">
        <w:rPr>
          <w:rFonts w:ascii="Bahnschrift" w:hAnsi="Bahnschrift" w:cs="Arial"/>
          <w:szCs w:val="20"/>
          <w:lang w:val="pl-PL"/>
        </w:rPr>
        <w:t xml:space="preserve">dłuższego okresu niż </w:t>
      </w:r>
      <w:r w:rsidR="004E4865">
        <w:rPr>
          <w:rFonts w:ascii="Bahnschrift" w:hAnsi="Bahnschrift" w:cs="Arial"/>
          <w:szCs w:val="20"/>
          <w:lang w:val="pl-PL"/>
        </w:rPr>
        <w:t>48</w:t>
      </w:r>
      <w:r w:rsidRPr="00E658BA">
        <w:rPr>
          <w:rFonts w:ascii="Bahnschrift" w:hAnsi="Bahnschrift" w:cs="Arial"/>
          <w:szCs w:val="20"/>
          <w:lang w:val="pl-PL"/>
        </w:rPr>
        <w:t xml:space="preserve"> miesięcy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Pr="00E658BA">
        <w:rPr>
          <w:rFonts w:ascii="Bahnschrift" w:hAnsi="Bahnschrift" w:cs="Arial"/>
          <w:szCs w:val="20"/>
          <w:lang w:val="pl-PL"/>
        </w:rPr>
        <w:t>20</w:t>
      </w:r>
    </w:p>
    <w:p w14:paraId="3AA8CBBF" w14:textId="0C2C231E" w:rsidR="00013813" w:rsidRPr="00E658BA" w:rsidRDefault="00013813" w:rsidP="00013813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eastAsia="pl-PL"/>
        </w:rPr>
      </w:pPr>
      <w:r w:rsidRPr="00E658BA">
        <w:rPr>
          <w:rFonts w:ascii="Bahnschrift" w:hAnsi="Bahnschrift" w:cs="Arial"/>
          <w:szCs w:val="20"/>
          <w:lang w:eastAsia="pl-PL"/>
        </w:rPr>
        <w:t>-</w:t>
      </w:r>
      <w:r w:rsidRPr="00E658BA">
        <w:rPr>
          <w:rFonts w:ascii="Bahnschrift" w:hAnsi="Bahnschrift" w:cs="Arial"/>
          <w:szCs w:val="20"/>
          <w:lang w:eastAsia="pl-PL"/>
        </w:rPr>
        <w:tab/>
        <w:t xml:space="preserve">brak oświadczenia lub 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krótszy okres gwarancji </w:t>
      </w:r>
      <w:r w:rsidRPr="00E658BA">
        <w:rPr>
          <w:rFonts w:ascii="Bahnschrift" w:hAnsi="Bahnschrift" w:cs="Arial"/>
          <w:szCs w:val="20"/>
          <w:lang w:eastAsia="pl-PL"/>
        </w:rPr>
        <w:t xml:space="preserve">(tj. </w:t>
      </w:r>
      <w:r w:rsidRPr="00E658BA">
        <w:rPr>
          <w:rFonts w:ascii="Bahnschrift" w:hAnsi="Bahnschrift" w:cs="Arial"/>
          <w:szCs w:val="20"/>
          <w:lang w:val="pl-PL" w:eastAsia="pl-PL"/>
        </w:rPr>
        <w:t>&lt;</w:t>
      </w:r>
      <w:r w:rsidR="004E4865">
        <w:rPr>
          <w:rFonts w:ascii="Bahnschrift" w:hAnsi="Bahnschrift" w:cs="Arial"/>
          <w:szCs w:val="20"/>
          <w:lang w:val="pl-PL" w:eastAsia="pl-PL"/>
        </w:rPr>
        <w:t>24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 m-c</w:t>
      </w:r>
      <w:r w:rsidR="004E4865">
        <w:rPr>
          <w:rFonts w:ascii="Bahnschrift" w:hAnsi="Bahnschrift" w:cs="Arial"/>
          <w:szCs w:val="20"/>
          <w:lang w:val="pl-PL" w:eastAsia="pl-PL"/>
        </w:rPr>
        <w:t>e</w:t>
      </w:r>
      <w:r w:rsidRPr="00E658BA">
        <w:rPr>
          <w:rFonts w:ascii="Bahnschrift" w:hAnsi="Bahnschrift" w:cs="Arial"/>
          <w:szCs w:val="20"/>
          <w:lang w:eastAsia="pl-PL"/>
        </w:rPr>
        <w:t xml:space="preserve">) – oferta zostanie odrzucona, jako niezgodna z warunkami zamówienia na podstawie art. 226 ust. 1 pkt 5 ustawy </w:t>
      </w:r>
      <w:proofErr w:type="spellStart"/>
      <w:r w:rsidRPr="00E658BA">
        <w:rPr>
          <w:rFonts w:ascii="Bahnschrift" w:hAnsi="Bahnschrift" w:cs="Arial"/>
          <w:szCs w:val="20"/>
          <w:lang w:eastAsia="pl-PL"/>
        </w:rPr>
        <w:t>Pzp</w:t>
      </w:r>
      <w:proofErr w:type="spellEnd"/>
      <w:r w:rsidRPr="00E658BA">
        <w:rPr>
          <w:rFonts w:ascii="Bahnschrift" w:hAnsi="Bahnschrift" w:cs="Arial"/>
          <w:szCs w:val="20"/>
          <w:lang w:eastAsia="pl-PL"/>
        </w:rPr>
        <w:t>;</w:t>
      </w:r>
    </w:p>
    <w:p w14:paraId="789D2856" w14:textId="238C4FE3" w:rsidR="00013813" w:rsidRPr="00E658BA" w:rsidRDefault="00013813" w:rsidP="00013813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  <w:lang w:eastAsia="pl-PL"/>
        </w:rPr>
      </w:pPr>
      <w:r w:rsidRPr="00E658BA">
        <w:rPr>
          <w:rFonts w:ascii="Bahnschrift" w:hAnsi="Bahnschrift" w:cs="Arial"/>
          <w:szCs w:val="20"/>
          <w:lang w:eastAsia="pl-PL"/>
        </w:rPr>
        <w:t>-</w:t>
      </w:r>
      <w:r w:rsidRPr="00E658BA">
        <w:rPr>
          <w:rFonts w:ascii="Bahnschrift" w:hAnsi="Bahnschrift" w:cs="Arial"/>
          <w:szCs w:val="20"/>
          <w:lang w:eastAsia="pl-PL"/>
        </w:rPr>
        <w:tab/>
      </w:r>
      <w:r w:rsidRPr="00E658BA">
        <w:rPr>
          <w:rFonts w:ascii="Bahnschrift" w:hAnsi="Bahnschrift" w:cs="Arial"/>
          <w:szCs w:val="20"/>
          <w:lang w:val="pl-PL" w:eastAsia="pl-PL"/>
        </w:rPr>
        <w:t>w</w:t>
      </w:r>
      <w:r w:rsidRPr="00E658BA">
        <w:rPr>
          <w:rFonts w:ascii="Bahnschrift" w:hAnsi="Bahnschrift" w:cs="Arial"/>
          <w:szCs w:val="20"/>
          <w:lang w:eastAsia="pl-PL"/>
        </w:rPr>
        <w:t xml:space="preserve"> przypadku podania 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okresu gwarancji </w:t>
      </w:r>
      <w:r w:rsidRPr="00E658BA">
        <w:rPr>
          <w:rFonts w:ascii="Bahnschrift" w:hAnsi="Bahnschrift" w:cs="Arial"/>
          <w:szCs w:val="20"/>
          <w:lang w:eastAsia="pl-PL"/>
        </w:rPr>
        <w:t xml:space="preserve">w </w:t>
      </w:r>
      <w:r w:rsidRPr="00E658BA">
        <w:rPr>
          <w:rFonts w:ascii="Bahnschrift" w:hAnsi="Bahnschrift" w:cs="Arial"/>
          <w:szCs w:val="20"/>
          <w:lang w:val="pl-PL" w:eastAsia="pl-PL"/>
        </w:rPr>
        <w:t>innych zakresach miesięcznych</w:t>
      </w:r>
      <w:r w:rsidRPr="00E658BA">
        <w:rPr>
          <w:rFonts w:ascii="Bahnschrift" w:hAnsi="Bahnschrift" w:cs="Arial"/>
          <w:szCs w:val="20"/>
          <w:lang w:eastAsia="pl-PL"/>
        </w:rPr>
        <w:t xml:space="preserve">, w celu oceny tego kryterium Zamawiający zaokrągli podane okresy w </w:t>
      </w:r>
      <w:r w:rsidRPr="00E658BA">
        <w:rPr>
          <w:rFonts w:ascii="Bahnschrift" w:hAnsi="Bahnschrift" w:cs="Arial"/>
          <w:szCs w:val="20"/>
          <w:lang w:val="pl-PL" w:eastAsia="pl-PL"/>
        </w:rPr>
        <w:t>dół</w:t>
      </w:r>
      <w:r w:rsidRPr="00E658BA">
        <w:rPr>
          <w:rFonts w:ascii="Bahnschrift" w:hAnsi="Bahnschrift" w:cs="Arial"/>
          <w:szCs w:val="20"/>
          <w:lang w:eastAsia="pl-PL"/>
        </w:rPr>
        <w:t xml:space="preserve"> 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ww. interwałów, tj. do </w:t>
      </w:r>
      <w:r w:rsidR="004E4865">
        <w:rPr>
          <w:rFonts w:ascii="Bahnschrift" w:hAnsi="Bahnschrift" w:cs="Arial"/>
          <w:szCs w:val="20"/>
          <w:lang w:val="pl-PL" w:eastAsia="pl-PL"/>
        </w:rPr>
        <w:t>24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 m</w:t>
      </w:r>
      <w:r w:rsidRPr="00E658BA">
        <w:rPr>
          <w:rFonts w:ascii="Bahnschrift" w:hAnsi="Bahnschrift" w:cs="Arial"/>
          <w:szCs w:val="20"/>
          <w:lang w:val="pl-PL" w:eastAsia="pl-PL"/>
        </w:rPr>
        <w:noBreakHyphen/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val="pl-PL" w:eastAsia="pl-PL"/>
        </w:rPr>
        <w:t xml:space="preserve">/ </w:t>
      </w:r>
      <w:r w:rsidR="004E4865">
        <w:rPr>
          <w:rFonts w:ascii="Bahnschrift" w:hAnsi="Bahnschrift" w:cs="Arial"/>
          <w:szCs w:val="20"/>
          <w:lang w:val="pl-PL" w:eastAsia="pl-PL"/>
        </w:rPr>
        <w:t>36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 m</w:t>
      </w:r>
      <w:r w:rsidRPr="00E658BA">
        <w:rPr>
          <w:rFonts w:ascii="Bahnschrift" w:hAnsi="Bahnschrift" w:cs="Arial"/>
          <w:szCs w:val="20"/>
          <w:lang w:val="pl-PL" w:eastAsia="pl-PL"/>
        </w:rPr>
        <w:noBreakHyphen/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val="pl-PL" w:eastAsia="pl-PL"/>
        </w:rPr>
        <w:t xml:space="preserve">/ </w:t>
      </w:r>
      <w:r w:rsidR="004E4865">
        <w:rPr>
          <w:rFonts w:ascii="Bahnschrift" w:hAnsi="Bahnschrift" w:cs="Arial"/>
          <w:szCs w:val="20"/>
          <w:lang w:val="pl-PL" w:eastAsia="pl-PL"/>
        </w:rPr>
        <w:t>48</w:t>
      </w:r>
      <w:r w:rsidRPr="00E658BA">
        <w:rPr>
          <w:rFonts w:ascii="Bahnschrift" w:hAnsi="Bahnschrift" w:cs="Arial"/>
          <w:szCs w:val="20"/>
          <w:lang w:val="pl-PL" w:eastAsia="pl-PL"/>
        </w:rPr>
        <w:t xml:space="preserve"> m</w:t>
      </w:r>
      <w:r w:rsidRPr="00E658BA">
        <w:rPr>
          <w:rFonts w:ascii="Bahnschrift" w:hAnsi="Bahnschrift" w:cs="Arial"/>
          <w:szCs w:val="20"/>
          <w:lang w:val="pl-PL" w:eastAsia="pl-PL"/>
        </w:rPr>
        <w:noBreakHyphen/>
      </w:r>
      <w:proofErr w:type="spellStart"/>
      <w:r w:rsidRPr="00E658BA">
        <w:rPr>
          <w:rFonts w:ascii="Bahnschrift" w:hAnsi="Bahnschrift" w:cs="Arial"/>
          <w:szCs w:val="20"/>
          <w:lang w:val="pl-PL" w:eastAsia="pl-PL"/>
        </w:rPr>
        <w:t>cy</w:t>
      </w:r>
      <w:proofErr w:type="spellEnd"/>
      <w:r w:rsidRPr="00E658BA">
        <w:rPr>
          <w:rFonts w:ascii="Bahnschrift" w:hAnsi="Bahnschrift" w:cs="Arial"/>
          <w:szCs w:val="20"/>
          <w:lang w:eastAsia="pl-PL"/>
        </w:rPr>
        <w:t>;</w:t>
      </w:r>
    </w:p>
    <w:p w14:paraId="40217629" w14:textId="77777777" w:rsidR="00013813" w:rsidRPr="00E658BA" w:rsidRDefault="00013813" w:rsidP="00013813">
      <w:pPr>
        <w:pStyle w:val="Tekstpodstawowywcity2"/>
        <w:widowControl w:val="0"/>
        <w:spacing w:line="360" w:lineRule="auto"/>
        <w:ind w:left="1418"/>
        <w:rPr>
          <w:rFonts w:cs="Arial"/>
          <w:b/>
          <w:szCs w:val="20"/>
          <w:lang w:eastAsia="pl-PL"/>
        </w:rPr>
      </w:pPr>
      <w:r w:rsidRPr="00E658BA">
        <w:rPr>
          <w:rFonts w:ascii="Bahnschrift" w:hAnsi="Bahnschrift" w:cs="Arial"/>
          <w:szCs w:val="20"/>
          <w:lang w:val="pl-PL" w:eastAsia="pl-PL"/>
        </w:rPr>
        <w:t xml:space="preserve">-  </w:t>
      </w:r>
      <w:r w:rsidRPr="00E658BA">
        <w:rPr>
          <w:rFonts w:ascii="Bahnschrift" w:hAnsi="Bahnschrift"/>
          <w:noProof/>
          <w:szCs w:val="20"/>
        </w:rPr>
        <w:t xml:space="preserve">okres </w:t>
      </w:r>
      <w:r w:rsidRPr="00E658BA">
        <w:rPr>
          <w:rFonts w:ascii="Bahnschrift" w:hAnsi="Bahnschrift"/>
          <w:noProof/>
          <w:szCs w:val="20"/>
          <w:lang w:val="pl-PL"/>
        </w:rPr>
        <w:t xml:space="preserve">gwarancji </w:t>
      </w:r>
      <w:r w:rsidRPr="00E658BA">
        <w:rPr>
          <w:rFonts w:ascii="Bahnschrift" w:hAnsi="Bahnschrift" w:cs="Arial"/>
          <w:szCs w:val="20"/>
          <w:lang w:eastAsia="pl-PL"/>
        </w:rPr>
        <w:t xml:space="preserve">należy podać liczbowo i słownie (w przypadku rozbieżności w zakresie </w:t>
      </w:r>
      <w:r w:rsidRPr="00E658BA">
        <w:rPr>
          <w:rFonts w:ascii="Bahnschrift" w:hAnsi="Bahnschrift"/>
          <w:noProof/>
          <w:szCs w:val="20"/>
        </w:rPr>
        <w:t xml:space="preserve">okresu wsparcia </w:t>
      </w:r>
      <w:r w:rsidRPr="00E658BA">
        <w:rPr>
          <w:rFonts w:ascii="Bahnschrift" w:hAnsi="Bahnschrift" w:cs="Arial"/>
          <w:szCs w:val="20"/>
          <w:lang w:eastAsia="pl-PL"/>
        </w:rPr>
        <w:t xml:space="preserve">podanego liczbowo i słownie, Zamawiający za obowiązujący uzna </w:t>
      </w:r>
      <w:r w:rsidRPr="00E658BA">
        <w:rPr>
          <w:rFonts w:ascii="Bahnschrift" w:hAnsi="Bahnschrift"/>
          <w:bCs/>
          <w:iCs/>
          <w:szCs w:val="20"/>
          <w:lang w:eastAsia="x-none"/>
        </w:rPr>
        <w:t xml:space="preserve">okres </w:t>
      </w:r>
      <w:r w:rsidRPr="00E658BA">
        <w:rPr>
          <w:rFonts w:ascii="Bahnschrift" w:hAnsi="Bahnschrift"/>
          <w:bCs/>
          <w:iCs/>
          <w:szCs w:val="20"/>
          <w:lang w:val="pl-PL" w:eastAsia="x-none"/>
        </w:rPr>
        <w:lastRenderedPageBreak/>
        <w:t xml:space="preserve">gwarancji </w:t>
      </w:r>
      <w:r w:rsidRPr="00E658BA">
        <w:rPr>
          <w:rFonts w:ascii="Bahnschrift" w:hAnsi="Bahnschrift" w:cs="Arial"/>
          <w:szCs w:val="20"/>
          <w:lang w:eastAsia="pl-PL"/>
        </w:rPr>
        <w:t>podany słownie,</w:t>
      </w:r>
    </w:p>
    <w:p w14:paraId="5EBED3BE" w14:textId="77777777" w:rsidR="00013813" w:rsidRPr="00E658BA" w:rsidRDefault="00013813" w:rsidP="00013813">
      <w:pPr>
        <w:ind w:left="1560" w:hanging="426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-   Zamawiający w ramach tego kryterium przyzna maksymalnie </w:t>
      </w:r>
      <w:r w:rsidRPr="00E658BA">
        <w:rPr>
          <w:rFonts w:cs="Arial"/>
          <w:b/>
          <w:szCs w:val="20"/>
          <w:lang w:eastAsia="pl-PL"/>
        </w:rPr>
        <w:t>20 pkt</w:t>
      </w:r>
    </w:p>
    <w:p w14:paraId="59CDF97D" w14:textId="77777777" w:rsidR="00013813" w:rsidRPr="00E658BA" w:rsidRDefault="00013813" w:rsidP="00013813">
      <w:pPr>
        <w:pStyle w:val="Nagwek3"/>
        <w:ind w:left="851" w:hanging="284"/>
      </w:pPr>
      <w:r w:rsidRPr="00E658BA">
        <w:t>Ocena końcowa wyliczona zostanie po zsumowaniu punktów uzyskanych za ocenę kryterium: cena brutto + termin realizacji zamówienia + okres gwarancji;</w:t>
      </w:r>
    </w:p>
    <w:p w14:paraId="4DE9059A" w14:textId="77777777" w:rsidR="00013813" w:rsidRPr="00E054BA" w:rsidRDefault="00013813" w:rsidP="00013813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F88D2F0" w14:textId="77777777" w:rsidR="00013813" w:rsidRPr="000A37EA" w:rsidRDefault="00013813" w:rsidP="00013813">
      <w:pPr>
        <w:pStyle w:val="Nagwek3"/>
        <w:ind w:left="851" w:hanging="284"/>
      </w:pPr>
      <w:r w:rsidRPr="000A37EA">
        <w:t>Za ofertę najkorzystniejszą postępowania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3F1133E7" w14:textId="77777777" w:rsidR="00013813" w:rsidRDefault="00013813" w:rsidP="00013813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1201025B" w14:textId="77777777" w:rsidR="00013813" w:rsidRDefault="00013813" w:rsidP="00013813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4BC423F1" w:rsidR="00C24260" w:rsidRPr="00E054BA" w:rsidRDefault="00013813" w:rsidP="00013813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</w:t>
      </w:r>
      <w:r w:rsidR="00C24260">
        <w:t>.</w:t>
      </w:r>
    </w:p>
    <w:p w14:paraId="201400F2" w14:textId="77777777" w:rsidR="00F85C46" w:rsidRPr="00E054BA" w:rsidRDefault="00F85C46" w:rsidP="004E4865">
      <w:pPr>
        <w:pStyle w:val="Nagwek2"/>
        <w:numPr>
          <w:ilvl w:val="0"/>
          <w:numId w:val="3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4E4865">
      <w:pPr>
        <w:pStyle w:val="Nagwek3"/>
        <w:numPr>
          <w:ilvl w:val="0"/>
          <w:numId w:val="3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4E4865">
      <w:pPr>
        <w:pStyle w:val="Nagwek4"/>
        <w:numPr>
          <w:ilvl w:val="0"/>
          <w:numId w:val="4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4E4865">
      <w:pPr>
        <w:pStyle w:val="Nagwek3"/>
        <w:numPr>
          <w:ilvl w:val="0"/>
          <w:numId w:val="54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4" w:name="_Toc66169498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4"/>
      <w:r w:rsidRPr="00E054BA">
        <w:t xml:space="preserve"> </w:t>
      </w:r>
    </w:p>
    <w:p w14:paraId="694895E2" w14:textId="3A5A6690" w:rsidR="00ED6871" w:rsidRDefault="00ED6871" w:rsidP="004E4865">
      <w:pPr>
        <w:pStyle w:val="Nagwek2"/>
        <w:numPr>
          <w:ilvl w:val="0"/>
          <w:numId w:val="37"/>
        </w:numPr>
        <w:ind w:left="567" w:hanging="283"/>
      </w:pPr>
      <w:r>
        <w:t>Formalności niezbędne przed zawarciem umowy.</w:t>
      </w:r>
    </w:p>
    <w:p w14:paraId="2365E6A8" w14:textId="4EBB11F4" w:rsidR="00F85C46" w:rsidRPr="00ED6871" w:rsidRDefault="00ED6871" w:rsidP="004E4865">
      <w:pPr>
        <w:pStyle w:val="Nagwek3"/>
        <w:numPr>
          <w:ilvl w:val="0"/>
          <w:numId w:val="3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postępowani</w:t>
      </w:r>
      <w:r w:rsidR="00E47E57">
        <w:t>u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4E4865">
      <w:pPr>
        <w:pStyle w:val="Nagwek3"/>
        <w:numPr>
          <w:ilvl w:val="0"/>
          <w:numId w:val="3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4E4865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4E4865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4E4865">
      <w:pPr>
        <w:pStyle w:val="Nagwek3"/>
        <w:numPr>
          <w:ilvl w:val="0"/>
          <w:numId w:val="54"/>
        </w:numPr>
        <w:ind w:left="851" w:hanging="284"/>
      </w:pPr>
      <w:r w:rsidRPr="002336D1">
        <w:t>Zgodnie z art. 432 ustawy Pzp</w:t>
      </w:r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4E4865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E1454C">
      <w:pPr>
        <w:pStyle w:val="Nagwek1"/>
      </w:pPr>
      <w:bookmarkStart w:id="35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35"/>
    </w:p>
    <w:p w14:paraId="3BC5A71B" w14:textId="6B0D4612" w:rsidR="003E05AE" w:rsidRPr="002336D1" w:rsidRDefault="003E05AE" w:rsidP="004E4865">
      <w:pPr>
        <w:pStyle w:val="Nagwek2"/>
        <w:numPr>
          <w:ilvl w:val="0"/>
          <w:numId w:val="39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4E4865">
      <w:pPr>
        <w:pStyle w:val="Nagwek3"/>
        <w:numPr>
          <w:ilvl w:val="0"/>
          <w:numId w:val="40"/>
        </w:numPr>
        <w:ind w:left="851" w:hanging="284"/>
      </w:pPr>
      <w:r w:rsidRPr="002336D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4E4865">
      <w:pPr>
        <w:pStyle w:val="Nagwek3"/>
        <w:numPr>
          <w:ilvl w:val="0"/>
          <w:numId w:val="54"/>
        </w:numPr>
        <w:ind w:left="851" w:hanging="284"/>
      </w:pPr>
      <w:r w:rsidRPr="002336D1">
        <w:lastRenderedPageBreak/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4E4865">
      <w:pPr>
        <w:pStyle w:val="Nagwek3"/>
        <w:numPr>
          <w:ilvl w:val="0"/>
          <w:numId w:val="41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4E4865">
      <w:pPr>
        <w:pStyle w:val="Nagwek4"/>
        <w:numPr>
          <w:ilvl w:val="0"/>
          <w:numId w:val="50"/>
        </w:numPr>
        <w:ind w:left="1134" w:hanging="283"/>
      </w:pPr>
      <w:r w:rsidRPr="002336D1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2336D1" w:rsidRDefault="00EE14B3" w:rsidP="00052289">
      <w:pPr>
        <w:pStyle w:val="Nagwek4"/>
        <w:ind w:left="1134" w:hanging="283"/>
      </w:pPr>
      <w:r w:rsidRPr="002336D1">
        <w:t>zaniechanie czynności w postępowaniu o udzielenie zamówienia</w:t>
      </w:r>
      <w:r w:rsidR="00052289" w:rsidRPr="002336D1">
        <w:t xml:space="preserve">, do której </w:t>
      </w:r>
      <w:r w:rsidR="00052289" w:rsidRPr="002336D1">
        <w:rPr>
          <w:lang w:val="pl-PL"/>
        </w:rPr>
        <w:t>Z</w:t>
      </w:r>
      <w:proofErr w:type="spellStart"/>
      <w:r w:rsidRPr="002336D1">
        <w:t>amawiający</w:t>
      </w:r>
      <w:proofErr w:type="spellEnd"/>
      <w:r w:rsidRPr="002336D1">
        <w:t xml:space="preserve"> był obowiązany na podstawie ustawy Pzp; </w:t>
      </w:r>
    </w:p>
    <w:p w14:paraId="7C0E64FD" w14:textId="5C50215A" w:rsidR="00EE14B3" w:rsidRPr="002336D1" w:rsidRDefault="00EE14B3" w:rsidP="004E4865">
      <w:pPr>
        <w:pStyle w:val="Nagwek3"/>
        <w:numPr>
          <w:ilvl w:val="0"/>
          <w:numId w:val="54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4E4865">
      <w:pPr>
        <w:pStyle w:val="Nagwek3"/>
        <w:numPr>
          <w:ilvl w:val="0"/>
          <w:numId w:val="54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4E4865">
      <w:pPr>
        <w:pStyle w:val="Nagwek3"/>
        <w:keepNext/>
        <w:numPr>
          <w:ilvl w:val="0"/>
          <w:numId w:val="54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4E4865">
      <w:pPr>
        <w:pStyle w:val="Nagwek4"/>
        <w:numPr>
          <w:ilvl w:val="0"/>
          <w:numId w:val="51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4E4865">
      <w:pPr>
        <w:pStyle w:val="Nagwek3"/>
        <w:numPr>
          <w:ilvl w:val="0"/>
          <w:numId w:val="42"/>
        </w:numPr>
        <w:ind w:left="851" w:hanging="283"/>
      </w:pPr>
      <w:r w:rsidRPr="002336D1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2336D1" w:rsidRDefault="00BF753A" w:rsidP="004E4865">
      <w:pPr>
        <w:pStyle w:val="Nagwek3"/>
        <w:numPr>
          <w:ilvl w:val="0"/>
          <w:numId w:val="54"/>
        </w:numPr>
        <w:ind w:left="851" w:hanging="284"/>
      </w:pPr>
      <w:r w:rsidRPr="002336D1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2336D1" w:rsidRDefault="00F85C46" w:rsidP="00E1454C">
      <w:pPr>
        <w:pStyle w:val="Nagwek1"/>
      </w:pPr>
      <w:bookmarkStart w:id="36" w:name="_Toc66169500"/>
      <w:r w:rsidRPr="002336D1">
        <w:lastRenderedPageBreak/>
        <w:t>Informacje dodatkowe.</w:t>
      </w:r>
      <w:bookmarkEnd w:id="36"/>
    </w:p>
    <w:p w14:paraId="5B19376B" w14:textId="59623ABD" w:rsidR="00F85C46" w:rsidRPr="002336D1" w:rsidRDefault="00FE10A7" w:rsidP="004E4865">
      <w:pPr>
        <w:pStyle w:val="Nagwek2"/>
        <w:numPr>
          <w:ilvl w:val="0"/>
          <w:numId w:val="43"/>
        </w:numPr>
        <w:ind w:left="567" w:hanging="283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4E4865">
      <w:pPr>
        <w:pStyle w:val="Nagwek3"/>
        <w:numPr>
          <w:ilvl w:val="0"/>
          <w:numId w:val="52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4E4865">
      <w:pPr>
        <w:pStyle w:val="Nagwek3"/>
        <w:numPr>
          <w:ilvl w:val="0"/>
          <w:numId w:val="54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t>Ochrona danych osobowych.</w:t>
      </w:r>
    </w:p>
    <w:p w14:paraId="39DDDF9C" w14:textId="2A10ABBC" w:rsidR="00F85C46" w:rsidRPr="002336D1" w:rsidRDefault="00F85C46" w:rsidP="004E4865">
      <w:pPr>
        <w:pStyle w:val="Nagwek3"/>
        <w:numPr>
          <w:ilvl w:val="0"/>
          <w:numId w:val="44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36369E9E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</w:t>
      </w:r>
      <w:r w:rsidR="00070309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4E4865">
      <w:pPr>
        <w:pStyle w:val="Nagwek4"/>
        <w:numPr>
          <w:ilvl w:val="0"/>
          <w:numId w:val="53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4E4865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4E4865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4E4865">
      <w:pPr>
        <w:keepNext/>
        <w:numPr>
          <w:ilvl w:val="1"/>
          <w:numId w:val="5"/>
        </w:numPr>
        <w:tabs>
          <w:tab w:val="left" w:pos="142"/>
        </w:tabs>
        <w:spacing w:before="40" w:after="40"/>
        <w:ind w:left="1418" w:hanging="284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4E4865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45FD489D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581C32">
        <w:rPr>
          <w:b/>
          <w:lang w:val="pl-PL"/>
        </w:rPr>
        <w:t>94</w:t>
      </w:r>
      <w:r w:rsidR="00E47E57">
        <w:rPr>
          <w:b/>
          <w:lang w:val="pl-PL"/>
        </w:rPr>
        <w:t>.2023</w:t>
      </w:r>
      <w:r w:rsidRPr="002336D1">
        <w:rPr>
          <w:b/>
        </w:rPr>
        <w:t>,</w:t>
      </w:r>
      <w:r w:rsidRPr="002336D1">
        <w:t xml:space="preserve"> o nazwie </w:t>
      </w:r>
      <w:r w:rsidR="00C60FB5" w:rsidRPr="000B6757">
        <w:rPr>
          <w:rFonts w:eastAsia="Calibri"/>
          <w:b/>
        </w:rPr>
        <w:t xml:space="preserve">Dostawa </w:t>
      </w:r>
      <w:r w:rsidR="00581C32">
        <w:rPr>
          <w:rFonts w:eastAsia="Calibri"/>
          <w:b/>
          <w:lang w:val="pl-PL"/>
        </w:rPr>
        <w:t>mównic drewnianych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 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>Obowiązek podania przez Panią/Pana danych osobowych bezpośrednio Pani/Pana dotyczących jest wymogiem ustawowym określonym w przepisach ustawy Pzp, związanym z udziałem w</w:t>
      </w:r>
      <w:r w:rsidR="00BA4B90" w:rsidRPr="002336D1">
        <w:t> </w:t>
      </w:r>
      <w:r w:rsidRPr="002336D1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487C9127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publicz</w:t>
      </w:r>
      <w:r w:rsidR="0061008C" w:rsidRPr="002336D1">
        <w:t>nych (Dz. U. z</w:t>
      </w:r>
      <w:r w:rsidR="007F153F" w:rsidRPr="002336D1">
        <w:t> </w:t>
      </w:r>
      <w:r w:rsidR="007C047D">
        <w:rPr>
          <w:lang w:val="pl-PL"/>
        </w:rPr>
        <w:t>202</w:t>
      </w:r>
      <w:r w:rsidR="004E4865">
        <w:rPr>
          <w:lang w:val="pl-PL"/>
        </w:rPr>
        <w:t>3</w:t>
      </w:r>
      <w:r w:rsidR="0061008C" w:rsidRPr="002336D1">
        <w:t xml:space="preserve"> r. poz. </w:t>
      </w:r>
      <w:r w:rsidR="004E4865">
        <w:rPr>
          <w:lang w:val="pl-PL"/>
        </w:rPr>
        <w:t>1605</w:t>
      </w:r>
      <w:r w:rsidRPr="002336D1">
        <w:t xml:space="preserve"> z</w:t>
      </w:r>
      <w:r w:rsidR="0061008C" w:rsidRPr="002336D1">
        <w:t> </w:t>
      </w:r>
      <w:proofErr w:type="spellStart"/>
      <w:r w:rsidRPr="002336D1">
        <w:t>późn</w:t>
      </w:r>
      <w:proofErr w:type="spellEnd"/>
      <w:r w:rsidRPr="002336D1">
        <w:t>. zm</w:t>
      </w:r>
      <w:r w:rsidR="00BA4B90" w:rsidRPr="002336D1">
        <w:t>.</w:t>
      </w:r>
      <w:r w:rsidR="0061008C" w:rsidRPr="002336D1">
        <w:t>)</w:t>
      </w:r>
      <w:r w:rsidR="007F153F" w:rsidRPr="002336D1">
        <w:t xml:space="preserve">,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zamówienia;</w:t>
      </w:r>
      <w:r w:rsidR="007A0C0F" w:rsidRPr="002336D1">
        <w:t xml:space="preserve"> Dane osobowe będą udostępniane również Szpitalowi Miejskiemu w Gliwicach Sp. z o.o</w:t>
      </w:r>
      <w:r w:rsidR="007A0C0F" w:rsidRPr="002336D1">
        <w:rPr>
          <w:lang w:val="pl-PL"/>
        </w:rPr>
        <w:t xml:space="preserve">. </w:t>
      </w:r>
      <w:r w:rsidR="007A0C0F" w:rsidRPr="002336D1">
        <w:t>w związku z realizacją Przedmiotu Umowy oraz Narodowemu Centrum Badań i Rozwoju w celu rozliczeń Projektu.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Pzp,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4E4865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4E4865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4E4865">
      <w:pPr>
        <w:pStyle w:val="Nagwek3"/>
        <w:numPr>
          <w:ilvl w:val="0"/>
          <w:numId w:val="4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 xml:space="preserve">, pełnomocnicy, członkowie organów zarządzających). Obowiązek </w:t>
      </w:r>
      <w:r w:rsidRPr="002336D1">
        <w:rPr>
          <w:rFonts w:cs="Arial"/>
          <w:szCs w:val="20"/>
          <w:lang w:eastAsia="ar-SA"/>
        </w:rPr>
        <w:lastRenderedPageBreak/>
        <w:t>informacyjny wynikający z art. 13 RODO nie będzie miał zastosowania, gdy i w zakresie, w jakim osoba fizyczna, której dane dotyczą, dysponuje już tymi informacjami (art. 13 ust. 4 RODO).</w:t>
      </w:r>
    </w:p>
    <w:p w14:paraId="32208028" w14:textId="066D7B10" w:rsidR="00D35AE3" w:rsidRPr="0061008C" w:rsidRDefault="00FE10A7" w:rsidP="00C60FB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sectPr w:rsidR="00D35AE3" w:rsidRPr="0061008C" w:rsidSect="00C7705D">
      <w:headerReference w:type="default" r:id="rId34"/>
      <w:footerReference w:type="default" r:id="rId35"/>
      <w:footerReference w:type="first" r:id="rId36"/>
      <w:pgSz w:w="11906" w:h="16838" w:code="9"/>
      <w:pgMar w:top="1560" w:right="1134" w:bottom="1701" w:left="1134" w:header="568" w:footer="5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735D70" w:rsidRDefault="00735D70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735D70" w:rsidRDefault="00735D7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Ind w:w="-326" w:type="dxa"/>
      <w:tblLook w:val="04A0" w:firstRow="1" w:lastRow="0" w:firstColumn="1" w:lastColumn="0" w:noHBand="0" w:noVBand="1"/>
    </w:tblPr>
    <w:tblGrid>
      <w:gridCol w:w="3411"/>
      <w:gridCol w:w="6903"/>
    </w:tblGrid>
    <w:tr w:rsidR="00735D70" w:rsidRPr="006F0261" w14:paraId="03116B6B" w14:textId="77777777" w:rsidTr="00C7705D">
      <w:tc>
        <w:tcPr>
          <w:tcW w:w="3411" w:type="dxa"/>
          <w:vMerge w:val="restart"/>
          <w:shd w:val="clear" w:color="auto" w:fill="auto"/>
          <w:vAlign w:val="center"/>
        </w:tcPr>
        <w:p w14:paraId="76F0C466" w14:textId="77777777" w:rsidR="00735D70" w:rsidRPr="00C7705D" w:rsidRDefault="00735D70" w:rsidP="00C7705D">
          <w:pPr>
            <w:tabs>
              <w:tab w:val="center" w:pos="4536"/>
              <w:tab w:val="right" w:pos="9072"/>
            </w:tabs>
            <w:suppressAutoHyphens/>
            <w:spacing w:line="240" w:lineRule="auto"/>
            <w:ind w:left="0" w:firstLine="0"/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</w:pPr>
          <w:r w:rsidRPr="00C7705D"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drawing>
              <wp:inline distT="0" distB="0" distL="0" distR="0" wp14:anchorId="2519415A" wp14:editId="54ECEE83">
                <wp:extent cx="2028825" cy="1019175"/>
                <wp:effectExtent l="0" t="0" r="0" b="0"/>
                <wp:docPr id="11" name="Obraz 11" descr="spin-place_logo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pin-place_logo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03" w:type="dxa"/>
          <w:shd w:val="clear" w:color="auto" w:fill="auto"/>
        </w:tcPr>
        <w:p w14:paraId="0DAB6369" w14:textId="77777777" w:rsidR="00735D70" w:rsidRPr="00C7705D" w:rsidRDefault="00735D70" w:rsidP="00C7705D">
          <w:pPr>
            <w:tabs>
              <w:tab w:val="center" w:pos="4536"/>
              <w:tab w:val="right" w:pos="9072"/>
            </w:tabs>
            <w:suppressAutoHyphens/>
            <w:spacing w:line="240" w:lineRule="auto"/>
            <w:ind w:left="0" w:firstLine="0"/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</w:pPr>
        </w:p>
      </w:tc>
    </w:tr>
    <w:tr w:rsidR="00735D70" w:rsidRPr="006F0261" w14:paraId="0B3FAE95" w14:textId="77777777" w:rsidTr="00C7705D">
      <w:tc>
        <w:tcPr>
          <w:tcW w:w="3411" w:type="dxa"/>
          <w:vMerge/>
          <w:shd w:val="clear" w:color="auto" w:fill="auto"/>
        </w:tcPr>
        <w:p w14:paraId="4E52AB28" w14:textId="77777777" w:rsidR="00735D70" w:rsidRPr="00C7705D" w:rsidRDefault="00735D70" w:rsidP="00C7705D">
          <w:pPr>
            <w:tabs>
              <w:tab w:val="center" w:pos="4536"/>
              <w:tab w:val="right" w:pos="9072"/>
            </w:tabs>
            <w:suppressAutoHyphens/>
            <w:spacing w:line="240" w:lineRule="auto"/>
            <w:ind w:left="0" w:firstLine="0"/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</w:pPr>
        </w:p>
      </w:tc>
      <w:tc>
        <w:tcPr>
          <w:tcW w:w="6903" w:type="dxa"/>
          <w:shd w:val="clear" w:color="auto" w:fill="auto"/>
        </w:tcPr>
        <w:p w14:paraId="62B525C2" w14:textId="566CFE5C" w:rsidR="00735D70" w:rsidRPr="00C7705D" w:rsidRDefault="00735D70" w:rsidP="0051321F">
          <w:pPr>
            <w:tabs>
              <w:tab w:val="left" w:pos="4065"/>
            </w:tabs>
            <w:suppressAutoHyphens/>
            <w:spacing w:line="240" w:lineRule="auto"/>
            <w:ind w:left="0" w:firstLine="0"/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</w:pPr>
          <w:r w:rsidRPr="00C7705D"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>Projekt współfinansowany ze środków Unii Europejskiej</w:t>
          </w:r>
          <w:r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 xml:space="preserve"> </w:t>
          </w:r>
          <w:r w:rsidRPr="00C7705D"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 xml:space="preserve">z Europejskiego Funduszu Rozwoju Regionalnego w ramach Regionalnego Programu Operacyjnego Województwa Śląskiego na lata 2014-2020 </w:t>
          </w:r>
          <w:r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 xml:space="preserve"> </w:t>
          </w:r>
          <w:r w:rsidRPr="00C7705D"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>Oś Priorytetowa I Nowoczesna Gospodarka Działanie 1.4  Wsparcie ekosystemu innowacji</w:t>
          </w:r>
          <w:r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 xml:space="preserve"> </w:t>
          </w:r>
          <w:r w:rsidRPr="00C7705D"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  <w:t>poddziałanie: 1.4.2. Wsparcie regionalnych oraz lokalnych centrów kreatywności i innowacji Uniwersytet Śląski w Katowicach, ul. Bankowa 12,  40-007  Katowice,  http://www.us.edu.pl</w:t>
          </w:r>
        </w:p>
        <w:p w14:paraId="5A76664E" w14:textId="77777777" w:rsidR="00735D70" w:rsidRPr="00C7705D" w:rsidRDefault="00735D70" w:rsidP="00C7705D">
          <w:pPr>
            <w:tabs>
              <w:tab w:val="center" w:pos="4536"/>
              <w:tab w:val="right" w:pos="9072"/>
            </w:tabs>
            <w:suppressAutoHyphens/>
            <w:spacing w:line="240" w:lineRule="auto"/>
            <w:ind w:left="0" w:firstLine="0"/>
            <w:rPr>
              <w:rFonts w:ascii="Calibri" w:eastAsia="Times New Roman" w:hAnsi="Calibri" w:cs="Calibri"/>
              <w:i/>
              <w:noProof/>
              <w:sz w:val="16"/>
              <w:szCs w:val="16"/>
              <w:lang w:eastAsia="pl-PL"/>
            </w:rPr>
          </w:pPr>
        </w:p>
      </w:tc>
    </w:tr>
  </w:tbl>
  <w:p w14:paraId="4F119A33" w14:textId="0FF991B2" w:rsidR="00735D70" w:rsidRPr="000F39E8" w:rsidRDefault="00735D70" w:rsidP="000F39E8">
    <w:pPr>
      <w:pStyle w:val="Stopka"/>
    </w:pPr>
    <w:r w:rsidRPr="00C60FB5">
      <w:rPr>
        <w:rFonts w:ascii="Calibri" w:eastAsia="Calibri" w:hAnsi="Calibri"/>
        <w:i/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56785E4" wp14:editId="51EF93C2">
              <wp:simplePos x="0" y="0"/>
              <wp:positionH relativeFrom="rightMargin">
                <wp:posOffset>225027</wp:posOffset>
              </wp:positionH>
              <wp:positionV relativeFrom="margin">
                <wp:posOffset>5639956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85A76" w14:textId="74570199" w:rsidR="00735D70" w:rsidRDefault="00735D70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 w:rsidRPr="00C60FB5">
                            <w:rPr>
                              <w:rFonts w:eastAsiaTheme="majorEastAsia" w:cstheme="majorBidi"/>
                            </w:rPr>
                            <w:t xml:space="preserve">Strona </w:t>
                          </w:r>
                          <w:r w:rsidRPr="00C60FB5">
                            <w:rPr>
                              <w:rFonts w:eastAsiaTheme="minorEastAsia" w:cs="Times New Roman"/>
                              <w:szCs w:val="20"/>
                            </w:rPr>
                            <w:fldChar w:fldCharType="begin"/>
                          </w:r>
                          <w:r w:rsidRPr="00C60FB5">
                            <w:rPr>
                              <w:szCs w:val="20"/>
                            </w:rPr>
                            <w:instrText>PAGE    \* MERGEFORMAT</w:instrText>
                          </w:r>
                          <w:r w:rsidRPr="00C60FB5">
                            <w:rPr>
                              <w:rFonts w:eastAsiaTheme="minorEastAsia" w:cs="Times New Roman"/>
                              <w:szCs w:val="20"/>
                            </w:rPr>
                            <w:fldChar w:fldCharType="separate"/>
                          </w:r>
                          <w:r w:rsidRPr="00C60FB5">
                            <w:rPr>
                              <w:rFonts w:eastAsiaTheme="majorEastAsia" w:cstheme="majorBidi"/>
                              <w:szCs w:val="20"/>
                            </w:rPr>
                            <w:t>2</w:t>
                          </w:r>
                          <w:r w:rsidRPr="00C60FB5">
                            <w:rPr>
                              <w:rFonts w:eastAsiaTheme="majorEastAsia" w:cstheme="majorBidi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6785E4" id="Prostokąt 2" o:spid="_x0000_s1026" style="position:absolute;left:0;text-align:left;margin-left:17.7pt;margin-top:444.1pt;width:40.2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14:paraId="4F885A76" w14:textId="74570199" w:rsidR="00735D70" w:rsidRDefault="00735D70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C60FB5">
                      <w:rPr>
                        <w:rFonts w:eastAsiaTheme="majorEastAsia" w:cstheme="majorBidi"/>
                      </w:rPr>
                      <w:t xml:space="preserve">Strona </w:t>
                    </w:r>
                    <w:r w:rsidRPr="00C60FB5">
                      <w:rPr>
                        <w:rFonts w:eastAsiaTheme="minorEastAsia" w:cs="Times New Roman"/>
                        <w:szCs w:val="20"/>
                      </w:rPr>
                      <w:fldChar w:fldCharType="begin"/>
                    </w:r>
                    <w:r w:rsidRPr="00C60FB5">
                      <w:rPr>
                        <w:szCs w:val="20"/>
                      </w:rPr>
                      <w:instrText>PAGE    \* MERGEFORMAT</w:instrText>
                    </w:r>
                    <w:r w:rsidRPr="00C60FB5">
                      <w:rPr>
                        <w:rFonts w:eastAsiaTheme="minorEastAsia" w:cs="Times New Roman"/>
                        <w:szCs w:val="20"/>
                      </w:rPr>
                      <w:fldChar w:fldCharType="separate"/>
                    </w:r>
                    <w:r w:rsidRPr="00C60FB5">
                      <w:rPr>
                        <w:rFonts w:eastAsiaTheme="majorEastAsia" w:cstheme="majorBidi"/>
                        <w:szCs w:val="20"/>
                      </w:rPr>
                      <w:t>2</w:t>
                    </w:r>
                    <w:r w:rsidRPr="00C60FB5">
                      <w:rPr>
                        <w:rFonts w:eastAsiaTheme="majorEastAsia" w:cstheme="majorBidi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7997" w14:textId="77777777" w:rsidR="00735D70" w:rsidRPr="00602A59" w:rsidRDefault="00735D70" w:rsidP="00B4639D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B82F68D" wp14:editId="1A396773">
              <wp:simplePos x="0" y="0"/>
              <wp:positionH relativeFrom="rightMargin">
                <wp:posOffset>215900</wp:posOffset>
              </wp:positionH>
              <wp:positionV relativeFrom="margin">
                <wp:posOffset>8526780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4AC9FE" w14:textId="77777777" w:rsidR="00735D70" w:rsidRPr="002A6205" w:rsidRDefault="00735D70" w:rsidP="00B4639D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82F68D" id="Prostokąt 9" o:spid="_x0000_s1027" style="position:absolute;left:0;text-align:left;margin-left:17pt;margin-top:671.4pt;width:22.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p6K+/gAAAACwEAAA8AAAAAAAAAAAAAAAAA3wQAAGRycy9kb3ducmV2LnhtbFBLBQYAAAAA&#10;BAAEAPMAAADsBQAAAAA=&#10;" o:allowincell="f" stroked="f">
              <v:textbox inset="0,,0">
                <w:txbxContent>
                  <w:p w14:paraId="3C4AC9FE" w14:textId="77777777" w:rsidR="00735D70" w:rsidRPr="002A6205" w:rsidRDefault="00735D70" w:rsidP="00B4639D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3120" behindDoc="1" locked="0" layoutInCell="1" allowOverlap="1" wp14:anchorId="274273BB" wp14:editId="3B5E9551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0048" behindDoc="1" locked="0" layoutInCell="1" allowOverlap="1" wp14:anchorId="369309BC" wp14:editId="41E94BCF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597A4895" w14:textId="77777777" w:rsidR="00735D70" w:rsidRPr="00602A59" w:rsidRDefault="00735D70" w:rsidP="00B4639D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33F54D8" w14:textId="77777777" w:rsidR="00735D70" w:rsidRPr="00602A59" w:rsidRDefault="00735D70" w:rsidP="00B4639D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FA6BEB4" w14:textId="77777777" w:rsidR="00735D70" w:rsidRPr="00602A59" w:rsidRDefault="00735D70" w:rsidP="00B4639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EEF03B" w14:textId="77777777" w:rsidR="00735D70" w:rsidRPr="00320F2F" w:rsidRDefault="00735D70" w:rsidP="00B4639D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39B98FB0" w14:textId="71874324" w:rsidR="00735D70" w:rsidRPr="00246789" w:rsidRDefault="00735D70" w:rsidP="00246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735D70" w:rsidRDefault="00735D70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735D70" w:rsidRDefault="00735D7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77884" w14:textId="77777777" w:rsidR="00735D70" w:rsidRPr="006F0261" w:rsidRDefault="00735D70" w:rsidP="00C7705D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Cs w:val="20"/>
        <w:lang w:val="en-US"/>
      </w:rPr>
    </w:pPr>
    <w:r w:rsidRPr="006F0261">
      <w:rPr>
        <w:rFonts w:ascii="Calibri" w:eastAsia="Calibri" w:hAnsi="Calibri"/>
        <w:i/>
        <w:noProof/>
        <w:szCs w:val="20"/>
      </w:rPr>
      <w:drawing>
        <wp:inline distT="0" distB="0" distL="0" distR="0" wp14:anchorId="547FBF12" wp14:editId="43D1FD51">
          <wp:extent cx="5667375" cy="571500"/>
          <wp:effectExtent l="0" t="0" r="9525" b="0"/>
          <wp:docPr id="18" name="Obraz 18" descr="EFRR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_pozio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731D9" w14:textId="77777777" w:rsidR="00735D70" w:rsidRPr="006F0261" w:rsidRDefault="00735D70" w:rsidP="00C7705D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 w:val="6"/>
        <w:szCs w:val="6"/>
        <w:lang w:val="en-US"/>
      </w:rPr>
    </w:pPr>
  </w:p>
  <w:p w14:paraId="24E04021" w14:textId="61931324" w:rsidR="00735D70" w:rsidRPr="006F0261" w:rsidRDefault="00735D70" w:rsidP="007C2CCC">
    <w:pPr>
      <w:tabs>
        <w:tab w:val="center" w:pos="4536"/>
        <w:tab w:val="center" w:pos="5102"/>
        <w:tab w:val="right" w:pos="9072"/>
        <w:tab w:val="right" w:pos="9638"/>
      </w:tabs>
      <w:suppressAutoHyphens/>
      <w:jc w:val="center"/>
      <w:rPr>
        <w:rFonts w:ascii="Calibri" w:eastAsia="Calibri" w:hAnsi="Calibri"/>
        <w:i/>
        <w:szCs w:val="20"/>
        <w:lang w:val="en-US"/>
      </w:rPr>
    </w:pPr>
    <w:proofErr w:type="spellStart"/>
    <w:r w:rsidRPr="006F0261">
      <w:rPr>
        <w:rFonts w:ascii="Calibri" w:eastAsia="Calibri" w:hAnsi="Calibri"/>
        <w:i/>
        <w:szCs w:val="20"/>
        <w:lang w:val="en-US"/>
      </w:rPr>
      <w:t>Projekt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„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SPINplace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— centrum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kreatywności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i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coworkingu</w:t>
    </w:r>
    <w:proofErr w:type="spellEnd"/>
    <w:r w:rsidRPr="006F0261">
      <w:rPr>
        <w:rFonts w:ascii="Calibri" w:eastAsia="Calibri" w:hAnsi="Calibri"/>
        <w:i/>
        <w:szCs w:val="20"/>
        <w:lang w:val="en-US"/>
      </w:rPr>
      <w:t>”</w:t>
    </w:r>
  </w:p>
  <w:p w14:paraId="4A08F3DA" w14:textId="77777777" w:rsidR="00735D70" w:rsidRPr="00B411F7" w:rsidRDefault="00735D70" w:rsidP="00C7705D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i/>
        <w:szCs w:val="20"/>
        <w:lang w:val="en-US"/>
      </w:rPr>
      <w:pict w14:anchorId="5050075E">
        <v:rect id="_x0000_i1025" style="width:411.05pt;height:.75pt" o:hralign="center" o:hrstd="t" o:hr="t" fillcolor="#a0a0a0" stroked="f"/>
      </w:pict>
    </w:r>
  </w:p>
  <w:p w14:paraId="1296E421" w14:textId="30B2A426" w:rsidR="00735D70" w:rsidRPr="00246789" w:rsidRDefault="00735D70" w:rsidP="00B4639D">
    <w:pPr>
      <w:tabs>
        <w:tab w:val="center" w:pos="4536"/>
        <w:tab w:val="right" w:pos="9072"/>
      </w:tabs>
      <w:jc w:val="center"/>
      <w:rPr>
        <w:i/>
        <w:szCs w:val="20"/>
        <w:lang w:val="en-US"/>
      </w:rPr>
    </w:pPr>
    <w:sdt>
      <w:sdtPr>
        <w:rPr>
          <w:rFonts w:ascii="Calibri" w:eastAsia="Calibri" w:hAnsi="Calibri"/>
          <w:i/>
          <w:szCs w:val="20"/>
        </w:rPr>
        <w:id w:val="1020741652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6B2A8B42"/>
    <w:lvl w:ilvl="0" w:tplc="CF14E1C8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2"/>
    <w:lvlOverride w:ilvl="0">
      <w:startOverride w:val="2"/>
    </w:lvlOverride>
  </w:num>
  <w:num w:numId="18">
    <w:abstractNumId w:val="2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3"/>
  </w:num>
  <w:num w:numId="35">
    <w:abstractNumId w:val="4"/>
    <w:lvlOverride w:ilvl="0">
      <w:startOverride w:val="2"/>
    </w:lvlOverride>
  </w:num>
  <w:num w:numId="36">
    <w:abstractNumId w:val="2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8"/>
  </w:num>
  <w:num w:numId="47">
    <w:abstractNumId w:val="2"/>
    <w:lvlOverride w:ilvl="0">
      <w:startOverride w:val="1"/>
    </w:lvlOverride>
  </w:num>
  <w:num w:numId="48">
    <w:abstractNumId w:val="11"/>
    <w:lvlOverride w:ilvl="0">
      <w:startOverride w:val="1"/>
    </w:lvlOverride>
  </w:num>
  <w:num w:numId="49">
    <w:abstractNumId w:val="11"/>
    <w:lvlOverride w:ilvl="0">
      <w:startOverride w:val="1"/>
    </w:lvlOverride>
  </w:num>
  <w:num w:numId="50">
    <w:abstractNumId w:val="11"/>
    <w:lvlOverride w:ilvl="0">
      <w:startOverride w:val="1"/>
    </w:lvlOverride>
  </w:num>
  <w:num w:numId="51">
    <w:abstractNumId w:val="11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4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1"/>
  </w:num>
  <w:num w:numId="59">
    <w:abstractNumId w:val="0"/>
  </w:num>
  <w:num w:numId="60">
    <w:abstractNumId w:val="2"/>
    <w:lvlOverride w:ilvl="0">
      <w:startOverride w:val="1"/>
    </w:lvlOverride>
  </w:num>
  <w:num w:numId="61">
    <w:abstractNumId w:val="11"/>
    <w:lvlOverride w:ilvl="0">
      <w:startOverride w:val="1"/>
    </w:lvlOverride>
  </w:num>
  <w:num w:numId="62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3813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04A1"/>
    <w:rsid w:val="000518A0"/>
    <w:rsid w:val="00052289"/>
    <w:rsid w:val="00060216"/>
    <w:rsid w:val="00062715"/>
    <w:rsid w:val="000649CD"/>
    <w:rsid w:val="00065E6E"/>
    <w:rsid w:val="00066CCC"/>
    <w:rsid w:val="00070309"/>
    <w:rsid w:val="00070C25"/>
    <w:rsid w:val="000729DF"/>
    <w:rsid w:val="000733DA"/>
    <w:rsid w:val="00080C23"/>
    <w:rsid w:val="00081DD4"/>
    <w:rsid w:val="00083060"/>
    <w:rsid w:val="000836B7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C13DB"/>
    <w:rsid w:val="000C3522"/>
    <w:rsid w:val="000C5ABC"/>
    <w:rsid w:val="000D1F37"/>
    <w:rsid w:val="000D2D77"/>
    <w:rsid w:val="000E587B"/>
    <w:rsid w:val="000F1B1F"/>
    <w:rsid w:val="000F39E8"/>
    <w:rsid w:val="000F58E7"/>
    <w:rsid w:val="00103256"/>
    <w:rsid w:val="00110217"/>
    <w:rsid w:val="00111FD4"/>
    <w:rsid w:val="001136D4"/>
    <w:rsid w:val="00113823"/>
    <w:rsid w:val="001161CE"/>
    <w:rsid w:val="00116C32"/>
    <w:rsid w:val="00117E46"/>
    <w:rsid w:val="00120996"/>
    <w:rsid w:val="00120BAA"/>
    <w:rsid w:val="00122898"/>
    <w:rsid w:val="001244C9"/>
    <w:rsid w:val="00124513"/>
    <w:rsid w:val="0012500C"/>
    <w:rsid w:val="00125C88"/>
    <w:rsid w:val="00125FCF"/>
    <w:rsid w:val="001400B0"/>
    <w:rsid w:val="00140F4A"/>
    <w:rsid w:val="001463E7"/>
    <w:rsid w:val="00147280"/>
    <w:rsid w:val="001509D7"/>
    <w:rsid w:val="00155256"/>
    <w:rsid w:val="00170642"/>
    <w:rsid w:val="00172DAE"/>
    <w:rsid w:val="0017430E"/>
    <w:rsid w:val="00177B6F"/>
    <w:rsid w:val="00180F86"/>
    <w:rsid w:val="001814C5"/>
    <w:rsid w:val="0018285D"/>
    <w:rsid w:val="001863EA"/>
    <w:rsid w:val="001902EC"/>
    <w:rsid w:val="00195330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D6667"/>
    <w:rsid w:val="001E3FB3"/>
    <w:rsid w:val="001F525C"/>
    <w:rsid w:val="00200A27"/>
    <w:rsid w:val="00220200"/>
    <w:rsid w:val="00221638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46789"/>
    <w:rsid w:val="00264155"/>
    <w:rsid w:val="002704F5"/>
    <w:rsid w:val="00272E3F"/>
    <w:rsid w:val="00273A5E"/>
    <w:rsid w:val="002767DF"/>
    <w:rsid w:val="00292A2C"/>
    <w:rsid w:val="00297EB3"/>
    <w:rsid w:val="002A3574"/>
    <w:rsid w:val="002A50F6"/>
    <w:rsid w:val="002B20B0"/>
    <w:rsid w:val="002B3102"/>
    <w:rsid w:val="002B3B39"/>
    <w:rsid w:val="002B5872"/>
    <w:rsid w:val="002B6782"/>
    <w:rsid w:val="002C3644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300C65"/>
    <w:rsid w:val="00301EA8"/>
    <w:rsid w:val="00305D5C"/>
    <w:rsid w:val="0031115A"/>
    <w:rsid w:val="003144B0"/>
    <w:rsid w:val="00315CE9"/>
    <w:rsid w:val="00317F1D"/>
    <w:rsid w:val="00321B53"/>
    <w:rsid w:val="003322E2"/>
    <w:rsid w:val="003327C2"/>
    <w:rsid w:val="0033333B"/>
    <w:rsid w:val="0033387C"/>
    <w:rsid w:val="003439DD"/>
    <w:rsid w:val="003531D1"/>
    <w:rsid w:val="00354EEE"/>
    <w:rsid w:val="00357D01"/>
    <w:rsid w:val="003620A2"/>
    <w:rsid w:val="003636A2"/>
    <w:rsid w:val="00367079"/>
    <w:rsid w:val="00380CA4"/>
    <w:rsid w:val="00382315"/>
    <w:rsid w:val="00384DA3"/>
    <w:rsid w:val="00385E23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482F"/>
    <w:rsid w:val="003F77B9"/>
    <w:rsid w:val="004034D9"/>
    <w:rsid w:val="00404C44"/>
    <w:rsid w:val="0040530F"/>
    <w:rsid w:val="00410DFD"/>
    <w:rsid w:val="00415086"/>
    <w:rsid w:val="00416D5A"/>
    <w:rsid w:val="004238D1"/>
    <w:rsid w:val="00424899"/>
    <w:rsid w:val="00427658"/>
    <w:rsid w:val="00430D9E"/>
    <w:rsid w:val="0043134E"/>
    <w:rsid w:val="004331F4"/>
    <w:rsid w:val="00436D0E"/>
    <w:rsid w:val="00436F8D"/>
    <w:rsid w:val="004516FA"/>
    <w:rsid w:val="00452F18"/>
    <w:rsid w:val="00455B33"/>
    <w:rsid w:val="00457D79"/>
    <w:rsid w:val="00460043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4865"/>
    <w:rsid w:val="004E73AB"/>
    <w:rsid w:val="004F088D"/>
    <w:rsid w:val="004F19BB"/>
    <w:rsid w:val="004F6D52"/>
    <w:rsid w:val="00501A06"/>
    <w:rsid w:val="00512AC8"/>
    <w:rsid w:val="00512CD6"/>
    <w:rsid w:val="0051321F"/>
    <w:rsid w:val="005149DB"/>
    <w:rsid w:val="00515101"/>
    <w:rsid w:val="00530CAA"/>
    <w:rsid w:val="0053445D"/>
    <w:rsid w:val="00537362"/>
    <w:rsid w:val="005438D0"/>
    <w:rsid w:val="0055317F"/>
    <w:rsid w:val="00553D74"/>
    <w:rsid w:val="0055557C"/>
    <w:rsid w:val="00557CB8"/>
    <w:rsid w:val="005625C2"/>
    <w:rsid w:val="00564C35"/>
    <w:rsid w:val="00581C32"/>
    <w:rsid w:val="00583DF2"/>
    <w:rsid w:val="00584E90"/>
    <w:rsid w:val="00586657"/>
    <w:rsid w:val="00591ED9"/>
    <w:rsid w:val="00593C25"/>
    <w:rsid w:val="005968E9"/>
    <w:rsid w:val="0059734E"/>
    <w:rsid w:val="005975F7"/>
    <w:rsid w:val="005A19CF"/>
    <w:rsid w:val="005A269D"/>
    <w:rsid w:val="005A39C3"/>
    <w:rsid w:val="005B34FE"/>
    <w:rsid w:val="005B5871"/>
    <w:rsid w:val="005B5BA7"/>
    <w:rsid w:val="005B7629"/>
    <w:rsid w:val="005D0757"/>
    <w:rsid w:val="005D2930"/>
    <w:rsid w:val="005D4855"/>
    <w:rsid w:val="005D63CD"/>
    <w:rsid w:val="005D7EA1"/>
    <w:rsid w:val="005E2F99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615A"/>
    <w:rsid w:val="0066172A"/>
    <w:rsid w:val="00663D66"/>
    <w:rsid w:val="006675AE"/>
    <w:rsid w:val="00671950"/>
    <w:rsid w:val="006727FE"/>
    <w:rsid w:val="00673F0B"/>
    <w:rsid w:val="006776DF"/>
    <w:rsid w:val="00687243"/>
    <w:rsid w:val="00687FDF"/>
    <w:rsid w:val="00696973"/>
    <w:rsid w:val="006A1250"/>
    <w:rsid w:val="006A5F11"/>
    <w:rsid w:val="006A784F"/>
    <w:rsid w:val="006B318B"/>
    <w:rsid w:val="006B5250"/>
    <w:rsid w:val="006C251D"/>
    <w:rsid w:val="006C5845"/>
    <w:rsid w:val="006D3219"/>
    <w:rsid w:val="006D4E1B"/>
    <w:rsid w:val="006D6009"/>
    <w:rsid w:val="006E2700"/>
    <w:rsid w:val="006E33C4"/>
    <w:rsid w:val="006E4544"/>
    <w:rsid w:val="006F2450"/>
    <w:rsid w:val="006F5CCC"/>
    <w:rsid w:val="0070662F"/>
    <w:rsid w:val="00707DB3"/>
    <w:rsid w:val="007116FA"/>
    <w:rsid w:val="0071332C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5D70"/>
    <w:rsid w:val="007372CC"/>
    <w:rsid w:val="00740B18"/>
    <w:rsid w:val="00743CB0"/>
    <w:rsid w:val="00745B95"/>
    <w:rsid w:val="00747C84"/>
    <w:rsid w:val="007532E2"/>
    <w:rsid w:val="00753946"/>
    <w:rsid w:val="007551C7"/>
    <w:rsid w:val="00765CD8"/>
    <w:rsid w:val="007667C8"/>
    <w:rsid w:val="00772CB2"/>
    <w:rsid w:val="007736C6"/>
    <w:rsid w:val="00774987"/>
    <w:rsid w:val="007774CE"/>
    <w:rsid w:val="00781509"/>
    <w:rsid w:val="00781B28"/>
    <w:rsid w:val="00782008"/>
    <w:rsid w:val="00782AC1"/>
    <w:rsid w:val="00791BE2"/>
    <w:rsid w:val="00792054"/>
    <w:rsid w:val="0079207F"/>
    <w:rsid w:val="00794699"/>
    <w:rsid w:val="00794879"/>
    <w:rsid w:val="007A06EE"/>
    <w:rsid w:val="007A0C0F"/>
    <w:rsid w:val="007B0D99"/>
    <w:rsid w:val="007B1224"/>
    <w:rsid w:val="007B551E"/>
    <w:rsid w:val="007B66D6"/>
    <w:rsid w:val="007C047D"/>
    <w:rsid w:val="007C0EC6"/>
    <w:rsid w:val="007C2CCC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FC7"/>
    <w:rsid w:val="007F728E"/>
    <w:rsid w:val="00801A5D"/>
    <w:rsid w:val="0080582A"/>
    <w:rsid w:val="00815FE8"/>
    <w:rsid w:val="008162AF"/>
    <w:rsid w:val="0082259F"/>
    <w:rsid w:val="00822B84"/>
    <w:rsid w:val="008267E1"/>
    <w:rsid w:val="008278FB"/>
    <w:rsid w:val="00827E44"/>
    <w:rsid w:val="00831C14"/>
    <w:rsid w:val="008325FA"/>
    <w:rsid w:val="00833B90"/>
    <w:rsid w:val="00840989"/>
    <w:rsid w:val="00842750"/>
    <w:rsid w:val="00845B0F"/>
    <w:rsid w:val="008614DC"/>
    <w:rsid w:val="00863BE1"/>
    <w:rsid w:val="00871CE0"/>
    <w:rsid w:val="00876189"/>
    <w:rsid w:val="00877825"/>
    <w:rsid w:val="00881926"/>
    <w:rsid w:val="00884A25"/>
    <w:rsid w:val="00886073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02EF"/>
    <w:rsid w:val="00961D5D"/>
    <w:rsid w:val="0098442D"/>
    <w:rsid w:val="00984C9F"/>
    <w:rsid w:val="00985869"/>
    <w:rsid w:val="00990E43"/>
    <w:rsid w:val="0099161D"/>
    <w:rsid w:val="00996376"/>
    <w:rsid w:val="009A1C4B"/>
    <w:rsid w:val="009A3127"/>
    <w:rsid w:val="009A326B"/>
    <w:rsid w:val="009A7AB0"/>
    <w:rsid w:val="009B0940"/>
    <w:rsid w:val="009B5DBA"/>
    <w:rsid w:val="009B64C5"/>
    <w:rsid w:val="009C40E6"/>
    <w:rsid w:val="009C57E1"/>
    <w:rsid w:val="009C5ED5"/>
    <w:rsid w:val="009C633A"/>
    <w:rsid w:val="009C6569"/>
    <w:rsid w:val="009D2872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368D"/>
    <w:rsid w:val="00A2561E"/>
    <w:rsid w:val="00A32C5A"/>
    <w:rsid w:val="00A332D9"/>
    <w:rsid w:val="00A36646"/>
    <w:rsid w:val="00A36865"/>
    <w:rsid w:val="00A41B89"/>
    <w:rsid w:val="00A57F79"/>
    <w:rsid w:val="00A62353"/>
    <w:rsid w:val="00A62983"/>
    <w:rsid w:val="00A62DD6"/>
    <w:rsid w:val="00A75182"/>
    <w:rsid w:val="00A865A7"/>
    <w:rsid w:val="00A867B7"/>
    <w:rsid w:val="00A9008D"/>
    <w:rsid w:val="00A94DDB"/>
    <w:rsid w:val="00A953DB"/>
    <w:rsid w:val="00AA645F"/>
    <w:rsid w:val="00AA68EB"/>
    <w:rsid w:val="00AA6F95"/>
    <w:rsid w:val="00AB3F05"/>
    <w:rsid w:val="00AD1DEF"/>
    <w:rsid w:val="00AD747C"/>
    <w:rsid w:val="00AD7B52"/>
    <w:rsid w:val="00AE0D46"/>
    <w:rsid w:val="00AE0FC0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3AD9"/>
    <w:rsid w:val="00B241D6"/>
    <w:rsid w:val="00B262D1"/>
    <w:rsid w:val="00B26AE1"/>
    <w:rsid w:val="00B3055B"/>
    <w:rsid w:val="00B3356E"/>
    <w:rsid w:val="00B36767"/>
    <w:rsid w:val="00B376D2"/>
    <w:rsid w:val="00B4639D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1DFF"/>
    <w:rsid w:val="00BD6F5D"/>
    <w:rsid w:val="00BE040C"/>
    <w:rsid w:val="00BE0652"/>
    <w:rsid w:val="00BE07E2"/>
    <w:rsid w:val="00BE7EB1"/>
    <w:rsid w:val="00BF120E"/>
    <w:rsid w:val="00BF1C1E"/>
    <w:rsid w:val="00BF35CF"/>
    <w:rsid w:val="00BF4BB9"/>
    <w:rsid w:val="00BF5986"/>
    <w:rsid w:val="00BF716F"/>
    <w:rsid w:val="00BF753A"/>
    <w:rsid w:val="00C035AE"/>
    <w:rsid w:val="00C06BAC"/>
    <w:rsid w:val="00C12F23"/>
    <w:rsid w:val="00C14A8D"/>
    <w:rsid w:val="00C23548"/>
    <w:rsid w:val="00C24260"/>
    <w:rsid w:val="00C243F8"/>
    <w:rsid w:val="00C25340"/>
    <w:rsid w:val="00C32198"/>
    <w:rsid w:val="00C325E2"/>
    <w:rsid w:val="00C34A5B"/>
    <w:rsid w:val="00C354C4"/>
    <w:rsid w:val="00C512D2"/>
    <w:rsid w:val="00C540B8"/>
    <w:rsid w:val="00C60FB5"/>
    <w:rsid w:val="00C6398C"/>
    <w:rsid w:val="00C652CD"/>
    <w:rsid w:val="00C662F4"/>
    <w:rsid w:val="00C66A12"/>
    <w:rsid w:val="00C7019D"/>
    <w:rsid w:val="00C72ACD"/>
    <w:rsid w:val="00C76434"/>
    <w:rsid w:val="00C7705D"/>
    <w:rsid w:val="00C80205"/>
    <w:rsid w:val="00C80397"/>
    <w:rsid w:val="00C812CA"/>
    <w:rsid w:val="00C81876"/>
    <w:rsid w:val="00C83311"/>
    <w:rsid w:val="00C8603B"/>
    <w:rsid w:val="00CA3460"/>
    <w:rsid w:val="00CA35AC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CB7"/>
    <w:rsid w:val="00D66702"/>
    <w:rsid w:val="00D73B02"/>
    <w:rsid w:val="00D749C0"/>
    <w:rsid w:val="00D83EC3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E0EE9"/>
    <w:rsid w:val="00DE1639"/>
    <w:rsid w:val="00DE720A"/>
    <w:rsid w:val="00DF3199"/>
    <w:rsid w:val="00E041E8"/>
    <w:rsid w:val="00E054BA"/>
    <w:rsid w:val="00E07D95"/>
    <w:rsid w:val="00E10EFD"/>
    <w:rsid w:val="00E1454C"/>
    <w:rsid w:val="00E1641F"/>
    <w:rsid w:val="00E23287"/>
    <w:rsid w:val="00E25C1E"/>
    <w:rsid w:val="00E25E54"/>
    <w:rsid w:val="00E356FA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81FC8"/>
    <w:rsid w:val="00E91836"/>
    <w:rsid w:val="00E93D14"/>
    <w:rsid w:val="00EA3288"/>
    <w:rsid w:val="00EA5094"/>
    <w:rsid w:val="00EB2BA0"/>
    <w:rsid w:val="00EC3C34"/>
    <w:rsid w:val="00EC6402"/>
    <w:rsid w:val="00ED2E7A"/>
    <w:rsid w:val="00ED5179"/>
    <w:rsid w:val="00ED5508"/>
    <w:rsid w:val="00ED57DE"/>
    <w:rsid w:val="00ED6871"/>
    <w:rsid w:val="00EE14B3"/>
    <w:rsid w:val="00EE380D"/>
    <w:rsid w:val="00EE444D"/>
    <w:rsid w:val="00EE453B"/>
    <w:rsid w:val="00EE6932"/>
    <w:rsid w:val="00EF2D47"/>
    <w:rsid w:val="00EF3DDD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999"/>
    <w:rsid w:val="00F43774"/>
    <w:rsid w:val="00F54060"/>
    <w:rsid w:val="00F5793C"/>
    <w:rsid w:val="00F65A36"/>
    <w:rsid w:val="00F66103"/>
    <w:rsid w:val="00F66A40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A6701"/>
    <w:rsid w:val="00FB0199"/>
    <w:rsid w:val="00FB1D1B"/>
    <w:rsid w:val="00FB3F58"/>
    <w:rsid w:val="00FC3A95"/>
    <w:rsid w:val="00FC76AF"/>
    <w:rsid w:val="00FD113E"/>
    <w:rsid w:val="00FE10A7"/>
    <w:rsid w:val="00FE1D79"/>
    <w:rsid w:val="00FE2B3F"/>
    <w:rsid w:val="00FE4046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  <w14:docId w14:val="4A34DC32"/>
  <w15:docId w15:val="{D83651FD-C344-41F7-B8F8-16E249C4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2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ED253-6E7C-44D5-B741-102BD2ED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9119</Words>
  <Characters>54714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Justyna Rutkowska-Zawada</cp:lastModifiedBy>
  <cp:revision>3</cp:revision>
  <cp:lastPrinted>2023-07-20T08:10:00Z</cp:lastPrinted>
  <dcterms:created xsi:type="dcterms:W3CDTF">2023-11-09T07:48:00Z</dcterms:created>
  <dcterms:modified xsi:type="dcterms:W3CDTF">2023-11-09T07:50:00Z</dcterms:modified>
</cp:coreProperties>
</file>