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11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57" w:lineRule="auto"/>
        <w:ind w:left="5040" w:firstLine="345.8267716535431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4">
      <w:pPr>
        <w:spacing w:after="0" w:line="276" w:lineRule="auto"/>
        <w:ind w:left="5370" w:right="19.1338582677173" w:firstLine="15.826771653543119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</w:t>
        <w:br w:type="textWrapping"/>
        <w:t xml:space="preserve">ul. Ratusz 1, 11-015 Olsztynek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571" w:right="4048" w:firstLine="1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571" w:right="4048" w:firstLine="10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Podmiot udostępniający zasoby: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NIP/PESEL, KRS/CEiDG)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nazwisko, stanowisko/podstawa</w:t>
        <w:br w:type="textWrapping"/>
        <w:t xml:space="preserve">do reprezentacji)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podmiotu udostępniającego zasoby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5 ustawy Pzp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firstLine="426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Na potrzeby postępowania o udzielenie zamówienia publicznego pn. </w:t>
      </w:r>
      <w:r w:rsidDel="00000000" w:rsidR="00000000" w:rsidRPr="00000000">
        <w:rPr>
          <w:b w:val="1"/>
          <w:sz w:val="24"/>
          <w:szCs w:val="24"/>
          <w:rtl w:val="0"/>
        </w:rPr>
        <w:t xml:space="preserve">Kompleksowa realizacja w formie „zaprojektuj i wybuduj” projektu pn.: „Projekt budowlany, analiza rzeczowo-finansowa oraz budowa budynków wielorodzinnych w Gminie Szczytno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prowadzonego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SIM KZN Warmia i Mazury Spółka z ograniczoną odpowiedzialnością z siedzibą w Olsztynku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co następuje: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OŚWIADCZENIA DOTYCZĄCE PODMIOTU UDOSTEPNIAJĄCEGO ZASOBY: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o 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(Dz. U. poz. 835)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5664" w:firstLine="707.999999999999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4" w:firstLine="0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Data;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obywateli rosyjskich lub osób fizycznych lub prawnych, podmiotów lub organów z siedzibą w Rosji;</w:t>
      </w: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prawnych, podmiotów lub organów, do których prawa własności bezpośrednio lub pośrednio w ponad 50 % należą do podmiotu, o którym mowa w lit. a) niniejszego ustępu; 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fizycznych lub prawnych, podmiotów lub organów działających w imieniu lub pod kierunkiem podmiotu, o którym mowa w lit. a) lub b) niniejszego ustępu,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"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6ErfQ/rgVhnUonq009gWFtIkrA==">CgMxLjAyCGguZ2pkZ3hzMgloLjMwajB6bGwyCmlkLjFmb2I5dGUyCmlkLjN6bnlzaDc4AHIhMWdoRVUxWThIeGtlazJOWC1DSzhubjBLc0t3eEN2bzdj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