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2A7FCD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30DFC" w:rsidRPr="00730DFC">
        <w:rPr>
          <w:rFonts w:cs="Arial"/>
          <w:b/>
          <w:bCs/>
          <w:szCs w:val="24"/>
        </w:rPr>
        <w:t>31/III/2023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5386BCA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B79BA" w:rsidRPr="002B79BA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 xml:space="preserve">prowadzonym przez Zarząd Dróg Miasta Krakowa, </w:t>
      </w:r>
      <w:r w:rsidR="00730DFC">
        <w:rPr>
          <w:rFonts w:cs="Arial"/>
          <w:szCs w:val="24"/>
        </w:rPr>
        <w:br/>
      </w:r>
      <w:r w:rsidRPr="00A840A7">
        <w:rPr>
          <w:rFonts w:cs="Arial"/>
          <w:szCs w:val="24"/>
        </w:rPr>
        <w:t>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6C113B"/>
    <w:rsid w:val="00730DFC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10</cp:revision>
  <dcterms:created xsi:type="dcterms:W3CDTF">2023-02-20T06:41:00Z</dcterms:created>
  <dcterms:modified xsi:type="dcterms:W3CDTF">2023-03-29T08:57:00Z</dcterms:modified>
</cp:coreProperties>
</file>