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BEC" w14:textId="56EF1F6D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bookmarkStart w:id="1" w:name="_GoBack"/>
      <w:bookmarkEnd w:id="1"/>
      <w:r w:rsidRPr="00FC3E6F">
        <w:rPr>
          <w:rFonts w:ascii="Cambria" w:hAnsi="Cambria" w:cs="Times New Roman"/>
          <w:b/>
          <w:bCs/>
        </w:rPr>
        <w:t xml:space="preserve">Numer sprawy: </w:t>
      </w:r>
      <w:r w:rsidR="00695234" w:rsidRPr="00FC3E6F">
        <w:rPr>
          <w:rFonts w:ascii="Cambria" w:hAnsi="Cambria" w:cs="Times New Roman"/>
          <w:b/>
          <w:bCs/>
        </w:rPr>
        <w:t>DZ/11/2022/PP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i oprogramowania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2230B8F6" w14:textId="77777777" w:rsidR="001843FF" w:rsidRPr="00FC3E6F" w:rsidRDefault="001843FF" w:rsidP="001843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Ilekroć w specyfikacji jest mowa o gwarancji NBD (Next Bussines Day) Zamawiający rozumie przez to gwarancje naprawy lub </w:t>
      </w:r>
      <w:r w:rsidRPr="00D54091">
        <w:rPr>
          <w:rFonts w:ascii="Cambria" w:hAnsi="Cambria"/>
          <w:sz w:val="22"/>
          <w:szCs w:val="22"/>
        </w:rPr>
        <w:t xml:space="preserve">wymiany sprzętu na nowy </w:t>
      </w:r>
      <w:r>
        <w:rPr>
          <w:rFonts w:ascii="Cambria" w:hAnsi="Cambria"/>
          <w:sz w:val="22"/>
          <w:szCs w:val="22"/>
        </w:rPr>
        <w:t xml:space="preserve">w </w:t>
      </w:r>
      <w:r w:rsidRPr="00D54091">
        <w:rPr>
          <w:rFonts w:ascii="Cambria" w:hAnsi="Cambria"/>
          <w:sz w:val="22"/>
          <w:szCs w:val="22"/>
        </w:rPr>
        <w:t>maksymalny</w:t>
      </w:r>
      <w:r>
        <w:rPr>
          <w:rFonts w:ascii="Cambria" w:hAnsi="Cambria"/>
          <w:sz w:val="22"/>
          <w:szCs w:val="22"/>
        </w:rPr>
        <w:t>m</w:t>
      </w:r>
      <w:r w:rsidRPr="00D54091">
        <w:rPr>
          <w:rFonts w:ascii="Cambria" w:hAnsi="Cambria"/>
          <w:sz w:val="22"/>
          <w:szCs w:val="22"/>
        </w:rPr>
        <w:t xml:space="preserve"> czas</w:t>
      </w:r>
      <w:r>
        <w:rPr>
          <w:rFonts w:ascii="Cambria" w:hAnsi="Cambria"/>
          <w:sz w:val="22"/>
          <w:szCs w:val="22"/>
        </w:rPr>
        <w:t>ie</w:t>
      </w:r>
      <w:r w:rsidRPr="00D540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D54091">
        <w:rPr>
          <w:rFonts w:ascii="Cambria" w:hAnsi="Cambria"/>
          <w:sz w:val="22"/>
          <w:szCs w:val="22"/>
        </w:rPr>
        <w:t xml:space="preserve">na podjęcie dział mających na celu usunięcie </w:t>
      </w:r>
      <w:r w:rsidRPr="00D54091">
        <w:rPr>
          <w:rFonts w:ascii="Cambria" w:hAnsi="Cambria"/>
          <w:b/>
          <w:sz w:val="22"/>
          <w:szCs w:val="22"/>
          <w:u w:val="single"/>
        </w:rPr>
        <w:t>awarii</w:t>
      </w:r>
      <w:r w:rsidRPr="00D5409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FC3E6F">
        <w:rPr>
          <w:rFonts w:ascii="Cambria" w:hAnsi="Cambria"/>
          <w:sz w:val="22"/>
          <w:szCs w:val="22"/>
        </w:rPr>
        <w:t>Naprawa lub wymiana sprzętu na nowy musi mieć miejsce w siedzibie Zamawiającego.</w:t>
      </w:r>
    </w:p>
    <w:p w14:paraId="42348910" w14:textId="77777777" w:rsidR="001843FF" w:rsidRPr="00FC3E6F" w:rsidRDefault="001843FF" w:rsidP="001843FF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FC3E6F" w:rsidRDefault="00263380" w:rsidP="001B7B83">
      <w:pPr>
        <w:pStyle w:val="Akapitzlist"/>
        <w:numPr>
          <w:ilvl w:val="3"/>
          <w:numId w:val="6"/>
        </w:numPr>
        <w:ind w:left="426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4E8923E9" w:rsidR="00585F00" w:rsidRPr="00FC3E6F" w:rsidRDefault="00263380" w:rsidP="001B7B83">
      <w:pPr>
        <w:pStyle w:val="Nagwek2"/>
        <w:numPr>
          <w:ilvl w:val="1"/>
          <w:numId w:val="17"/>
        </w:numPr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154F7531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1.1.1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68CCA731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PassMark CPU Mark (lista procesorów dostępna na stronie producenta testu http://www.cpubenchmark.net/cpu_list.php). Posiadający co najmniej osiem 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>M.2, PCI Express 3.0 x4 NVMe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77777777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>punktów w teście 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HDMI, Display Port</w:t>
      </w:r>
      <w:r w:rsidR="00ED7C62" w:rsidRPr="00FC3E6F">
        <w:rPr>
          <w:rFonts w:ascii="Cambria" w:hAnsi="Cambria" w:cs="Times New Roman"/>
        </w:rPr>
        <w:t>,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zaprojektowana przez producenta stacji i oznaczona trwale jego znakiem firmowym,</w:t>
      </w:r>
    </w:p>
    <w:p w14:paraId="13ACB061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77777777" w:rsidR="00C742F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4.0 x16</w:t>
      </w:r>
      <w:r w:rsidR="00C945D1" w:rsidRPr="00FC3E6F">
        <w:rPr>
          <w:rFonts w:ascii="Cambria" w:hAnsi="Cambria" w:cs="Times New Roman"/>
        </w:rPr>
        <w:t xml:space="preserve"> lub 5.0 x16</w:t>
      </w:r>
      <w:r w:rsidR="002827BB" w:rsidRPr="00FC3E6F">
        <w:rPr>
          <w:rFonts w:ascii="Cambria" w:hAnsi="Cambria" w:cs="Times New Roman"/>
        </w:rPr>
        <w:t>,</w:t>
      </w:r>
    </w:p>
    <w:p w14:paraId="4D963DAD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>x4 NVMe</w:t>
      </w:r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277295A9" w14:textId="4A270755" w:rsidR="00542643" w:rsidRPr="00FC3E6F" w:rsidRDefault="00C16A1C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 xml:space="preserve">wewnętrzne </w:t>
      </w:r>
      <w:r w:rsidR="00542643" w:rsidRPr="00FC3E6F">
        <w:rPr>
          <w:rFonts w:ascii="Cambria" w:hAnsi="Cambria" w:cs="Times New Roman"/>
        </w:rPr>
        <w:t>karty sieciowe:</w:t>
      </w:r>
    </w:p>
    <w:p w14:paraId="09AA70D5" w14:textId="5107A6FE" w:rsidR="00542643" w:rsidRPr="00FC3E6F" w:rsidRDefault="00054EA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</w:t>
      </w:r>
      <w:r w:rsidR="00542643" w:rsidRPr="00FC3E6F">
        <w:rPr>
          <w:rFonts w:ascii="Cambria" w:hAnsi="Cambria" w:cs="Times New Roman"/>
        </w:rPr>
        <w:t>Gigabit Ethernet</w:t>
      </w:r>
      <w:r w:rsidRPr="00FC3E6F">
        <w:rPr>
          <w:rFonts w:ascii="Cambria" w:hAnsi="Cambria" w:cs="Times New Roman"/>
        </w:rPr>
        <w:t xml:space="preserve">, dwa porty </w:t>
      </w:r>
      <w:r w:rsidRPr="00FC3E6F">
        <w:rPr>
          <w:rStyle w:val="specificationitem"/>
          <w:rFonts w:ascii="Cambria" w:hAnsi="Cambria" w:cs="Times New Roman"/>
        </w:rPr>
        <w:t>RJ-45,</w:t>
      </w:r>
    </w:p>
    <w:p w14:paraId="6F5A5E97" w14:textId="4FAD1853" w:rsidR="00542643" w:rsidRPr="00FC3E6F" w:rsidRDefault="00542643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2" w:name="_Hlk100759271"/>
      <w:r w:rsidRPr="00FC3E6F">
        <w:rPr>
          <w:rFonts w:ascii="Cambria" w:hAnsi="Cambria" w:cs="Times New Roman"/>
        </w:rPr>
        <w:t>10 Gigabit Ethernet</w:t>
      </w:r>
      <w:r w:rsidR="000B0417" w:rsidRPr="00FC3E6F">
        <w:rPr>
          <w:rFonts w:ascii="Cambria" w:hAnsi="Cambria" w:cs="Times New Roman"/>
        </w:rPr>
        <w:t>, dwa porty SFP+</w:t>
      </w:r>
      <w:r w:rsidR="00CE131B">
        <w:rPr>
          <w:rFonts w:ascii="Cambria" w:hAnsi="Cambria" w:cs="Times New Roman"/>
        </w:rPr>
        <w:t xml:space="preserve"> </w:t>
      </w:r>
      <w:bookmarkEnd w:id="2"/>
      <w:r w:rsidR="00CE131B">
        <w:rPr>
          <w:rFonts w:ascii="Cambria" w:hAnsi="Cambria" w:cs="Times New Roman"/>
        </w:rPr>
        <w:t>( dopuszcza się zastosowanie kart rozszerzeń)</w:t>
      </w:r>
    </w:p>
    <w:p w14:paraId="53097D81" w14:textId="77777777" w:rsidR="00432D3B" w:rsidRPr="00FC3E6F" w:rsidRDefault="0087586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przednim: min 2 szt.  USB 3.1 Gen. 1 (USB 3.0)</w:t>
      </w:r>
    </w:p>
    <w:p w14:paraId="0733021D" w14:textId="77777777" w:rsidR="00D45698" w:rsidRPr="00FC3E6F" w:rsidRDefault="00432D3B" w:rsidP="00D456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3" w:name="_Hlk100759281"/>
      <w:r w:rsidRPr="00FC3E6F">
        <w:rPr>
          <w:rFonts w:ascii="Cambria" w:hAnsi="Cambria" w:cs="Times New Roman"/>
        </w:rPr>
        <w:t xml:space="preserve">na panelu przednim: min </w:t>
      </w:r>
      <w:r w:rsidR="00815108" w:rsidRPr="00FC3E6F">
        <w:rPr>
          <w:rFonts w:ascii="Cambria" w:hAnsi="Cambria" w:cs="Times New Roman"/>
        </w:rPr>
        <w:t>1</w:t>
      </w:r>
      <w:r w:rsidRPr="00FC3E6F">
        <w:rPr>
          <w:rFonts w:ascii="Cambria" w:hAnsi="Cambria" w:cs="Times New Roman"/>
        </w:rPr>
        <w:t xml:space="preserve"> szt.  USB Type-C</w:t>
      </w:r>
      <w:r w:rsidR="00341C95" w:rsidRPr="00FC3E6F">
        <w:rPr>
          <w:rFonts w:ascii="Cambria" w:hAnsi="Cambria" w:cs="Times New Roman"/>
        </w:rPr>
        <w:t xml:space="preserve"> (z Thunderbolt 3 lub nowszym)</w:t>
      </w:r>
      <w:bookmarkEnd w:id="3"/>
      <w:r w:rsidR="00D45698">
        <w:rPr>
          <w:rFonts w:ascii="Cambria" w:hAnsi="Cambria" w:cs="Times New Roman"/>
        </w:rPr>
        <w:t xml:space="preserve"> ( dopuszcza się zastosowanie kart rozszerzeń)</w:t>
      </w:r>
    </w:p>
    <w:p w14:paraId="2F697F43" w14:textId="77777777" w:rsidR="000B4DB5" w:rsidRPr="00FC3E6F" w:rsidRDefault="000B4DB5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Mb/s</w:t>
      </w:r>
    </w:p>
    <w:p w14:paraId="728E5E32" w14:textId="69D7548A" w:rsidR="00054EAA" w:rsidRPr="00FC3E6F" w:rsidRDefault="00054EA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 szt. SFP+</w:t>
      </w:r>
    </w:p>
    <w:p w14:paraId="2D55EA7C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tylnym min. </w:t>
      </w:r>
      <w:r w:rsidR="006478E3" w:rsidRPr="00FC3E6F">
        <w:rPr>
          <w:rFonts w:ascii="Cambria" w:hAnsi="Cambria" w:cs="Times New Roman"/>
        </w:rPr>
        <w:t>2</w:t>
      </w:r>
      <w:r w:rsidR="0087586A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szt. Display Port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736FF035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Windows 11 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val="en-US"/>
        </w:rPr>
        <w:t xml:space="preserve">oprogramowanie biurowe </w:t>
      </w:r>
      <w:r w:rsidR="00601E27" w:rsidRPr="00FC3E6F">
        <w:rPr>
          <w:rFonts w:ascii="Cambria" w:hAnsi="Cambria" w:cs="Times New Roman"/>
          <w:lang w:val="en-US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FC3E6F">
        <w:rPr>
          <w:rFonts w:ascii="Cambria" w:hAnsi="Cambria" w:cs="Times New Roman"/>
          <w:lang w:val="en-US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 xml:space="preserve">gwarancja min. 3 lata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5174B861" w:rsidR="00601E27" w:rsidRPr="00FC3E6F" w:rsidRDefault="00601E27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outlineLvl w:val="1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gwarancja min. 3 lata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6D26E161" w:rsidR="00143A01" w:rsidRPr="00FC3E6F" w:rsidRDefault="00B04AEC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S</w:t>
      </w:r>
      <w:r w:rsidR="00143A01" w:rsidRPr="00FC3E6F">
        <w:rPr>
          <w:rFonts w:ascii="Cambria" w:hAnsi="Cambria" w:cs="Times New Roman"/>
          <w:b/>
          <w:bCs/>
        </w:rPr>
        <w:t xml:space="preserve">łuchawki nauszne z mikrofonem - </w:t>
      </w:r>
      <w:r w:rsidR="00143A01" w:rsidRPr="00FC3E6F">
        <w:rPr>
          <w:rFonts w:ascii="Cambria" w:hAnsi="Cambria" w:cs="Times New Roman"/>
          <w:b/>
          <w:color w:val="333333"/>
          <w:shd w:val="clear" w:color="auto" w:fill="FFFFFF"/>
        </w:rPr>
        <w:t>Plantronics Blackwire C3320 lub równoważne</w:t>
      </w:r>
      <w:r w:rsidRPr="00FC3E6F">
        <w:rPr>
          <w:rFonts w:ascii="Cambria" w:hAnsi="Cambria" w:cs="Times New Roman"/>
          <w:b/>
          <w:color w:val="333333"/>
          <w:shd w:val="clear" w:color="auto" w:fill="FFFFFF"/>
        </w:rPr>
        <w:t xml:space="preserve"> –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kompatybilność z systemami Windows i Mac OS,</w:t>
      </w:r>
    </w:p>
    <w:p w14:paraId="66FDCD75" w14:textId="381490A3" w:rsidR="00143A01" w:rsidRPr="00FC3E6F" w:rsidRDefault="00DF65B4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143A01" w:rsidRPr="00FC3E6F">
        <w:rPr>
          <w:rFonts w:ascii="Cambria" w:hAnsi="Cambria" w:cs="Times New Roman"/>
          <w:b/>
          <w:bCs/>
        </w:rPr>
        <w:t>istwa zasilająca</w:t>
      </w:r>
      <w:r w:rsidRPr="00FC3E6F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539C6D4C" w14:textId="6C821AFD" w:rsidR="00143A01" w:rsidRPr="00FC3E6F" w:rsidRDefault="00143A01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Pendrive (pamięci USB)</w:t>
      </w:r>
      <w:r w:rsidR="00DF65B4" w:rsidRPr="00FC3E6F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5D1AF8D3" w:rsidR="00981668" w:rsidRPr="00FC3E6F" w:rsidRDefault="00981668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FC3E6F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71377F79" w:rsidR="00183AE8" w:rsidRPr="00FC3E6F" w:rsidRDefault="00183AE8" w:rsidP="001B7B83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 awaryjne UPS w obudowie tower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792240CF" w14:textId="10ECBFC3" w:rsidR="00FE3DBD" w:rsidRPr="00FC3E6F" w:rsidRDefault="00FE3DBD">
      <w:pPr>
        <w:rPr>
          <w:rFonts w:ascii="Cambria" w:hAnsi="Cambria" w:cs="Times New Roman"/>
        </w:rPr>
      </w:pPr>
    </w:p>
    <w:p w14:paraId="65304A31" w14:textId="3C3FB783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>oprogramowania biurowego: MS Office 2007/2010/2013/2016/2019/2021 Pro. PL, OpenOffice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przeglądarek internetowych: MS Edge, Mozilla Firefox,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antywirusowego: ESET Endpoint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r w:rsidRPr="00FC3E6F">
        <w:rPr>
          <w:rFonts w:ascii="Cambria" w:hAnsi="Cambria" w:cs="Times New Roman"/>
        </w:rPr>
        <w:t>wirtualizacyjnego</w:t>
      </w:r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klienckiego Cisco Anyconnect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serwerem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78A6B03E" w:rsidR="00143A01" w:rsidRPr="00FC3E6F" w:rsidRDefault="00DF65B4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FC3E6F">
        <w:rPr>
          <w:rFonts w:ascii="Cambria" w:hAnsi="Cambria" w:cs="Times New Roman"/>
          <w:b/>
          <w:bCs/>
          <w:u w:val="single"/>
        </w:rPr>
        <w:t>(</w:t>
      </w:r>
      <w:r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u w:val="single"/>
        </w:rPr>
        <w:t>notebook wraz z stacją dokując</w:t>
      </w:r>
      <w:r w:rsidR="00372259" w:rsidRPr="00FC3E6F">
        <w:rPr>
          <w:rFonts w:ascii="Cambria" w:hAnsi="Cambria" w:cs="Times New Roman"/>
          <w:b/>
          <w:u w:val="single"/>
        </w:rPr>
        <w:t>ą</w:t>
      </w:r>
      <w:r w:rsidRPr="00FC3E6F">
        <w:rPr>
          <w:rFonts w:ascii="Cambria" w:hAnsi="Cambria" w:cs="Times New Roman"/>
          <w:b/>
          <w:u w:val="single"/>
        </w:rPr>
        <w:t xml:space="preserve"> oraz monitorami</w:t>
      </w:r>
      <w:r w:rsidR="00372259" w:rsidRPr="00FC3E6F">
        <w:rPr>
          <w:rFonts w:ascii="Cambria" w:hAnsi="Cambria" w:cs="Times New Roman"/>
          <w:b/>
          <w:u w:val="single"/>
        </w:rPr>
        <w:t>)</w:t>
      </w:r>
      <w:r w:rsidRPr="00FC3E6F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4ED83E3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 xml:space="preserve">1.2.1 </w:t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PassMark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>M.2, PCI</w:t>
      </w:r>
      <w:r w:rsidR="001857B2" w:rsidRPr="00FC3E6F">
        <w:rPr>
          <w:rStyle w:val="attribute-values"/>
          <w:rFonts w:ascii="Cambria" w:hAnsi="Cambria" w:cs="Times New Roman"/>
        </w:rPr>
        <w:t xml:space="preserve">e </w:t>
      </w:r>
      <w:r w:rsidRPr="00FC3E6F">
        <w:rPr>
          <w:rStyle w:val="attribute-values"/>
          <w:rFonts w:ascii="Cambria" w:hAnsi="Cambria" w:cs="Times New Roman"/>
        </w:rPr>
        <w:t>NVMe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PassMark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(FullHD)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kamera internetowa min. 1.0 Mpix,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Type-C</w:t>
      </w:r>
      <w:r w:rsidR="00341C95" w:rsidRPr="00FC3E6F">
        <w:rPr>
          <w:rFonts w:ascii="Cambria" w:hAnsi="Cambria" w:cs="Times New Roman"/>
        </w:rPr>
        <w:t xml:space="preserve"> (z Thunderbolt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DisplayPort</w:t>
      </w:r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70F90E12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Windows 11 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val="en-US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FC3E6F">
        <w:rPr>
          <w:rFonts w:ascii="Cambria" w:hAnsi="Cambria" w:cs="Times New Roman"/>
          <w:lang w:val="en-US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E1A4ECB" w14:textId="09A6144E" w:rsidR="00C238FD" w:rsidRPr="00FC3E6F" w:rsidRDefault="00CB2324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</w:t>
      </w:r>
      <w:r w:rsidR="00C238FD" w:rsidRPr="00FC3E6F">
        <w:rPr>
          <w:rFonts w:ascii="Cambria" w:hAnsi="Cambria" w:cs="Times New Roman"/>
          <w:b/>
          <w:bCs/>
        </w:rPr>
        <w:t>onitor</w:t>
      </w:r>
      <w:r w:rsidRPr="00FC3E6F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7D30AFFC" w:rsidR="002B6D01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 xml:space="preserve">łuchawki nauszne z mikrofonem - </w:t>
      </w:r>
      <w:r w:rsidR="002B6D01" w:rsidRPr="00FC3E6F">
        <w:rPr>
          <w:rFonts w:ascii="Cambria" w:hAnsi="Cambria" w:cs="Times New Roman"/>
          <w:b/>
          <w:color w:val="333333"/>
          <w:shd w:val="clear" w:color="auto" w:fill="FFFFFF"/>
        </w:rPr>
        <w:t>Plantronics Blackwire C3320 lub równoważne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 xml:space="preserve"> 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4936ADD4" w:rsidR="000B104B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58312AEE" w:rsidR="00BE5DDA" w:rsidRPr="00FC3E6F" w:rsidRDefault="00BE5DDA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Pendrive (pamięci USB)</w:t>
      </w:r>
      <w:r w:rsidR="003135A7" w:rsidRPr="00FC3E6F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69A96EA2" w:rsidR="00BE5DDA" w:rsidRPr="00FC3E6F" w:rsidRDefault="00F7510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D</w:t>
      </w:r>
      <w:r w:rsidR="004A22FE" w:rsidRPr="00FC3E6F">
        <w:rPr>
          <w:rFonts w:ascii="Cambria" w:hAnsi="Cambria" w:cs="Times New Roman"/>
          <w:b/>
          <w:bCs/>
        </w:rPr>
        <w:t xml:space="preserve">edykowana </w:t>
      </w:r>
      <w:r w:rsidR="00BE5DDA" w:rsidRPr="00FC3E6F">
        <w:rPr>
          <w:rFonts w:ascii="Cambria" w:hAnsi="Cambria" w:cs="Times New Roman"/>
          <w:b/>
        </w:rPr>
        <w:t>stacj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dokując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</w:t>
      </w:r>
      <w:r w:rsidR="00BE5DDA" w:rsidRPr="00FC3E6F">
        <w:rPr>
          <w:rFonts w:ascii="Cambria" w:hAnsi="Cambria" w:cs="Times New Roman"/>
          <w:b/>
          <w:bCs/>
        </w:rPr>
        <w:t>spełniająca następujące wymagania techniczne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  <w:r w:rsidR="00BE5DDA" w:rsidRPr="00FC3E6F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2 x DisplayPort,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>z Thunderbolt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2F040AA7" w14:textId="49BA70A2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wyjście/wejście audio</w:t>
      </w:r>
      <w:r w:rsidR="0054114A">
        <w:rPr>
          <w:rFonts w:ascii="Cambria" w:hAnsi="Cambria" w:cs="Times New Roman"/>
          <w:lang w:eastAsia="pl-PL"/>
        </w:rPr>
        <w:t>( opcjonalne)</w:t>
      </w:r>
    </w:p>
    <w:p w14:paraId="49196C2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val="en-US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lastRenderedPageBreak/>
        <w:t>zasilanie</w:t>
      </w:r>
    </w:p>
    <w:p w14:paraId="1B3CBB87" w14:textId="628B67C5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moc zasilania musi być tak dobrana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wyposażona w myszkę laserowa USB, </w:t>
      </w:r>
    </w:p>
    <w:p w14:paraId="2369C72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gwarancja min. 3 lata NBD. </w:t>
      </w:r>
    </w:p>
    <w:p w14:paraId="218F2878" w14:textId="77777777" w:rsidR="000B104B" w:rsidRPr="00FC3E6F" w:rsidRDefault="000B104B" w:rsidP="000B104B">
      <w:pPr>
        <w:spacing w:after="0" w:line="240" w:lineRule="auto"/>
        <w:rPr>
          <w:rFonts w:ascii="Cambria" w:hAnsi="Cambria" w:cs="Times New Roman"/>
        </w:rPr>
      </w:pPr>
    </w:p>
    <w:p w14:paraId="23E6601C" w14:textId="0952FB18" w:rsidR="00450275" w:rsidRPr="00FC3E6F" w:rsidRDefault="00450275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biurowego: MS Office 2007/2010/2013/2016/2019/2021 Pro. PL, OpenOffice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przeglądarek internetowych: MS Edge, Mozilla Firefox,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antywirusowego: ESET Endpoint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r w:rsidRPr="001B7B83">
        <w:rPr>
          <w:rFonts w:ascii="Cambria" w:hAnsi="Cambria" w:cs="Times New Roman"/>
        </w:rPr>
        <w:t>wirtualizacyjnego</w:t>
      </w:r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klienckiego Cisco Anyconnect Systems,</w:t>
      </w:r>
    </w:p>
    <w:p w14:paraId="796CBBD6" w14:textId="27B92565" w:rsidR="00902697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  <w:lang w:val="en-US"/>
        </w:rPr>
        <w:t>serwerem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226754C3" w14:textId="77777777" w:rsidR="009E3FE5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00888ED1" w:rsidR="00450275" w:rsidRPr="00FC3E6F" w:rsidRDefault="007C6002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  <w:u w:val="single"/>
        </w:rPr>
        <w:t>Zestaw s</w:t>
      </w:r>
      <w:r w:rsidR="00450275" w:rsidRPr="00FC3E6F">
        <w:rPr>
          <w:rFonts w:ascii="Cambria" w:hAnsi="Cambria" w:cs="Times New Roman"/>
          <w:b/>
          <w:bCs/>
          <w:u w:val="single"/>
        </w:rPr>
        <w:t>erwer</w:t>
      </w:r>
      <w:r w:rsidRPr="00FC3E6F">
        <w:rPr>
          <w:rFonts w:ascii="Cambria" w:hAnsi="Cambria" w:cs="Times New Roman"/>
          <w:b/>
          <w:bCs/>
          <w:u w:val="single"/>
        </w:rPr>
        <w:t>y</w:t>
      </w:r>
      <w:r w:rsidR="00450275"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FC3E6F">
        <w:rPr>
          <w:rFonts w:ascii="Cambria" w:hAnsi="Cambria" w:cs="Times New Roman"/>
          <w:b/>
          <w:bCs/>
          <w:u w:val="single"/>
        </w:rPr>
        <w:t>RACK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FC3E6F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FC3E6F">
        <w:rPr>
          <w:rFonts w:ascii="Cambria" w:hAnsi="Cambria" w:cs="Times New Roman"/>
          <w:b/>
          <w:u w:val="single"/>
        </w:rPr>
        <w:t>wisząca szafą serwerową 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Zestaw serwerów typu Rack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7DF1A381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1.3.1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>budowa dla serwera typu Rack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PassMark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80CB638" w14:textId="35FB1B6C" w:rsidR="007C6002" w:rsidRPr="00FC3E6F" w:rsidRDefault="007C6002" w:rsidP="001B7B83">
      <w:pPr>
        <w:pStyle w:val="Akapitzlist"/>
        <w:numPr>
          <w:ilvl w:val="2"/>
          <w:numId w:val="24"/>
        </w:numPr>
        <w:spacing w:after="0" w:line="240" w:lineRule="auto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>Szafa wisząca 19’ 9U 600x450mm.</w:t>
      </w:r>
    </w:p>
    <w:p w14:paraId="1AB780B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(szer x wys x gł) 600x500x450mm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Przednie drzwiczki przeszklone z zamkiem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FC3E6F" w:rsidRDefault="00EC5987" w:rsidP="00EC5987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biurowego: MS Office 2007/2010/2013/2016/2019/2021 Pro. PL, OpenOffice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przeglądarek internetowych: MS Edge, Mozilla Firefox,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antywirusowego: ESET Endpoint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r w:rsidRPr="002D2FB1">
        <w:rPr>
          <w:rFonts w:ascii="Cambria" w:hAnsi="Cambria" w:cs="Times New Roman"/>
        </w:rPr>
        <w:t>wirtualizacyjnego</w:t>
      </w:r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klienckiego Cisco Anyconnect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  <w:lang w:val="en-US"/>
        </w:rPr>
        <w:t>serwerem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Umożliwiającego wykorzystanie na potrzeby aplikacji min. 32 GB przestrzeni adresowej pamięci RAM.</w:t>
      </w:r>
    </w:p>
    <w:p w14:paraId="0CCF1A87" w14:textId="77777777" w:rsidR="00933790" w:rsidRPr="00FC3E6F" w:rsidRDefault="00933790" w:rsidP="00933790">
      <w:p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11D18D06" w14:textId="6006EE1C" w:rsidR="00A10FD3" w:rsidRPr="00FC3E6F" w:rsidRDefault="00A10FD3" w:rsidP="00220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/>
        </w:rPr>
        <w:t>Oprogramowanie</w:t>
      </w:r>
      <w:r w:rsidR="00B36734" w:rsidRPr="00FC3E6F">
        <w:rPr>
          <w:rFonts w:ascii="Cambria" w:hAnsi="Cambria" w:cs="Times New Roman"/>
          <w:b/>
        </w:rPr>
        <w:t xml:space="preserve"> </w:t>
      </w:r>
    </w:p>
    <w:p w14:paraId="5680FDD7" w14:textId="77777777" w:rsidR="0085063E" w:rsidRPr="00FC3E6F" w:rsidRDefault="0085063E" w:rsidP="00220F40">
      <w:pPr>
        <w:spacing w:after="0" w:line="240" w:lineRule="auto"/>
        <w:ind w:left="284"/>
        <w:jc w:val="both"/>
        <w:rPr>
          <w:rFonts w:ascii="Cambria" w:hAnsi="Cambria" w:cs="Times New Roman"/>
        </w:rPr>
      </w:pPr>
    </w:p>
    <w:p w14:paraId="7A7C5499" w14:textId="77777777" w:rsidR="0055070A" w:rsidRPr="00FC3E6F" w:rsidRDefault="00F22D4A" w:rsidP="00220F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Microsoft Visual Studio Professional 2022</w:t>
      </w:r>
      <w:r w:rsidRPr="00FC3E6F">
        <w:rPr>
          <w:rFonts w:ascii="Cambria" w:hAnsi="Cambria" w:cs="Times New Roman"/>
          <w:b/>
        </w:rPr>
        <w:t xml:space="preserve"> lub równoważny</w:t>
      </w:r>
      <w:r w:rsidR="0055070A" w:rsidRPr="00FC3E6F">
        <w:rPr>
          <w:rFonts w:ascii="Cambria" w:hAnsi="Cambria" w:cs="Times New Roman"/>
          <w:b/>
        </w:rPr>
        <w:t xml:space="preserve"> – 2 szt.</w:t>
      </w:r>
      <w:r w:rsidRPr="00FC3E6F">
        <w:rPr>
          <w:rFonts w:ascii="Cambria" w:hAnsi="Cambria" w:cs="Times New Roman"/>
          <w:b/>
        </w:rPr>
        <w:t xml:space="preserve"> </w:t>
      </w:r>
    </w:p>
    <w:p w14:paraId="6F35D01C" w14:textId="77777777" w:rsidR="0055070A" w:rsidRPr="00FC3E6F" w:rsidRDefault="0055070A" w:rsidP="00220F40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47DD8301" w14:textId="0EC679A8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Cs/>
          <w:iCs/>
        </w:rPr>
        <w:t>Przez oprogramowanie równoważne Zamawiający rozumie: zintegrowane środowisko programistyczne spełniające następujące kryteria:</w:t>
      </w:r>
    </w:p>
    <w:p w14:paraId="17F78EAA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0F28C64F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64-bitowe środowisko IDE, </w:t>
      </w:r>
    </w:p>
    <w:p w14:paraId="2A4C812B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 graficzny interfejs użytkownika, </w:t>
      </w:r>
    </w:p>
    <w:p w14:paraId="5404188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posiada zintegrowane graficzne narzędzie do projektowania interfejsu użytkownika,</w:t>
      </w:r>
    </w:p>
    <w:p w14:paraId="3C2CC416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Style w:val="markedcontent"/>
          <w:rFonts w:ascii="Cambria" w:hAnsi="Cambria"/>
        </w:rPr>
        <w:t>posiada zintegrowane funkcjonalności umożliwiające współdzielenie zadań i zarządzenie projektem,</w:t>
      </w:r>
    </w:p>
    <w:p w14:paraId="1C6B54D0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posiada opcje refaktoryzacji kodu,</w:t>
      </w:r>
    </w:p>
    <w:p w14:paraId="5CA17AB7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39ED9F7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zawiera zestaw narzędzi do automatycznego uzupełniania kody, który rozumie kontekst kodu: nazwy zmiennych, funkcje i typ pisanego kodu,</w:t>
      </w:r>
    </w:p>
    <w:p w14:paraId="6C0A672C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debugowanie i statyczną analizę kodu,</w:t>
      </w:r>
    </w:p>
    <w:p w14:paraId="6624FAD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tworzenie bibliotek dla wielu platform w języku C++, Python, Node.js, .NET Core i .NET,</w:t>
      </w:r>
    </w:p>
    <w:p w14:paraId="33B90877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wspólne edytowanie i debugowanie kodu w bieżącym projekcie z innymi osobami w czasie rzeczywistym,</w:t>
      </w:r>
    </w:p>
    <w:p w14:paraId="5C8693B2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obsługuję wdrażanie aplikacji Web jednym kliknięciem,</w:t>
      </w:r>
    </w:p>
    <w:p w14:paraId="31DD0508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symulator iOS dla systemu Windows,</w:t>
      </w:r>
    </w:p>
    <w:p w14:paraId="0716D6E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oprogramowania musi być bez ograniczeń czasowych (bezterminowa),</w:t>
      </w:r>
    </w:p>
    <w:p w14:paraId="124025D5" w14:textId="20C66EC2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7793BA60" w14:textId="7961F406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71C83032" w14:textId="77777777" w:rsidR="0055070A" w:rsidRPr="00FC3E6F" w:rsidRDefault="0085063E" w:rsidP="00220F40">
      <w:pPr>
        <w:pStyle w:val="Akapitzlist"/>
        <w:numPr>
          <w:ilvl w:val="1"/>
          <w:numId w:val="9"/>
        </w:numPr>
        <w:suppressLineNumbers/>
        <w:spacing w:before="60" w:after="60"/>
        <w:jc w:val="both"/>
        <w:rPr>
          <w:rFonts w:ascii="Cambria" w:hAnsi="Cambria" w:cs="Times New Roman"/>
          <w:b/>
          <w:bCs/>
          <w:iCs/>
        </w:rPr>
      </w:pPr>
      <w:r w:rsidRPr="00FC3E6F">
        <w:rPr>
          <w:rFonts w:ascii="Cambria" w:hAnsi="Cambria" w:cs="Times New Roman"/>
          <w:b/>
          <w:bCs/>
        </w:rPr>
        <w:lastRenderedPageBreak/>
        <w:t>JetBrains</w:t>
      </w:r>
      <w:r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  <w:b/>
          <w:iCs/>
        </w:rPr>
        <w:t>dotUltimate For Organizations (na okres 3 lat</w:t>
      </w:r>
      <w:r w:rsidRPr="00FC3E6F">
        <w:rPr>
          <w:rFonts w:ascii="Cambria" w:hAnsi="Cambria" w:cs="Times New Roman"/>
          <w:b/>
          <w:bCs/>
          <w:iCs/>
        </w:rPr>
        <w:t>) lub równoważny</w:t>
      </w:r>
      <w:r w:rsidR="0055070A" w:rsidRPr="00FC3E6F">
        <w:rPr>
          <w:rFonts w:ascii="Cambria" w:hAnsi="Cambria" w:cs="Times New Roman"/>
          <w:b/>
          <w:bCs/>
          <w:iCs/>
        </w:rPr>
        <w:t xml:space="preserve"> – 3szt</w:t>
      </w:r>
      <w:r w:rsidRPr="00FC3E6F">
        <w:rPr>
          <w:rFonts w:ascii="Cambria" w:hAnsi="Cambria" w:cs="Times New Roman"/>
          <w:b/>
          <w:bCs/>
          <w:iCs/>
        </w:rPr>
        <w:t xml:space="preserve">. </w:t>
      </w:r>
    </w:p>
    <w:p w14:paraId="6D3D6523" w14:textId="77777777" w:rsidR="0055070A" w:rsidRPr="00FC3E6F" w:rsidRDefault="0055070A" w:rsidP="00220F40">
      <w:pPr>
        <w:pStyle w:val="Akapitzlist"/>
        <w:suppressLineNumbers/>
        <w:spacing w:before="60" w:after="60"/>
        <w:ind w:left="360"/>
        <w:jc w:val="both"/>
        <w:rPr>
          <w:rFonts w:ascii="Cambria" w:hAnsi="Cambria" w:cs="Times New Roman"/>
          <w:bCs/>
          <w:iCs/>
        </w:rPr>
      </w:pPr>
    </w:p>
    <w:p w14:paraId="21ACDDB2" w14:textId="27EDEA2C" w:rsidR="0085063E" w:rsidRPr="00FC3E6F" w:rsidRDefault="0085063E" w:rsidP="00220F40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Przez oprogramowanie równoważne Zamawiający rozumie: pakiet oprogramowania programistycznego spełniającego następujące kryteria:</w:t>
      </w:r>
    </w:p>
    <w:p w14:paraId="7FC1C2FD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47624F22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zapewnia integracje z środowiskiem programistycznym Microsoft Visual Studio 2022,</w:t>
      </w:r>
    </w:p>
    <w:p w14:paraId="2182A27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 xml:space="preserve">pakiet oprogramowanie zawiera </w:t>
      </w:r>
      <w:r w:rsidRPr="00FC3E6F">
        <w:rPr>
          <w:rFonts w:ascii="Cambria" w:hAnsi="Cambria" w:cs="Times New Roman"/>
        </w:rPr>
        <w:t>64-bitowe środowisko IDE pracujące na systemach operacyjnych Microsoft Windows 11, macOS 10.14+ i Linux,</w:t>
      </w:r>
    </w:p>
    <w:p w14:paraId="2BA09F21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analizuje na bieżąco i sugeruje poprawki do tworzonego kodu C# i C++,</w:t>
      </w:r>
    </w:p>
    <w:p w14:paraId="4C058948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konfiguruje opcje formatowania kodu i stylu nazewnictwa,</w:t>
      </w:r>
    </w:p>
    <w:p w14:paraId="0B707643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zawiera opcje refaktoryzacji kodu,</w:t>
      </w:r>
    </w:p>
    <w:p w14:paraId="7475996A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pozwala na intuicyjną nawigację i przeszukiwanie kodu,</w:t>
      </w:r>
    </w:p>
    <w:p w14:paraId="5E8B76BC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2756F49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monitoruje wydajność i zużycie pamięci przez aplikację .NET w czasie rzeczywistym,</w:t>
      </w:r>
    </w:p>
    <w:p w14:paraId="4DF347E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dekompiluje biblioteki, pliki wykonawcze i pliki metadanych Windows,</w:t>
      </w:r>
    </w:p>
    <w:p w14:paraId="091B834E" w14:textId="2EA104CA" w:rsidR="0085063E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72417B2B" w14:textId="36119E9A" w:rsidR="0054114A" w:rsidRDefault="0054114A" w:rsidP="0054114A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</w:p>
    <w:p w14:paraId="5CFE46AC" w14:textId="4DCEE633" w:rsidR="0054114A" w:rsidRPr="001843FF" w:rsidRDefault="008A1749" w:rsidP="001843FF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>
        <w:rPr>
          <w:rFonts w:ascii="Cambria" w:hAnsi="Cambria" w:cs="Times New Roman"/>
          <w:bCs/>
          <w:iCs/>
        </w:rPr>
        <w:t xml:space="preserve">Dopuszczalne jest zaoferowanie odnowienie licencji. Aktualnie Zamawiający posiada 3 licencje </w:t>
      </w:r>
      <w:r w:rsidRPr="001843FF">
        <w:rPr>
          <w:rFonts w:ascii="Cambria" w:hAnsi="Cambria" w:cs="Times New Roman"/>
          <w:bCs/>
        </w:rPr>
        <w:t>JetBrains</w:t>
      </w:r>
      <w:r w:rsidRPr="001843FF">
        <w:rPr>
          <w:rFonts w:ascii="Cambria" w:hAnsi="Cambria" w:cs="Times New Roman"/>
        </w:rPr>
        <w:t xml:space="preserve"> </w:t>
      </w:r>
      <w:r w:rsidRPr="001843FF">
        <w:rPr>
          <w:rFonts w:ascii="Cambria" w:hAnsi="Cambria" w:cs="Times New Roman"/>
          <w:iCs/>
        </w:rPr>
        <w:t>dotUltimate  (licencje 2 letnie) wygasające 20 maja 2022.</w:t>
      </w:r>
      <w:r>
        <w:rPr>
          <w:rFonts w:ascii="Cambria" w:hAnsi="Cambria" w:cs="Times New Roman"/>
          <w:b/>
          <w:iCs/>
        </w:rPr>
        <w:t xml:space="preserve"> </w:t>
      </w:r>
    </w:p>
    <w:p w14:paraId="3DDB93D3" w14:textId="77777777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3872" w14:textId="77777777" w:rsidR="000C3BD5" w:rsidRDefault="000C3BD5" w:rsidP="00B355A9">
      <w:pPr>
        <w:spacing w:after="0" w:line="240" w:lineRule="auto"/>
      </w:pPr>
      <w:r>
        <w:separator/>
      </w:r>
    </w:p>
  </w:endnote>
  <w:endnote w:type="continuationSeparator" w:id="0">
    <w:p w14:paraId="368F4DED" w14:textId="77777777" w:rsidR="000C3BD5" w:rsidRDefault="000C3BD5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984A" w14:textId="77777777" w:rsidR="000C3BD5" w:rsidRDefault="000C3BD5" w:rsidP="00B355A9">
      <w:pPr>
        <w:spacing w:after="0" w:line="240" w:lineRule="auto"/>
      </w:pPr>
      <w:r>
        <w:separator/>
      </w:r>
    </w:p>
  </w:footnote>
  <w:footnote w:type="continuationSeparator" w:id="0">
    <w:p w14:paraId="7D3CE003" w14:textId="77777777" w:rsidR="000C3BD5" w:rsidRDefault="000C3BD5" w:rsidP="00B3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8D7CD9"/>
    <w:multiLevelType w:val="hybridMultilevel"/>
    <w:tmpl w:val="0B82C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6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11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15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A3DD5"/>
    <w:rsid w:val="000A549A"/>
    <w:rsid w:val="000B0417"/>
    <w:rsid w:val="000B104B"/>
    <w:rsid w:val="000B2519"/>
    <w:rsid w:val="000B4DB5"/>
    <w:rsid w:val="000C3BD5"/>
    <w:rsid w:val="000C61B0"/>
    <w:rsid w:val="000E6456"/>
    <w:rsid w:val="000E7558"/>
    <w:rsid w:val="000F5EC1"/>
    <w:rsid w:val="00106155"/>
    <w:rsid w:val="00117382"/>
    <w:rsid w:val="00123A0B"/>
    <w:rsid w:val="00143A01"/>
    <w:rsid w:val="0014565F"/>
    <w:rsid w:val="00145DD6"/>
    <w:rsid w:val="00150EEF"/>
    <w:rsid w:val="00155797"/>
    <w:rsid w:val="001562A1"/>
    <w:rsid w:val="00163805"/>
    <w:rsid w:val="00183AE8"/>
    <w:rsid w:val="001843FF"/>
    <w:rsid w:val="001857B2"/>
    <w:rsid w:val="001A19CA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3380"/>
    <w:rsid w:val="00270DE3"/>
    <w:rsid w:val="00271327"/>
    <w:rsid w:val="00280F8A"/>
    <w:rsid w:val="002827BB"/>
    <w:rsid w:val="00291501"/>
    <w:rsid w:val="002920F0"/>
    <w:rsid w:val="00292AD6"/>
    <w:rsid w:val="002A340E"/>
    <w:rsid w:val="002A3932"/>
    <w:rsid w:val="002B537C"/>
    <w:rsid w:val="002B6D01"/>
    <w:rsid w:val="002D2FB1"/>
    <w:rsid w:val="002E344F"/>
    <w:rsid w:val="002E49D4"/>
    <w:rsid w:val="002E4DDE"/>
    <w:rsid w:val="002F3F50"/>
    <w:rsid w:val="0030001E"/>
    <w:rsid w:val="003135A7"/>
    <w:rsid w:val="0033414A"/>
    <w:rsid w:val="00341C95"/>
    <w:rsid w:val="003467DE"/>
    <w:rsid w:val="003508C0"/>
    <w:rsid w:val="00365980"/>
    <w:rsid w:val="00372259"/>
    <w:rsid w:val="00377182"/>
    <w:rsid w:val="00380373"/>
    <w:rsid w:val="00380B6E"/>
    <w:rsid w:val="003A3571"/>
    <w:rsid w:val="003C6159"/>
    <w:rsid w:val="003C772E"/>
    <w:rsid w:val="003F78B4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906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114A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6FD"/>
    <w:rsid w:val="00601E27"/>
    <w:rsid w:val="0060305A"/>
    <w:rsid w:val="006114F4"/>
    <w:rsid w:val="00632332"/>
    <w:rsid w:val="006445FF"/>
    <w:rsid w:val="006478E3"/>
    <w:rsid w:val="00663A6C"/>
    <w:rsid w:val="00695234"/>
    <w:rsid w:val="006A2677"/>
    <w:rsid w:val="006A4E00"/>
    <w:rsid w:val="006C5FA9"/>
    <w:rsid w:val="006D5343"/>
    <w:rsid w:val="00704243"/>
    <w:rsid w:val="00706FD2"/>
    <w:rsid w:val="00735038"/>
    <w:rsid w:val="00764AF7"/>
    <w:rsid w:val="00775010"/>
    <w:rsid w:val="00781032"/>
    <w:rsid w:val="0078447D"/>
    <w:rsid w:val="00784CD5"/>
    <w:rsid w:val="007A3C5A"/>
    <w:rsid w:val="007C6002"/>
    <w:rsid w:val="007F7F8C"/>
    <w:rsid w:val="00810128"/>
    <w:rsid w:val="00815108"/>
    <w:rsid w:val="008226AB"/>
    <w:rsid w:val="0082430E"/>
    <w:rsid w:val="0083314C"/>
    <w:rsid w:val="008331EF"/>
    <w:rsid w:val="0084611C"/>
    <w:rsid w:val="0085063E"/>
    <w:rsid w:val="00855324"/>
    <w:rsid w:val="00864DCC"/>
    <w:rsid w:val="0087586A"/>
    <w:rsid w:val="0088101B"/>
    <w:rsid w:val="00883EE2"/>
    <w:rsid w:val="00894C6D"/>
    <w:rsid w:val="008A1749"/>
    <w:rsid w:val="008A5299"/>
    <w:rsid w:val="008B414A"/>
    <w:rsid w:val="008C6407"/>
    <w:rsid w:val="008E126D"/>
    <w:rsid w:val="00902697"/>
    <w:rsid w:val="00926649"/>
    <w:rsid w:val="00933790"/>
    <w:rsid w:val="00942CBE"/>
    <w:rsid w:val="00974C7D"/>
    <w:rsid w:val="00981668"/>
    <w:rsid w:val="0098595A"/>
    <w:rsid w:val="009E3C3D"/>
    <w:rsid w:val="009E3FE5"/>
    <w:rsid w:val="009F292A"/>
    <w:rsid w:val="009F7AD4"/>
    <w:rsid w:val="00A10E71"/>
    <w:rsid w:val="00A10FD3"/>
    <w:rsid w:val="00A112E9"/>
    <w:rsid w:val="00A14034"/>
    <w:rsid w:val="00A142BE"/>
    <w:rsid w:val="00A31CAC"/>
    <w:rsid w:val="00A55D01"/>
    <w:rsid w:val="00A63714"/>
    <w:rsid w:val="00A63D2B"/>
    <w:rsid w:val="00A661AF"/>
    <w:rsid w:val="00A71275"/>
    <w:rsid w:val="00A75653"/>
    <w:rsid w:val="00A838B7"/>
    <w:rsid w:val="00A8486C"/>
    <w:rsid w:val="00A9454C"/>
    <w:rsid w:val="00A97743"/>
    <w:rsid w:val="00AB490E"/>
    <w:rsid w:val="00AC27E8"/>
    <w:rsid w:val="00AD1A1A"/>
    <w:rsid w:val="00AF2E76"/>
    <w:rsid w:val="00AF4565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63E"/>
    <w:rsid w:val="00B67E9F"/>
    <w:rsid w:val="00BA2EFB"/>
    <w:rsid w:val="00BB743B"/>
    <w:rsid w:val="00BD5763"/>
    <w:rsid w:val="00BE5DDA"/>
    <w:rsid w:val="00BE73C2"/>
    <w:rsid w:val="00BF0FDA"/>
    <w:rsid w:val="00C06AF5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742F6"/>
    <w:rsid w:val="00C864C4"/>
    <w:rsid w:val="00C9395F"/>
    <w:rsid w:val="00C945D1"/>
    <w:rsid w:val="00C947AB"/>
    <w:rsid w:val="00CA6F63"/>
    <w:rsid w:val="00CB2324"/>
    <w:rsid w:val="00CE04F7"/>
    <w:rsid w:val="00CE131B"/>
    <w:rsid w:val="00CF277A"/>
    <w:rsid w:val="00CF790D"/>
    <w:rsid w:val="00D0139F"/>
    <w:rsid w:val="00D20D41"/>
    <w:rsid w:val="00D43FA0"/>
    <w:rsid w:val="00D45698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E14FA"/>
    <w:rsid w:val="00DF65B4"/>
    <w:rsid w:val="00E31BD1"/>
    <w:rsid w:val="00E34B66"/>
    <w:rsid w:val="00E37A88"/>
    <w:rsid w:val="00E464CE"/>
    <w:rsid w:val="00E50FC5"/>
    <w:rsid w:val="00E74E62"/>
    <w:rsid w:val="00EA1426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42050"/>
    <w:rsid w:val="00F435AC"/>
    <w:rsid w:val="00F45A93"/>
    <w:rsid w:val="00F51CCE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C6EE-DE50-47CB-B5D1-71319C17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2744</Words>
  <Characters>16466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Kęsik Karolina</cp:lastModifiedBy>
  <cp:revision>2</cp:revision>
  <cp:lastPrinted>2022-04-01T09:30:00Z</cp:lastPrinted>
  <dcterms:created xsi:type="dcterms:W3CDTF">2022-04-14T06:58:00Z</dcterms:created>
  <dcterms:modified xsi:type="dcterms:W3CDTF">2022-04-14T06:58:00Z</dcterms:modified>
</cp:coreProperties>
</file>