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C5B4" w14:textId="2956BA45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>
        <w:rPr>
          <w:rFonts w:eastAsia="Times New Roman" w:cstheme="minorHAnsi"/>
          <w:snapToGrid w:val="0"/>
          <w:sz w:val="20"/>
        </w:rPr>
        <w:t>07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>
        <w:rPr>
          <w:rFonts w:eastAsia="Times New Roman" w:cstheme="minorHAnsi"/>
          <w:snapToGrid w:val="0"/>
          <w:sz w:val="20"/>
        </w:rPr>
        <w:t>sierpnia</w:t>
      </w:r>
      <w:r w:rsidRPr="00791E69">
        <w:rPr>
          <w:rFonts w:eastAsia="Times New Roman" w:cstheme="minorHAnsi"/>
          <w:snapToGrid w:val="0"/>
          <w:sz w:val="20"/>
        </w:rPr>
        <w:t xml:space="preserve"> 2024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2FC22EDE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>
        <w:rPr>
          <w:rFonts w:cstheme="minorHAnsi"/>
          <w:b/>
          <w:bCs/>
          <w:sz w:val="20"/>
        </w:rPr>
        <w:t>Wymiana opraw oświetlenia ulicznego</w:t>
      </w:r>
      <w:r w:rsidRPr="00B80FDB">
        <w:rPr>
          <w:rFonts w:cstheme="minorHAnsi"/>
          <w:b/>
          <w:bCs/>
          <w:sz w:val="20"/>
        </w:rPr>
        <w:t xml:space="preserve"> na terenie gminy Szudziałowo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>
        <w:rPr>
          <w:rFonts w:eastAsia="Calibri" w:cstheme="minorHAnsi"/>
          <w:sz w:val="20"/>
        </w:rPr>
        <w:t>3</w:t>
      </w:r>
      <w:r w:rsidRPr="00B80FDB">
        <w:rPr>
          <w:rFonts w:eastAsia="Calibri" w:cstheme="minorHAnsi"/>
          <w:sz w:val="20"/>
        </w:rPr>
        <w:t xml:space="preserve"> poz. 1</w:t>
      </w:r>
      <w:r>
        <w:rPr>
          <w:rFonts w:eastAsia="Calibri" w:cstheme="minorHAnsi"/>
          <w:sz w:val="20"/>
        </w:rPr>
        <w:t>605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5AF5A5C9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7D5E3043" w14:textId="6B7EAAF4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="Arial"/>
          <w:sz w:val="20"/>
        </w:rPr>
        <w:t>Czy Zamawiający przewiduje możliwość uzupełnienia przedmiotowych środków dowodowych jeśli okazały się one niekompletne?</w:t>
      </w:r>
    </w:p>
    <w:p w14:paraId="37B0E4DE" w14:textId="77777777" w:rsidR="003B5154" w:rsidRPr="004F377A" w:rsidRDefault="003B5154" w:rsidP="00737CF6">
      <w:pPr>
        <w:jc w:val="both"/>
        <w:rPr>
          <w:rFonts w:cs="Arial"/>
          <w:szCs w:val="24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3F860E5C" w14:textId="00338AED" w:rsidR="003B5154" w:rsidRPr="004F377A" w:rsidRDefault="003B5154" w:rsidP="00737CF6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Zamawiający nie przewiduje możliwości uzupełnienia przedmiotowych środków dowodowych.</w:t>
      </w:r>
    </w:p>
    <w:p w14:paraId="69A0B291" w14:textId="77777777" w:rsidR="003B5154" w:rsidRPr="004F377A" w:rsidRDefault="003B5154" w:rsidP="00737CF6">
      <w:pPr>
        <w:jc w:val="both"/>
        <w:rPr>
          <w:rFonts w:cs="Arial"/>
          <w:sz w:val="20"/>
        </w:rPr>
      </w:pPr>
    </w:p>
    <w:p w14:paraId="45088DC3" w14:textId="193FA8E3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2</w:t>
      </w:r>
    </w:p>
    <w:p w14:paraId="74334FCC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4C780FD2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Prosimy o wyjaśnienie powodów ograniczenia możliwości oferowania opraw ulicznych i parkowych wyłącznie do opraw jednego producenta. Zamawiający wskazał, że ze względów eksploatacyjnych wszystkie oprawy, zarówno drogowe jak i parkowe, muszą pochodzić od jednego producenta i spełniać wymagania. Prosimy o wyjaśnienie o jakie względy eksploatacyjne chodzi, zwłaszcza w przypadku gdy fakt iż oprawy będą nawet jednego producenta to nie będą one posiadały tej samej optyki jaki i komponentów.</w:t>
      </w:r>
    </w:p>
    <w:p w14:paraId="7A4693B9" w14:textId="3503B65E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Dodatkowo w okresie gwarancji i tak za poprawność ich działania w okresie gwarancji odpowiedzialność ponosi Wykonawca nie producent. Dodatkowo Zamawiający w przypadku tak postawionego wymagania poza istotnym ograniczeniem konkurencyjności eliminuje możliwość zaoferowania lepszych rozwiązań dedykowanych jako oprawy uliczne a odrębnie parkowych od różnych producentów odpowiednio w zależności którego producenta oprawy w danym segmencie są leprze czy to ze względu na optykę, trwałość czy skuteczność świetlną. Jak pokazuje wiele dotychczas przeprowadzonych postępowań przetargowych wymaganie ograniczające konkurencyjność jest nieuzasadnione i niecelowe, a zamawiający ﬁnalnie w celu zwiększenia konkurencyjności i uzyskania optymalizacji jakościowej oferowanych opraw modyﬁkowali wymagania dopuszczając zaoferowanie opraw ulicznych i parkowych różnych producentów.</w:t>
      </w:r>
    </w:p>
    <w:p w14:paraId="1F92C9F3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2767B9E8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153B46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15DE9C0B" w14:textId="7F30F878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Zamawiający przewiduje wymianę tylko opraw drogowych, ze względu że dokumentacja przewidywała też wymianę opraw innego typu jak oprawy drogowe, proszę traktować te</w:t>
      </w:r>
      <w:r w:rsidR="004F377A" w:rsidRPr="004F377A">
        <w:rPr>
          <w:rFonts w:cs="Arial"/>
          <w:sz w:val="20"/>
        </w:rPr>
        <w:t>n</w:t>
      </w:r>
      <w:r w:rsidRPr="004F377A">
        <w:rPr>
          <w:rFonts w:cs="Arial"/>
          <w:sz w:val="20"/>
        </w:rPr>
        <w:t xml:space="preserve"> zapis jako nieaktualny.</w:t>
      </w:r>
    </w:p>
    <w:p w14:paraId="68893A0A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0BFC17A4" w14:textId="572FE80C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3</w:t>
      </w:r>
    </w:p>
    <w:p w14:paraId="612396F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862BB85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Prosimy o informację na jakich liniach energetycznych planowana jest wymiana wysięgników. Jeśli na różnych to prosimy o podanie dokładnych ilości.</w:t>
      </w:r>
    </w:p>
    <w:p w14:paraId="7C6B16F1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3B34408C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E9D13A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17B497AC" w14:textId="002529F4" w:rsidR="003B5154" w:rsidRPr="004F377A" w:rsidRDefault="003B5154" w:rsidP="003B5154">
      <w:pPr>
        <w:jc w:val="both"/>
        <w:rPr>
          <w:rFonts w:cs="Arial"/>
          <w:spacing w:val="2"/>
          <w:sz w:val="20"/>
        </w:rPr>
      </w:pPr>
      <w:r w:rsidRPr="004F377A">
        <w:rPr>
          <w:rFonts w:cs="Arial"/>
          <w:sz w:val="20"/>
        </w:rPr>
        <w:t xml:space="preserve">Wymiana 22 szt. wysięgników, zacisków i przewodów przewidziana jest na linii napowietrznej, wg. tabeli nr 3. </w:t>
      </w:r>
      <w:r w:rsidRPr="004F377A">
        <w:rPr>
          <w:rFonts w:cs="Arial"/>
          <w:spacing w:val="2"/>
          <w:sz w:val="20"/>
        </w:rPr>
        <w:t xml:space="preserve">Z uwagi na konieczność dostosowania zakresu prac do programu dotacyjnego "Rozświetlamy </w:t>
      </w:r>
      <w:r w:rsidRPr="004F377A">
        <w:rPr>
          <w:rFonts w:cs="Arial"/>
          <w:spacing w:val="2"/>
          <w:sz w:val="20"/>
        </w:rPr>
        <w:lastRenderedPageBreak/>
        <w:t>Polskę" zakres prac nie uwzględnia wymiany wszystkich wysięgników, przewodów zasilających oprawy i zabezpieczeń. W przypadku wystąpienia konieczności ich wymiany należy zgłosić ten fakt inspektorowi jako roboty dodatkowe niekwalifikowane do programu.</w:t>
      </w:r>
    </w:p>
    <w:p w14:paraId="35FFE2BC" w14:textId="77777777" w:rsidR="003B5154" w:rsidRPr="004F377A" w:rsidRDefault="003B5154" w:rsidP="003B5154">
      <w:pPr>
        <w:jc w:val="both"/>
        <w:rPr>
          <w:rFonts w:cs="Arial"/>
          <w:spacing w:val="2"/>
          <w:sz w:val="20"/>
        </w:rPr>
      </w:pPr>
    </w:p>
    <w:p w14:paraId="5C271276" w14:textId="6DB7E28F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4</w:t>
      </w:r>
    </w:p>
    <w:p w14:paraId="61FC2AFB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67EAEEE9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Zamawiający wymaga, aby oprawa posiadała deklarację środowiskową autoryzowaną przez instytucję zewnętrzną na podstawie norm ISO. Zgodnie z wiedzą Wykonawcy obecnie niewielu producentów działających na rynku polskim posiada rzeczoną deklarację w formie wymaganej przez Zamawiającego.</w:t>
      </w:r>
    </w:p>
    <w:p w14:paraId="3ADC487F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 xml:space="preserve">Wykonawca wskazuje ponadto, że wprowadzanie dodatkowego wymogu autoryzowania czy potwierdzania deklaracji producentów jest sprzeczne z samym sensem dokumentów jakim są deklaracje. </w:t>
      </w:r>
    </w:p>
    <w:p w14:paraId="2FD60089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Wykonawca wnosi o dopuszczenie ofert uwzględniających oprawy oświetleniowe, których producenci mają wdrożone standardy ISO 14040:2006 oraz EN 15804:2012 + A2:2019 lub równoważne.</w:t>
      </w:r>
    </w:p>
    <w:p w14:paraId="7EDDF69F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7EE8E041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46F01DF7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6F74A915" w14:textId="77777777" w:rsidR="003B5154" w:rsidRPr="004F377A" w:rsidRDefault="003B5154" w:rsidP="003B5154">
      <w:pPr>
        <w:pStyle w:val="Tekstpodstawowy"/>
        <w:jc w:val="both"/>
        <w:rPr>
          <w:rFonts w:ascii="Arial" w:hAnsi="Arial" w:cs="Arial"/>
          <w:spacing w:val="-4"/>
          <w:w w:val="115"/>
          <w:sz w:val="20"/>
          <w:szCs w:val="20"/>
        </w:rPr>
      </w:pPr>
      <w:r w:rsidRPr="004F377A">
        <w:rPr>
          <w:rFonts w:ascii="Arial" w:hAnsi="Arial" w:cs="Arial"/>
          <w:spacing w:val="-4"/>
          <w:w w:val="115"/>
          <w:sz w:val="20"/>
          <w:szCs w:val="20"/>
        </w:rPr>
        <w:t xml:space="preserve">Zgodnie z art. 99 ust. 2 ustawy z dnia 11 września 2019 r. Prawo zamówień publicznych oraz Gospodarki Odpadami i Zapobiegania Powstawania Odpadów (GOZPO), Zamawiający ma obowiązek monitorowania wszystkich potencjalnych ilości odpadów jakie mogą powstawać w wyniku przeprowadzanych inwestycji. Dlatego, na podstawie art. 102 ustawy </w:t>
      </w:r>
      <w:proofErr w:type="spellStart"/>
      <w:r w:rsidRPr="004F377A">
        <w:rPr>
          <w:rFonts w:ascii="Arial" w:hAnsi="Arial" w:cs="Arial"/>
          <w:spacing w:val="-4"/>
          <w:w w:val="115"/>
          <w:sz w:val="20"/>
          <w:szCs w:val="20"/>
        </w:rPr>
        <w:t>Pzp</w:t>
      </w:r>
      <w:proofErr w:type="spellEnd"/>
      <w:r w:rsidRPr="004F377A">
        <w:rPr>
          <w:rFonts w:ascii="Arial" w:hAnsi="Arial" w:cs="Arial"/>
          <w:spacing w:val="-4"/>
          <w:w w:val="115"/>
          <w:sz w:val="20"/>
          <w:szCs w:val="20"/>
        </w:rPr>
        <w:t xml:space="preserve"> Zamawiający zobowiązany jest do weryfikacji oferowanych materiałów, produktów lub usług w tym również w zakresie parametrów i wartości określających poziom oddziaływania inwestycji na środowisko, klimat oraz powstawanie odpadów. Jedną z podstawowych metod informowania o cechach środowiskowych wyrobów budowlanych jest wykonanie deklaracji środowiskowej typu III, czyli EPD. EPD to dokument, który w jasny sposób informuje o wpływie danego produktu na środowisko w całym cyklu jego życia. EPD wykonuje się zgodnie z normami ISO 14040/14044, ISO 14025, PN-EN 15804 lub ISO 21930. Norma PN - EN 15804 + A2 określa zawartość deklaracji środowiskowej typu III oraz jakie warunki należy spełnić, aby umożliwić porównanie właściwości środowiskowych wyrobów budowlanych. Norma PN-EN 15804+A2 to najczęściej stosowany na świecie format tworzenia deklaracji środowiskowych produktów (EPD) dla wyrobów budowlanych. Opracowana zgodnie ze standardem PN-EN 15804+A2, deklaracja EPD obejmuje różne etapy cyklu życia produktu, w tym produkcję (A1-A3), wznoszenie (A4-A5), użytkowanie (B1-B7), koniec życia (C1-C4) oraz korzyści związane z ponownym użyciem, odzyskiem lub recyklingiem produktu (D). </w:t>
      </w:r>
    </w:p>
    <w:p w14:paraId="69876ECE" w14:textId="77777777" w:rsidR="003B5154" w:rsidRPr="004F377A" w:rsidRDefault="003B5154" w:rsidP="003B5154">
      <w:pPr>
        <w:pStyle w:val="Tekstpodstawowy"/>
        <w:jc w:val="both"/>
        <w:rPr>
          <w:rFonts w:ascii="Arial" w:hAnsi="Arial" w:cs="Arial"/>
          <w:spacing w:val="-4"/>
          <w:w w:val="115"/>
          <w:sz w:val="20"/>
          <w:szCs w:val="20"/>
        </w:rPr>
      </w:pPr>
      <w:r w:rsidRPr="004F377A">
        <w:rPr>
          <w:rFonts w:ascii="Arial" w:hAnsi="Arial" w:cs="Arial"/>
          <w:spacing w:val="-4"/>
          <w:w w:val="115"/>
          <w:sz w:val="20"/>
          <w:szCs w:val="20"/>
        </w:rPr>
        <w:t>Mając na uwadze powyższe oraz wymagania dotyczące dbałości o środowisko, oprawy oświetleniowe powinny spełniać wymagania określone w SWZ i dołączonych załączników.</w:t>
      </w:r>
    </w:p>
    <w:p w14:paraId="7BAE66C2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2F946ACB" w14:textId="4C99996B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5</w:t>
      </w:r>
    </w:p>
    <w:p w14:paraId="6BD1C0FD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844D36B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Prosimy o dopuszczenie obliczeń fotometrycznych dla opraw równoważnych, spełniających wymogi normy oświetleniowej PN-EN 13201, bez uwzględnienia zapisów rażąco naruszających uczciwą konkurencję tj. zapisów:</w:t>
      </w:r>
    </w:p>
    <w:p w14:paraId="736F8B5B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1) Luminacja L1 i L2 nie mniej niż w projekcie referencyjnym</w:t>
      </w:r>
    </w:p>
    <w:p w14:paraId="194219F2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2) Równomierność Uo1 i Uo2 nie mniej niż 5% niż w projekcie referencyjnym</w:t>
      </w:r>
    </w:p>
    <w:p w14:paraId="17EA245F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3) Równomierność Ul1 i Ul2 nie mniej niż 5% niż w projekcie referencyjnym4) TI nie więcej niż 10 % niż w projekcie referencyjnym.</w:t>
      </w:r>
    </w:p>
    <w:p w14:paraId="0C82009F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5) REI nie mniej niż 10% w stosunku do wartości w projekcie referencyjnym</w:t>
      </w:r>
    </w:p>
    <w:p w14:paraId="725E7866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 xml:space="preserve">Przy tak sformułowanych wymaganiach dla opraw w tym obliczeń fotometrycznych nie istnieje realna możliwość spełnienia ich przez inny produkt niż zastosowany przy obliczeniach referencyjnych. Zarówno projektanci, zajmujący się profesjonalnie projektowaniem oświetlenia, jak i producenci opraw mają świadomość unikalnych cech bryły fotometrycznej i faktu, że jest ona niepowtarzalna. Zatem nie ma możliwości sporządzenia obliczeń, których wymaga Zamawiający – uzyskania co najmniej takich samych wyników, jakie osiągnięto dla opraw referencyjnych. Z tego względu właśnie powszechnie przyjmuje się, że jedynym dokumentem miarodajnym w odniesieniu do oświetlenia ulic jest norma PN-EN 13201:2016, która deﬁniuje wymagane poziomy kluczowych parametrów w zależności od klasy oświetlenia drogi </w:t>
      </w:r>
    </w:p>
    <w:p w14:paraId="2D3DDA71" w14:textId="77777777" w:rsidR="003B5154" w:rsidRPr="004F377A" w:rsidRDefault="003B5154" w:rsidP="003B5154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>Projektanci muszą spełnić 400 jednostkowych parametrów oświetleniowych. Nawet przy niespełnieniu JEDNEGO z tych parametrów oferta może zostać odrzucona, co jest nieracjonalne.</w:t>
      </w:r>
    </w:p>
    <w:p w14:paraId="624A05CA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2C318005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lastRenderedPageBreak/>
        <w:t>Odpowiedź:</w:t>
      </w:r>
    </w:p>
    <w:p w14:paraId="02090DBF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4D1B4622" w14:textId="6A531892" w:rsidR="00050B0D" w:rsidRPr="004F377A" w:rsidRDefault="00050B0D" w:rsidP="00050B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377A">
        <w:rPr>
          <w:rFonts w:ascii="Arial" w:hAnsi="Arial" w:cs="Arial"/>
          <w:sz w:val="20"/>
          <w:szCs w:val="20"/>
        </w:rPr>
        <w:t>Celem przeprowadzenia modernizacji jest nie tylko osiągnięcie efektów minimalnych zalecanych przez normę PN EN 13 201:2016 oraz efektów ekonomicznych, ale i poprawa bezpieczeństwa z uwzględnieniem lokalnych uwarunkowań występujących w Gmin</w:t>
      </w:r>
      <w:r w:rsidR="004F377A" w:rsidRPr="004F377A">
        <w:rPr>
          <w:rFonts w:ascii="Arial" w:hAnsi="Arial" w:cs="Arial"/>
          <w:sz w:val="20"/>
          <w:szCs w:val="20"/>
        </w:rPr>
        <w:t>ie</w:t>
      </w:r>
      <w:r w:rsidRPr="004F377A">
        <w:rPr>
          <w:rFonts w:ascii="Arial" w:hAnsi="Arial" w:cs="Arial"/>
          <w:sz w:val="20"/>
          <w:szCs w:val="20"/>
        </w:rPr>
        <w:t xml:space="preserve"> Szudziałowo. Zamawiający nie wymaga aby przedstawione rozwiązania były tożsame w zakresie bryły fotometrycznej, nie narzuca w żadnym z przypadków konkretnego rozsyłu, układu soczewkowego czy producenta. Wprowadzony zapis dotyczy uzyskanych średnich wyników fotometrycznych, potwierdzających spełnienie założeń projektowych oraz spełnienie nie tyko minimalnych wymagań normy PN-EN 13201. Zaznaczyć należy, że realizację odpowiedniego poziomu luminancji, natężenia, równomierności, olśnienia, współczynnika SR można uzyskać poprzez zastosowanie wielu układów soczewkowych, czy też brył fotometrycznych, a Zamawiający w tym zakresie nie narzucił żadnych wymagań. Zbliżone zapisy odnoszące się do tolerancji dla efektu oświetleniowego były już przedmiotem oceny Krajowej Izby Odwoławczej i zostały uznane jako zgodne z ustawą - sygn. akt KIO 405/19. W przywołanej sprawie, Izba stwierdziła - cyt.: „Należy również podkreślić, że Zamawiający określa swoje wymagania według własnych potrzeb, do czego jest uprawiony. Jeśli powyższe postanowienia nie naruszają zasady uczciwej konkurencji, co w tym postępowaniu odwoławczym nie zostało wykazane, Zamawiający uprawniony jest do określenia swoich wymagań według własnego uznania. Niewątpliwie opis przedmiotu zamówienia nie może ograniczać uczciwej konkurencji, zgodnie z art. 29 ust. 2 ustawy </w:t>
      </w:r>
      <w:proofErr w:type="spellStart"/>
      <w:r w:rsidRPr="004F377A">
        <w:rPr>
          <w:rFonts w:ascii="Arial" w:hAnsi="Arial" w:cs="Arial"/>
          <w:sz w:val="20"/>
          <w:szCs w:val="20"/>
        </w:rPr>
        <w:t>Pzp</w:t>
      </w:r>
      <w:proofErr w:type="spellEnd"/>
      <w:r w:rsidRPr="004F377A">
        <w:rPr>
          <w:rFonts w:ascii="Arial" w:hAnsi="Arial" w:cs="Arial"/>
          <w:sz w:val="20"/>
          <w:szCs w:val="20"/>
        </w:rPr>
        <w:t xml:space="preserve">, niemniej to zamawiający jako gospodarz postępowania decyduje co ma być przedmiotem zamówienia, z zastrzeżeniem że opis przedmiotu zamówienia nie może utrudniać uczciwej konkurencji. Nie można zasady uczciwej konkurencji pojmować tak, że zamawiający winien zaakceptować każde świadczenie, nawet niezgodne z jego potrzebami, jedynie dlatego, że może je zrealizować większy krąg podmiotów. Taki tok rozumowania sprowadziłby zamówienia publiczne do roli instrumentu pozyskiwania dóbr o przeciętnej, niczym niewyróżniającej się jakości, a nadto o cechach nieuwzględniających usprawiedliwionych potrzeb zamawiających (vide: wyrok KIO z dnia 23 marca 2017 r., sygn. akt KIO 445/17)”. </w:t>
      </w:r>
    </w:p>
    <w:p w14:paraId="2A5E727A" w14:textId="77777777" w:rsidR="00050B0D" w:rsidRPr="004F377A" w:rsidRDefault="00050B0D" w:rsidP="00050B0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377A">
        <w:rPr>
          <w:rFonts w:ascii="Arial" w:hAnsi="Arial" w:cs="Arial"/>
          <w:sz w:val="20"/>
          <w:szCs w:val="20"/>
        </w:rPr>
        <w:t>W związku z powyższym Zamawiający nie widzi podstaw do zaniżenia swoich wymagań względem oczekiwanych wyników fotometrycznych znajdujących się w Dokumentacji Projektowej i podtrzymuje zapisy jako zgodne z ustawą PZP. Jednocześnie Zamawiający informuje, iż dopuszcza oprawy o niższym niż referencyjny strumień świetlny pod warunkiem zachowania mocy nie wyższej niż wskazana w dokumentacji.</w:t>
      </w:r>
    </w:p>
    <w:p w14:paraId="3CF16F55" w14:textId="77777777" w:rsidR="003B5154" w:rsidRPr="004F377A" w:rsidRDefault="003B5154" w:rsidP="003B5154">
      <w:pPr>
        <w:jc w:val="both"/>
        <w:rPr>
          <w:rFonts w:cs="Arial"/>
          <w:sz w:val="20"/>
        </w:rPr>
      </w:pPr>
    </w:p>
    <w:p w14:paraId="44AA48AD" w14:textId="367B767D" w:rsidR="00050B0D" w:rsidRPr="004F377A" w:rsidRDefault="00050B0D" w:rsidP="00050B0D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Pytanie 6</w:t>
      </w:r>
    </w:p>
    <w:p w14:paraId="53B2F74D" w14:textId="77777777" w:rsidR="00050B0D" w:rsidRPr="004F377A" w:rsidRDefault="00050B0D" w:rsidP="00050B0D">
      <w:pPr>
        <w:jc w:val="both"/>
        <w:rPr>
          <w:rFonts w:cstheme="minorHAnsi"/>
          <w:b/>
          <w:bCs/>
          <w:sz w:val="20"/>
        </w:rPr>
      </w:pPr>
    </w:p>
    <w:p w14:paraId="1BB2BBD3" w14:textId="77777777" w:rsidR="00050B0D" w:rsidRPr="004F377A" w:rsidRDefault="00050B0D" w:rsidP="00050B0D">
      <w:pPr>
        <w:jc w:val="both"/>
        <w:rPr>
          <w:rFonts w:cs="Arial"/>
          <w:sz w:val="20"/>
        </w:rPr>
      </w:pPr>
      <w:r w:rsidRPr="004F377A">
        <w:rPr>
          <w:rFonts w:cs="Arial"/>
          <w:sz w:val="20"/>
        </w:rPr>
        <w:t xml:space="preserve">Prosimy o potwierdzenie czy Zamawiający wymaga montażu kompensacji mocy biernej oraz </w:t>
      </w:r>
      <w:proofErr w:type="spellStart"/>
      <w:r w:rsidRPr="004F377A">
        <w:rPr>
          <w:rFonts w:cs="Arial"/>
          <w:sz w:val="20"/>
        </w:rPr>
        <w:t>soft</w:t>
      </w:r>
      <w:proofErr w:type="spellEnd"/>
      <w:r w:rsidRPr="004F377A">
        <w:rPr>
          <w:rFonts w:cs="Arial"/>
          <w:sz w:val="20"/>
        </w:rPr>
        <w:t xml:space="preserve"> startu w trakcie modernizacji?</w:t>
      </w:r>
    </w:p>
    <w:p w14:paraId="526E62B8" w14:textId="77777777" w:rsidR="00050B0D" w:rsidRPr="004F377A" w:rsidRDefault="00050B0D" w:rsidP="003B5154">
      <w:pPr>
        <w:jc w:val="both"/>
        <w:rPr>
          <w:rFonts w:cs="Arial"/>
          <w:sz w:val="20"/>
        </w:rPr>
      </w:pPr>
    </w:p>
    <w:p w14:paraId="4EB7159E" w14:textId="77777777" w:rsidR="00050B0D" w:rsidRPr="004F377A" w:rsidRDefault="00050B0D" w:rsidP="00050B0D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60C5337A" w14:textId="77777777" w:rsidR="00050B0D" w:rsidRPr="004F377A" w:rsidRDefault="00050B0D" w:rsidP="00050B0D">
      <w:pPr>
        <w:jc w:val="both"/>
        <w:rPr>
          <w:rFonts w:cstheme="minorHAnsi"/>
          <w:b/>
          <w:bCs/>
          <w:sz w:val="20"/>
        </w:rPr>
      </w:pPr>
    </w:p>
    <w:p w14:paraId="331B395E" w14:textId="77777777" w:rsidR="00050B0D" w:rsidRPr="004F377A" w:rsidRDefault="00050B0D" w:rsidP="00050B0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pacing w:val="2"/>
          <w:sz w:val="20"/>
          <w:szCs w:val="20"/>
        </w:rPr>
      </w:pPr>
      <w:r w:rsidRPr="004F377A">
        <w:rPr>
          <w:rFonts w:ascii="Arial" w:hAnsi="Arial" w:cs="Arial"/>
          <w:spacing w:val="2"/>
          <w:sz w:val="20"/>
          <w:szCs w:val="20"/>
        </w:rPr>
        <w:t xml:space="preserve">Z uwagi na konieczność dostosowania zakresu prac do programu dotacyjnego "Rozświetlamy Polskę" zakres prac nie uwzględnia montażu urządzeń </w:t>
      </w:r>
      <w:proofErr w:type="spellStart"/>
      <w:r w:rsidRPr="004F377A">
        <w:rPr>
          <w:rFonts w:ascii="Arial" w:hAnsi="Arial" w:cs="Arial"/>
          <w:spacing w:val="2"/>
          <w:sz w:val="20"/>
          <w:szCs w:val="20"/>
        </w:rPr>
        <w:t>soft</w:t>
      </w:r>
      <w:proofErr w:type="spellEnd"/>
      <w:r w:rsidRPr="004F377A">
        <w:rPr>
          <w:rFonts w:ascii="Arial" w:hAnsi="Arial" w:cs="Arial"/>
          <w:spacing w:val="2"/>
          <w:sz w:val="20"/>
          <w:szCs w:val="20"/>
        </w:rPr>
        <w:t xml:space="preserve"> start i kompensacji mocy biernej. Na wykonawcy spoczywa obowiązek zainstalowania opraw oświetleniowych zapewniających prawidłowe działanie sieci oświetleniowej (odpowiednie rozwiązania techniczne dostosowane do zainstalowanych opraw) oraz spełniających wymagania związanych z nieprzekraczaniem ponadnormatywnej energii biernej. Wykonawca dostarczy zamawiającemu: pomiary współczynnika mocy dla każdej szafki oświetleniowej przed i po redukcji mocy w oprawach, potwierdzającej spełnienie wymagań związanych z nieprzekraczaniem ponadnormatywnej energii biernej.</w:t>
      </w:r>
    </w:p>
    <w:p w14:paraId="11627B4A" w14:textId="77777777" w:rsidR="00752E22" w:rsidRPr="004F377A" w:rsidRDefault="00752E22" w:rsidP="00737CF6">
      <w:pPr>
        <w:jc w:val="both"/>
        <w:rPr>
          <w:rFonts w:cs="Arial"/>
          <w:sz w:val="20"/>
        </w:rPr>
      </w:pPr>
    </w:p>
    <w:p w14:paraId="644845BA" w14:textId="77777777" w:rsidR="00050B0D" w:rsidRDefault="00050B0D" w:rsidP="00737CF6">
      <w:pPr>
        <w:jc w:val="both"/>
        <w:rPr>
          <w:rFonts w:cs="Arial"/>
          <w:sz w:val="20"/>
        </w:rPr>
      </w:pPr>
    </w:p>
    <w:p w14:paraId="719F1D5E" w14:textId="77777777" w:rsidR="00050B0D" w:rsidRDefault="00050B0D" w:rsidP="00737CF6">
      <w:pPr>
        <w:jc w:val="both"/>
        <w:rPr>
          <w:rFonts w:cs="Arial"/>
          <w:sz w:val="20"/>
        </w:rPr>
      </w:pPr>
    </w:p>
    <w:p w14:paraId="2DC37F1B" w14:textId="08954399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Zastępca Wójta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5BF69AAD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Pr="00050B0D">
        <w:rPr>
          <w:rFonts w:cs="Arial"/>
          <w:sz w:val="20"/>
        </w:rPr>
        <w:t>Aneta Maliszewska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2B0ABD"/>
    <w:rsid w:val="0032243A"/>
    <w:rsid w:val="003B5154"/>
    <w:rsid w:val="004F377A"/>
    <w:rsid w:val="00646C3A"/>
    <w:rsid w:val="00690711"/>
    <w:rsid w:val="006A44BD"/>
    <w:rsid w:val="00737CF6"/>
    <w:rsid w:val="00752E22"/>
    <w:rsid w:val="0079122A"/>
    <w:rsid w:val="009A7A85"/>
    <w:rsid w:val="00A14DBC"/>
    <w:rsid w:val="00AD68EC"/>
    <w:rsid w:val="00B26DD2"/>
    <w:rsid w:val="00B502AE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Urząd Gminy Szudziałowo</cp:lastModifiedBy>
  <cp:revision>4</cp:revision>
  <dcterms:created xsi:type="dcterms:W3CDTF">2024-08-06T11:37:00Z</dcterms:created>
  <dcterms:modified xsi:type="dcterms:W3CDTF">2024-08-07T08:15:00Z</dcterms:modified>
</cp:coreProperties>
</file>