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55" w:rsidRPr="00777755" w:rsidRDefault="00777755" w:rsidP="00777755">
      <w:pPr>
        <w:spacing w:line="276" w:lineRule="auto"/>
        <w:jc w:val="right"/>
        <w:rPr>
          <w:rFonts w:ascii="Calibri Light" w:eastAsia="Calibri" w:hAnsi="Calibri Light"/>
          <w:sz w:val="24"/>
          <w:szCs w:val="22"/>
          <w:lang w:eastAsia="en-US"/>
        </w:rPr>
      </w:pPr>
      <w:bookmarkStart w:id="0" w:name="_Toc45778734"/>
      <w:r w:rsidRPr="00777755">
        <w:rPr>
          <w:rFonts w:ascii="Calibri Light" w:eastAsia="Calibri" w:hAnsi="Calibri Light"/>
          <w:sz w:val="24"/>
          <w:szCs w:val="22"/>
          <w:lang w:eastAsia="en-US"/>
        </w:rPr>
        <w:t xml:space="preserve">Załącznik nr </w:t>
      </w:r>
      <w:r>
        <w:rPr>
          <w:rFonts w:ascii="Calibri Light" w:eastAsia="Calibri" w:hAnsi="Calibri Light"/>
          <w:sz w:val="24"/>
          <w:szCs w:val="22"/>
          <w:lang w:eastAsia="en-US"/>
        </w:rPr>
        <w:t>4</w:t>
      </w:r>
      <w:r w:rsidRPr="00777755">
        <w:rPr>
          <w:rFonts w:ascii="Calibri Light" w:eastAsia="Calibri" w:hAnsi="Calibri Light"/>
          <w:sz w:val="24"/>
          <w:szCs w:val="22"/>
          <w:lang w:eastAsia="en-US"/>
        </w:rPr>
        <w:t xml:space="preserve"> do SWZ</w:t>
      </w:r>
    </w:p>
    <w:p w:rsidR="00777755" w:rsidRPr="00777755" w:rsidRDefault="00777755" w:rsidP="00777755">
      <w:pPr>
        <w:spacing w:after="160" w:line="276" w:lineRule="auto"/>
        <w:jc w:val="both"/>
        <w:rPr>
          <w:rFonts w:ascii="Calibri Light" w:eastAsia="Calibri" w:hAnsi="Calibri Light"/>
          <w:sz w:val="24"/>
          <w:szCs w:val="22"/>
          <w:lang w:eastAsia="en-US"/>
        </w:rPr>
      </w:pPr>
    </w:p>
    <w:p w:rsidR="00777755" w:rsidRPr="00777755" w:rsidRDefault="00777755" w:rsidP="00777755">
      <w:pPr>
        <w:spacing w:after="160" w:line="276" w:lineRule="auto"/>
        <w:jc w:val="both"/>
        <w:rPr>
          <w:rFonts w:ascii="Calibri Light" w:eastAsia="Calibri" w:hAnsi="Calibri Light"/>
          <w:sz w:val="24"/>
          <w:szCs w:val="22"/>
          <w:lang w:eastAsia="en-US"/>
        </w:rPr>
      </w:pPr>
    </w:p>
    <w:p w:rsidR="00777755" w:rsidRPr="00777755" w:rsidRDefault="00777755" w:rsidP="00777755">
      <w:pPr>
        <w:keepNext/>
        <w:keepLines/>
        <w:spacing w:before="240" w:line="276" w:lineRule="auto"/>
        <w:jc w:val="both"/>
        <w:outlineLvl w:val="0"/>
        <w:rPr>
          <w:rFonts w:ascii="Calibri Light" w:eastAsia="Calibri" w:hAnsi="Calibri Light"/>
          <w:sz w:val="32"/>
          <w:szCs w:val="32"/>
          <w:lang w:eastAsia="en-US"/>
        </w:rPr>
      </w:pPr>
    </w:p>
    <w:p w:rsidR="00777755" w:rsidRPr="00777755" w:rsidRDefault="00777755" w:rsidP="00777755">
      <w:pPr>
        <w:spacing w:line="276" w:lineRule="auto"/>
        <w:jc w:val="center"/>
        <w:rPr>
          <w:rFonts w:ascii="Calibri Light" w:eastAsia="Calibri" w:hAnsi="Calibri Light"/>
          <w:b/>
          <w:sz w:val="72"/>
          <w:szCs w:val="22"/>
          <w:lang w:eastAsia="en-US"/>
        </w:rPr>
      </w:pPr>
      <w:r w:rsidRPr="00777755">
        <w:rPr>
          <w:rFonts w:ascii="Calibri Light" w:eastAsia="Calibri" w:hAnsi="Calibri Light"/>
          <w:b/>
          <w:sz w:val="72"/>
          <w:szCs w:val="22"/>
          <w:lang w:eastAsia="en-US"/>
        </w:rPr>
        <w:t>Opis</w:t>
      </w:r>
    </w:p>
    <w:p w:rsidR="00777755" w:rsidRPr="00777755" w:rsidRDefault="00777755" w:rsidP="00777755">
      <w:pPr>
        <w:spacing w:line="276" w:lineRule="auto"/>
        <w:jc w:val="center"/>
        <w:rPr>
          <w:rFonts w:ascii="Calibri Light" w:eastAsia="Calibri" w:hAnsi="Calibri Light"/>
          <w:b/>
          <w:sz w:val="72"/>
          <w:szCs w:val="22"/>
          <w:lang w:eastAsia="en-US"/>
        </w:rPr>
      </w:pPr>
      <w:r w:rsidRPr="00777755">
        <w:rPr>
          <w:rFonts w:ascii="Calibri Light" w:eastAsia="Calibri" w:hAnsi="Calibri Light"/>
          <w:b/>
          <w:sz w:val="72"/>
          <w:szCs w:val="22"/>
          <w:lang w:eastAsia="en-US"/>
        </w:rPr>
        <w:t>Przedmiotu Zamówienia</w:t>
      </w:r>
      <w:bookmarkEnd w:id="0"/>
    </w:p>
    <w:p w:rsidR="00777755" w:rsidRPr="00777755" w:rsidRDefault="00777755" w:rsidP="00777755">
      <w:pPr>
        <w:spacing w:after="160" w:line="276" w:lineRule="auto"/>
        <w:jc w:val="both"/>
        <w:rPr>
          <w:rFonts w:ascii="Calibri Light" w:eastAsia="Calibri" w:hAnsi="Calibri Light"/>
          <w:sz w:val="56"/>
          <w:szCs w:val="22"/>
          <w:lang w:eastAsia="en-US"/>
        </w:rPr>
      </w:pPr>
    </w:p>
    <w:p w:rsidR="00777755" w:rsidRDefault="00777755">
      <w:pPr>
        <w:spacing w:after="160" w:line="259" w:lineRule="auto"/>
        <w:rPr>
          <w:rFonts w:ascii="Calibri" w:hAnsi="Calibri"/>
        </w:rPr>
      </w:pPr>
    </w:p>
    <w:p w:rsidR="00253336" w:rsidRDefault="00253336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009ED" w:rsidRPr="00B801F6" w:rsidRDefault="002009ED" w:rsidP="002009ED">
      <w:pPr>
        <w:tabs>
          <w:tab w:val="left" w:pos="8371"/>
          <w:tab w:val="left" w:leader="dot" w:pos="9498"/>
        </w:tabs>
        <w:rPr>
          <w:rFonts w:ascii="Calibri" w:hAnsi="Calibri"/>
        </w:rPr>
      </w:pPr>
      <w:r w:rsidRPr="00B801F6">
        <w:rPr>
          <w:rFonts w:ascii="Calibri" w:hAnsi="Calibri"/>
        </w:rPr>
        <w:t xml:space="preserve">Szczegółowe wskazanie parametrów technicznych i jakościowych zamówienia: 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 xml:space="preserve">Sukcesywna sprzedaż i dostawa do siedziby zamawiającego podzespołów i akcesoriów komputerowych (zwanych dalej również „asortymentem”) wraz z ich dostarczeniem na miejsce wskazane w siedzibie zamawiającego (zgodnie ze specyfikacją </w:t>
      </w:r>
      <w:proofErr w:type="spellStart"/>
      <w:r w:rsidRPr="00253336">
        <w:rPr>
          <w:rFonts w:ascii="Calibri" w:hAnsi="Calibri"/>
        </w:rPr>
        <w:t>techniczno</w:t>
      </w:r>
      <w:proofErr w:type="spellEnd"/>
      <w:r w:rsidRPr="00253336">
        <w:rPr>
          <w:rFonts w:ascii="Calibri" w:hAnsi="Calibri"/>
        </w:rPr>
        <w:t xml:space="preserve"> - cenową ujętą w załączniku nr </w:t>
      </w:r>
      <w:r w:rsidR="00777755" w:rsidRPr="00253336">
        <w:rPr>
          <w:rFonts w:ascii="Calibri" w:hAnsi="Calibri"/>
        </w:rPr>
        <w:t>5</w:t>
      </w:r>
      <w:r w:rsidRPr="00253336">
        <w:rPr>
          <w:rFonts w:ascii="Calibri" w:hAnsi="Calibri"/>
        </w:rPr>
        <w:t xml:space="preserve"> do SWZ)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>Oferowany asortyment elektroniczny musi spełniać warunki oznakowania CE i być tym znakiem oznaczony.</w:t>
      </w:r>
    </w:p>
    <w:p w:rsidR="00253336" w:rsidRPr="00253336" w:rsidRDefault="00253336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>Wykonawca udziela Zamawiającemu gwarancji jakości i zobowiązuje się do wykonywania świadczeń z niej wynikających. Szczegółowe wymagania dotyczące gwarancji zostały w projekcie umowy Załącznik nr 6 do SWZ).</w:t>
      </w:r>
    </w:p>
    <w:p w:rsidR="00253336" w:rsidRPr="00253336" w:rsidRDefault="00253336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>
        <w:rPr>
          <w:rFonts w:ascii="Calibri" w:hAnsi="Calibri"/>
        </w:rPr>
        <w:t>G</w:t>
      </w:r>
      <w:r w:rsidRPr="00253336">
        <w:rPr>
          <w:rFonts w:ascii="Calibri" w:hAnsi="Calibri"/>
        </w:rPr>
        <w:t>warantem dla Zamawiającego jest Wykonawca, nie zwalnia to jednak Wykonawcy z obowiązku dostarczenia dokumentów gwarancyjnych, licencyjnych, wsparcia technicznego, itp. producenta oferowanych urządzeń wielofunkcyjnych, jeżeli takie są przez niego dostarczane.</w:t>
      </w:r>
    </w:p>
    <w:p w:rsidR="00253336" w:rsidRPr="00253336" w:rsidRDefault="00253336" w:rsidP="002009ED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>Za datę rozpoczęcia biegu gwarancji przyjmuje się datę podpisania protokołu zdawczo-odbiorczego na urządzenia wielofunkcyjnego ujęte w zamówieniu.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 xml:space="preserve">Podane w specyfikacji </w:t>
      </w:r>
      <w:proofErr w:type="spellStart"/>
      <w:r w:rsidRPr="00253336">
        <w:rPr>
          <w:rFonts w:ascii="Calibri" w:hAnsi="Calibri"/>
        </w:rPr>
        <w:t>techniczno</w:t>
      </w:r>
      <w:proofErr w:type="spellEnd"/>
      <w:r w:rsidRPr="00253336">
        <w:rPr>
          <w:rFonts w:ascii="Calibri" w:hAnsi="Calibri"/>
        </w:rPr>
        <w:t xml:space="preserve"> – cenowej ilości asortymentu nie muszą ulec wyczerpaniu.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>Zamawiający przewiduje zakup minimum 60 procent asortymentu.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>Zamawiający zastrzega sobie prawo, że w razie wyczerpania danej pozycji asortymentu może go zamówić na tych samych zasadach w miejsce innego asortymentu objętego zamówieniem pod warunkiem nie przekroczenia kwoty łącznego wynagrodzenia brutto wykonawcy, na które opiewać będzie umowa.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 xml:space="preserve">Dostarczony asortyment musi być fabrycznie nowy, tzn. nieużywany przed dniem dostarczenia – 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 xml:space="preserve">z wyłączeniem używania niezbędnego dla przeprowadzenia testu jego poprawnej pracy. 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 xml:space="preserve">Podzespoły i akcesoria muszą być dostarczone w oryginalnych opakowaniach z podaną na opakowaniu nazwą producenta, miejscem wytworzenia, etykietą, nr katalogowym lub seryjnym, podanymi: 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>nazwą / typem produktu.</w:t>
      </w:r>
    </w:p>
    <w:p w:rsidR="00777755" w:rsidRPr="00253336" w:rsidRDefault="00777755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>Dostarczony sprzęt będzie pochodzić z oficjalnych kanałów dystrybucyjnych, które nie wykluczają dostawy przedmiotu zamówienia na rynek polski, zapewniając w szczególności realizację uprawnień gwarancyjnych.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 xml:space="preserve">Dostarczony asortyment przeznaczony do zasilania z sieci energetycznej musi być wyposażony 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 xml:space="preserve">w odpowiednią liczbę kabli zasilających pozwalających na podłączenie go do standardowych gniazdek zasilających chyba, że w specyfikacji </w:t>
      </w:r>
      <w:proofErr w:type="spellStart"/>
      <w:r w:rsidRPr="00253336">
        <w:rPr>
          <w:rFonts w:ascii="Calibri" w:hAnsi="Calibri"/>
        </w:rPr>
        <w:t>techniczno</w:t>
      </w:r>
      <w:proofErr w:type="spellEnd"/>
      <w:r w:rsidRPr="00253336">
        <w:rPr>
          <w:rFonts w:ascii="Calibri" w:hAnsi="Calibri"/>
        </w:rPr>
        <w:t xml:space="preserve"> - cenowej zaznaczono inaczej.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 xml:space="preserve">W cenę oferty stanowiącej przedmiot zamówienia muszą zostać wliczone wszelkie koszty związane 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pos="8371"/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>z realizacją przedmiotu zamówienia zgodnie z wymaganiami SWZ, w tym m.in. koszty dostarczenia przedmiotu zamówienia do siedziby zamawiającego oraz ubezpieczenie na czas dostawy. W związku z tym wykonawca nie będzie mógł żądać od zamawiającego pokrycia jakichkolwiek kosztów dodatkowych z tytułu jego realizacji.</w:t>
      </w:r>
    </w:p>
    <w:p w:rsidR="002009ED" w:rsidRPr="00253336" w:rsidRDefault="002009ED" w:rsidP="00253336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253336">
        <w:rPr>
          <w:rFonts w:ascii="Calibri" w:hAnsi="Calibri"/>
        </w:rPr>
        <w:t>Zamawiający pozostawia sobie prawo do zweryfikowania asortymentu dostarczonego w ramach realizacji niniejszego zamówienia pod kątem legalności pochodzenia oraz innych oświadczeń wykonawcy.</w:t>
      </w:r>
    </w:p>
    <w:p w:rsidR="00777755" w:rsidRPr="00253336" w:rsidRDefault="00777755" w:rsidP="00253336">
      <w:pPr>
        <w:pStyle w:val="Akapitzlist"/>
        <w:numPr>
          <w:ilvl w:val="0"/>
          <w:numId w:val="1"/>
        </w:numPr>
        <w:tabs>
          <w:tab w:val="left" w:leader="dot" w:pos="9498"/>
        </w:tabs>
        <w:jc w:val="both"/>
        <w:rPr>
          <w:rFonts w:ascii="Calibri" w:hAnsi="Calibri"/>
        </w:rPr>
      </w:pPr>
      <w:r w:rsidRPr="00253336">
        <w:rPr>
          <w:rFonts w:ascii="Calibri" w:hAnsi="Calibri"/>
        </w:rPr>
        <w:t xml:space="preserve">Wymagany okres gwarancji nie krótszy niż </w:t>
      </w:r>
      <w:r w:rsidRPr="00253336">
        <w:rPr>
          <w:rFonts w:ascii="Calibri" w:hAnsi="Calibri"/>
          <w:b/>
        </w:rPr>
        <w:t>24 miesiące</w:t>
      </w:r>
      <w:r w:rsidRPr="00253336">
        <w:rPr>
          <w:rFonts w:ascii="Calibri" w:hAnsi="Calibri"/>
        </w:rPr>
        <w:t xml:space="preserve"> chyba, że w specyfikacji </w:t>
      </w:r>
      <w:proofErr w:type="spellStart"/>
      <w:r w:rsidRPr="00253336">
        <w:rPr>
          <w:rFonts w:ascii="Calibri" w:hAnsi="Calibri"/>
        </w:rPr>
        <w:t>techniczno</w:t>
      </w:r>
      <w:proofErr w:type="spellEnd"/>
      <w:r w:rsidRPr="00253336">
        <w:rPr>
          <w:rFonts w:ascii="Calibri" w:hAnsi="Calibri"/>
        </w:rPr>
        <w:t xml:space="preserve"> - cenowej podano inaczej (załącznik nr 5 do SWZ). Okres gwarancji zostanie zwiększony na cały zamawiany asortyment  o okres oferowany przez Wykonawcę wybranego w postępowaniu przetargowym.</w:t>
      </w:r>
    </w:p>
    <w:p w:rsidR="00777755" w:rsidRPr="00253336" w:rsidRDefault="00777755" w:rsidP="00253336">
      <w:pPr>
        <w:pStyle w:val="Akapitzlist"/>
        <w:numPr>
          <w:ilvl w:val="0"/>
          <w:numId w:val="1"/>
        </w:numPr>
        <w:tabs>
          <w:tab w:val="left" w:leader="dot" w:pos="9498"/>
        </w:tabs>
        <w:jc w:val="both"/>
        <w:rPr>
          <w:rFonts w:ascii="Calibri" w:hAnsi="Calibri"/>
        </w:rPr>
      </w:pPr>
      <w:r w:rsidRPr="00253336">
        <w:rPr>
          <w:rFonts w:ascii="Calibri" w:hAnsi="Calibri"/>
        </w:rPr>
        <w:t>Czas dostawy dla pojedynczego zapotrzebowania zgodny z podanym w wybranej w wyniku postępowania przetargowego ofercie ( nie dłuższy jednak niż 10 dni)</w:t>
      </w:r>
    </w:p>
    <w:p w:rsidR="00777755" w:rsidRPr="00253336" w:rsidRDefault="00777755" w:rsidP="00253336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253336">
        <w:rPr>
          <w:rFonts w:ascii="Calibri" w:hAnsi="Calibri"/>
        </w:rPr>
        <w:t>Czas reakcji nie dłuższy niż 48 godz. od zgłoszenia;</w:t>
      </w:r>
    </w:p>
    <w:p w:rsidR="00777755" w:rsidRPr="00253336" w:rsidRDefault="00777755" w:rsidP="00253336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253336">
        <w:rPr>
          <w:rFonts w:ascii="Calibri" w:hAnsi="Calibri"/>
        </w:rPr>
        <w:t>Czas naprawy/wymiany</w:t>
      </w:r>
      <w:r w:rsidRPr="00253336">
        <w:rPr>
          <w:rFonts w:ascii="Calibri" w:eastAsia="Calibri" w:hAnsi="Calibri"/>
          <w:lang w:eastAsia="en-US"/>
        </w:rPr>
        <w:t xml:space="preserve"> </w:t>
      </w:r>
      <w:r w:rsidRPr="00253336">
        <w:rPr>
          <w:rFonts w:ascii="Calibri" w:hAnsi="Calibri"/>
        </w:rPr>
        <w:t>zgodny z podanym w wybranej w wyniku postępowania przetargowego ofercie  (nie dłuższy jednak niż 14 dni).</w:t>
      </w:r>
    </w:p>
    <w:p w:rsidR="00777755" w:rsidRDefault="00777755" w:rsidP="002009ED">
      <w:pPr>
        <w:tabs>
          <w:tab w:val="left" w:leader="dot" w:pos="9498"/>
        </w:tabs>
        <w:contextualSpacing/>
        <w:rPr>
          <w:rFonts w:ascii="Calibri" w:hAnsi="Calibri"/>
        </w:rPr>
      </w:pPr>
    </w:p>
    <w:p w:rsidR="00777755" w:rsidRDefault="00777755" w:rsidP="002009ED">
      <w:pPr>
        <w:tabs>
          <w:tab w:val="left" w:leader="dot" w:pos="9498"/>
        </w:tabs>
        <w:contextualSpacing/>
        <w:rPr>
          <w:rFonts w:ascii="Calibri" w:hAnsi="Calibri"/>
        </w:rPr>
      </w:pPr>
      <w:bookmarkStart w:id="1" w:name="_GoBack"/>
      <w:bookmarkEnd w:id="1"/>
    </w:p>
    <w:sectPr w:rsidR="0077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2FBC"/>
    <w:multiLevelType w:val="hybridMultilevel"/>
    <w:tmpl w:val="D26AC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A72"/>
    <w:multiLevelType w:val="hybridMultilevel"/>
    <w:tmpl w:val="A230A94C"/>
    <w:lvl w:ilvl="0" w:tplc="18C0F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ED"/>
    <w:rsid w:val="002009ED"/>
    <w:rsid w:val="00253336"/>
    <w:rsid w:val="0048212D"/>
    <w:rsid w:val="00777755"/>
    <w:rsid w:val="00880DDA"/>
    <w:rsid w:val="00B801F6"/>
    <w:rsid w:val="00B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EB6B-18C7-4979-96C0-E31AA4ED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E52B1615</Template>
  <TotalTime>15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Paweł Lembicz</cp:lastModifiedBy>
  <cp:revision>6</cp:revision>
  <dcterms:created xsi:type="dcterms:W3CDTF">2024-03-11T13:16:00Z</dcterms:created>
  <dcterms:modified xsi:type="dcterms:W3CDTF">2024-03-29T13:04:00Z</dcterms:modified>
</cp:coreProperties>
</file>