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KRS/CEiDG)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4CF8F30F" w:rsidR="00BD2E9E" w:rsidRPr="00CA2511" w:rsidRDefault="005C0BDB" w:rsidP="00355FCA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5FCA" w:rsidRPr="00355FCA">
        <w:rPr>
          <w:rFonts w:asciiTheme="minorHAnsi" w:hAnsiTheme="minorHAnsi" w:cstheme="minorHAnsi"/>
          <w:b/>
          <w:sz w:val="22"/>
          <w:szCs w:val="22"/>
        </w:rPr>
        <w:t xml:space="preserve">Ubezpieczenie pojazdów mechanicznych i ciągników używanych w Administracji Centralnej </w:t>
      </w:r>
      <w:bookmarkStart w:id="0" w:name="_GoBack"/>
      <w:bookmarkEnd w:id="0"/>
      <w:r w:rsidR="00355FCA" w:rsidRPr="00355FCA">
        <w:rPr>
          <w:rFonts w:asciiTheme="minorHAnsi" w:hAnsiTheme="minorHAnsi" w:cstheme="minorHAnsi"/>
          <w:b/>
          <w:sz w:val="22"/>
          <w:szCs w:val="22"/>
        </w:rPr>
        <w:t>i na Wydziale Chemii PW w zakresie OC, ZK, AC, Assistance i NNW (na rok)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(t.j.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F1E0" w14:textId="77777777" w:rsidR="00E9157C" w:rsidRDefault="00E9157C">
      <w:r>
        <w:separator/>
      </w:r>
    </w:p>
  </w:endnote>
  <w:endnote w:type="continuationSeparator" w:id="0">
    <w:p w14:paraId="505E83F5" w14:textId="77777777" w:rsidR="00E9157C" w:rsidRDefault="00E9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8291" w14:textId="77777777" w:rsidR="00E9157C" w:rsidRDefault="00E9157C">
      <w:r>
        <w:separator/>
      </w:r>
    </w:p>
  </w:footnote>
  <w:footnote w:type="continuationSeparator" w:id="0">
    <w:p w14:paraId="4602CC23" w14:textId="77777777" w:rsidR="00E9157C" w:rsidRDefault="00E9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7C6B8C4A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355FCA">
      <w:rPr>
        <w:rFonts w:ascii="Calibri Light" w:hAnsi="Calibri Light" w:cs="Calibri Light"/>
        <w:sz w:val="20"/>
      </w:rPr>
      <w:t>57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5FC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60A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5841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57C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ED37-9696-4E07-91F2-C574587D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9</cp:revision>
  <cp:lastPrinted>2022-05-09T13:43:00Z</cp:lastPrinted>
  <dcterms:created xsi:type="dcterms:W3CDTF">2022-02-18T08:53:00Z</dcterms:created>
  <dcterms:modified xsi:type="dcterms:W3CDTF">2022-11-15T11:19:00Z</dcterms:modified>
</cp:coreProperties>
</file>