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CE" w:rsidRPr="00E23621" w:rsidRDefault="008E2796" w:rsidP="00E30DC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4472C4" w:themeColor="accent5"/>
          <w:sz w:val="19"/>
          <w:szCs w:val="19"/>
        </w:rPr>
      </w:pPr>
      <w:r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1. </w:t>
      </w:r>
      <w:r w:rsidR="00E30DCE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Zwracamy się z pytaniem, czy zamawiający uzna za równoważne rozwiązanie pozwalające na instalacje</w:t>
      </w:r>
    </w:p>
    <w:p w:rsidR="008F59BF" w:rsidRPr="00E23621" w:rsidRDefault="00E30DCE" w:rsidP="00E30DCE">
      <w:pPr>
        <w:rPr>
          <w:rFonts w:ascii="DejaVuSansCondensed" w:hAnsi="DejaVuSansCondensed" w:cs="DejaVuSansCondensed"/>
          <w:color w:val="4472C4" w:themeColor="accent5"/>
          <w:sz w:val="19"/>
          <w:szCs w:val="19"/>
        </w:rPr>
      </w:pPr>
      <w:r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procesorów co najmniej 60 rdzeniowych?</w:t>
      </w:r>
    </w:p>
    <w:p w:rsidR="00E30DCE" w:rsidRDefault="008E2796" w:rsidP="00E30DCE">
      <w:proofErr w:type="spellStart"/>
      <w:r>
        <w:t>Odp</w:t>
      </w:r>
      <w:proofErr w:type="spellEnd"/>
      <w:r>
        <w:t xml:space="preserve"> 1. </w:t>
      </w:r>
      <w:r w:rsidR="00E30DCE">
        <w:t>Zamawiający dopuszcza instalację procesorów co najmniej 60 rdzeniowych</w:t>
      </w:r>
    </w:p>
    <w:p w:rsidR="00E30DCE" w:rsidRDefault="00E30DCE" w:rsidP="00E30DCE">
      <w:pPr>
        <w:rPr>
          <w:rFonts w:ascii="DejaVuSansCondensed" w:hAnsi="DejaVuSansCondensed" w:cs="DejaVuSansCondensed"/>
          <w:color w:val="666666"/>
          <w:sz w:val="19"/>
          <w:szCs w:val="19"/>
        </w:rPr>
      </w:pPr>
    </w:p>
    <w:p w:rsidR="00E30DCE" w:rsidRPr="00E23621" w:rsidRDefault="008E2796" w:rsidP="00A141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4472C4" w:themeColor="accent5"/>
          <w:sz w:val="19"/>
          <w:szCs w:val="19"/>
        </w:rPr>
      </w:pPr>
      <w:r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2. </w:t>
      </w:r>
      <w:r w:rsid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Czy </w:t>
      </w:r>
      <w:r>
        <w:rPr>
          <w:rFonts w:ascii="DejaVuSansCondensed" w:hAnsi="DejaVuSansCondensed" w:cs="DejaVuSansCondensed"/>
          <w:color w:val="4472C4" w:themeColor="accent5"/>
          <w:sz w:val="19"/>
          <w:szCs w:val="19"/>
        </w:rPr>
        <w:t>Z</w:t>
      </w:r>
      <w:r w:rsidR="00E30DCE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amawiający uzna za równoważne serwery posiadające płytę główna</w:t>
      </w:r>
      <w:r w:rsidR="00A14106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 </w:t>
      </w:r>
      <w:r w:rsidR="00E30DCE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pozwalającą na obsadzeni</w:t>
      </w:r>
      <w:r w:rsidR="00E30DCE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e 24/</w:t>
      </w:r>
      <w:r w:rsidR="00E30DCE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12 per procesor kości RAM obsługujące do 6TB pamięci operacyjnej RAM?</w:t>
      </w:r>
    </w:p>
    <w:p w:rsidR="00A14106" w:rsidRDefault="00A14106" w:rsidP="00E30DCE"/>
    <w:p w:rsidR="00E23621" w:rsidRPr="00E23621" w:rsidRDefault="008E2796" w:rsidP="00E30DCE">
      <w:bookmarkStart w:id="0" w:name="_GoBack"/>
      <w:bookmarkEnd w:id="0"/>
      <w:proofErr w:type="spellStart"/>
      <w:r>
        <w:t>Odp</w:t>
      </w:r>
      <w:proofErr w:type="spellEnd"/>
      <w:r>
        <w:t xml:space="preserve"> 2.</w:t>
      </w:r>
      <w:r w:rsidR="00393761">
        <w:t xml:space="preserve"> </w:t>
      </w:r>
      <w:r w:rsidR="00E30DCE">
        <w:t>Zamawiający modyfikuje zapis dot. pamięci RAM na następujący: min. 24 gniazda pamięci RAM DDR</w:t>
      </w:r>
      <w:r w:rsidR="00E23621">
        <w:t>5, obsługa min. 6TB pamięci RAM</w:t>
      </w:r>
    </w:p>
    <w:p w:rsidR="00E23621" w:rsidRDefault="00E23621" w:rsidP="00E30DCE">
      <w:pPr>
        <w:rPr>
          <w:rFonts w:ascii="DejaVuSansCondensed" w:hAnsi="DejaVuSansCondensed" w:cs="DejaVuSansCondensed"/>
          <w:color w:val="666666"/>
          <w:sz w:val="19"/>
          <w:szCs w:val="19"/>
        </w:rPr>
      </w:pPr>
    </w:p>
    <w:p w:rsidR="00E30DCE" w:rsidRPr="00E23621" w:rsidRDefault="008E2796" w:rsidP="008E279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4472C4" w:themeColor="accent5"/>
          <w:sz w:val="19"/>
          <w:szCs w:val="19"/>
        </w:rPr>
      </w:pPr>
      <w:r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3. 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Czy Zamawiający dopuszcza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 modyfikację 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OPZ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 poprzez wykreś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lenie 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wymagania „Memory </w:t>
      </w:r>
      <w:proofErr w:type="spellStart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Scrubbing</w:t>
      </w:r>
      <w:proofErr w:type="spellEnd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; SDDC; Memory Mirroring; ADDDC” oraz wprowadzenie równoważnoś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ci 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przez zaoferowanie serwera oferującego zabezpieczenie pamięci RAM serwera dzię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ki mechanizmom RAS </w:t>
      </w:r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(Memory </w:t>
      </w:r>
      <w:proofErr w:type="spellStart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Reliability</w:t>
      </w:r>
      <w:proofErr w:type="spellEnd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, </w:t>
      </w:r>
      <w:proofErr w:type="spellStart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Availability</w:t>
      </w:r>
      <w:proofErr w:type="spellEnd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, and </w:t>
      </w:r>
      <w:proofErr w:type="spellStart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Serviceability</w:t>
      </w:r>
      <w:proofErr w:type="spellEnd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) realizowanym przez Advanced Memory Device</w:t>
      </w:r>
      <w:r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 </w:t>
      </w:r>
      <w:proofErr w:type="spellStart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Correction</w:t>
      </w:r>
      <w:proofErr w:type="spellEnd"/>
      <w:r w:rsidR="00E23621"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.”</w:t>
      </w:r>
    </w:p>
    <w:p w:rsidR="00E30DCE" w:rsidRDefault="00E30DCE" w:rsidP="00E30DCE">
      <w:pPr>
        <w:rPr>
          <w:rFonts w:ascii="DejaVuSansCondensed" w:hAnsi="DejaVuSansCondensed" w:cs="DejaVuSansCondensed"/>
          <w:color w:val="666666"/>
          <w:sz w:val="19"/>
          <w:szCs w:val="19"/>
        </w:rPr>
      </w:pPr>
    </w:p>
    <w:p w:rsidR="00E30DCE" w:rsidRDefault="008E2796" w:rsidP="00E30DCE">
      <w:proofErr w:type="spellStart"/>
      <w:r>
        <w:t>Odp</w:t>
      </w:r>
      <w:proofErr w:type="spellEnd"/>
      <w:r>
        <w:t xml:space="preserve"> 3. </w:t>
      </w:r>
      <w:r w:rsidR="00E30DCE">
        <w:t xml:space="preserve">Zamawiający dopuszcza jako równoważne do rozwiązania „Memory </w:t>
      </w:r>
      <w:proofErr w:type="spellStart"/>
      <w:r w:rsidR="00E30DCE">
        <w:t>Scrubbing</w:t>
      </w:r>
      <w:proofErr w:type="spellEnd"/>
      <w:r w:rsidR="00E30DCE">
        <w:t xml:space="preserve">; SDDC; Memory Mirroring; ADDDC” wyposażenie serwera w mechanizmy RAS (Memory </w:t>
      </w:r>
      <w:proofErr w:type="spellStart"/>
      <w:r w:rsidR="00E30DCE">
        <w:t>Reliability</w:t>
      </w:r>
      <w:proofErr w:type="spellEnd"/>
      <w:r w:rsidR="00E30DCE">
        <w:t xml:space="preserve">, </w:t>
      </w:r>
      <w:proofErr w:type="spellStart"/>
      <w:r w:rsidR="00E30DCE">
        <w:t>Availability</w:t>
      </w:r>
      <w:proofErr w:type="spellEnd"/>
      <w:r w:rsidR="00E30DCE">
        <w:t xml:space="preserve">, and </w:t>
      </w:r>
      <w:proofErr w:type="spellStart"/>
      <w:r w:rsidR="00E30DCE">
        <w:t>Serviceability</w:t>
      </w:r>
      <w:proofErr w:type="spellEnd"/>
      <w:r w:rsidR="00E30DCE">
        <w:t xml:space="preserve">) realizowanym przez Advanced Memory Device </w:t>
      </w:r>
      <w:proofErr w:type="spellStart"/>
      <w:r w:rsidR="00E30DCE">
        <w:t>Correction</w:t>
      </w:r>
      <w:proofErr w:type="spellEnd"/>
      <w:r w:rsidR="00E30DCE">
        <w:t>.</w:t>
      </w:r>
    </w:p>
    <w:p w:rsidR="008E2796" w:rsidRDefault="008E2796" w:rsidP="00E30DCE"/>
    <w:p w:rsidR="008E2796" w:rsidRPr="00E23621" w:rsidRDefault="008E2796" w:rsidP="008E279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4472C4" w:themeColor="accent5"/>
          <w:sz w:val="19"/>
          <w:szCs w:val="19"/>
        </w:rPr>
      </w:pPr>
      <w:r>
        <w:rPr>
          <w:rFonts w:ascii="DejaVuSansCondensed" w:hAnsi="DejaVuSansCondensed" w:cs="DejaVuSansCondensed"/>
          <w:color w:val="4472C4" w:themeColor="accent5"/>
          <w:sz w:val="19"/>
          <w:szCs w:val="19"/>
        </w:rPr>
        <w:t xml:space="preserve">4. </w:t>
      </w:r>
      <w:r w:rsidRPr="00E23621">
        <w:rPr>
          <w:rFonts w:ascii="DejaVuSansCondensed" w:hAnsi="DejaVuSansCondensed" w:cs="DejaVuSansCondensed"/>
          <w:color w:val="4472C4" w:themeColor="accent5"/>
          <w:sz w:val="19"/>
          <w:szCs w:val="19"/>
        </w:rPr>
        <w:t>Czy Zamawiający uzna za równoważne rozwiązanie zaoferowanie serwera wyposażonego w 1 procesor 16 rdzeniowy 64 bitowy o częstotliwości taktowania co najmniej 4,1 GHz umożliwiające osiągnięcie wydajności w teście SPECrate2017_fp_base co najmniej 298 punktów w konfiguracji jednoprocesorowej.</w:t>
      </w:r>
    </w:p>
    <w:p w:rsidR="008E2796" w:rsidRDefault="008E2796" w:rsidP="008E279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:rsidR="008E2796" w:rsidRDefault="008E2796" w:rsidP="008E2796">
      <w:proofErr w:type="spellStart"/>
      <w:r>
        <w:t>Odp</w:t>
      </w:r>
      <w:proofErr w:type="spellEnd"/>
      <w:r>
        <w:t xml:space="preserve"> 4. </w:t>
      </w:r>
      <w:r>
        <w:t>Zamawiający podtrzymuje wymaganie odnośnie dostawy maszyn 2-procesorowych. Jest to istotne z punktu widzenia ciągłości ich działania.</w:t>
      </w:r>
    </w:p>
    <w:p w:rsidR="008E2796" w:rsidRDefault="008E2796" w:rsidP="00E30DCE"/>
    <w:sectPr w:rsidR="008E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0D"/>
    <w:rsid w:val="002D4A0D"/>
    <w:rsid w:val="00393761"/>
    <w:rsid w:val="008E2796"/>
    <w:rsid w:val="008F59BF"/>
    <w:rsid w:val="00A14106"/>
    <w:rsid w:val="00B71E28"/>
    <w:rsid w:val="00E23621"/>
    <w:rsid w:val="00E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D3BE-4779-44DA-A316-BA5F625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Jarosz</dc:creator>
  <cp:keywords/>
  <dc:description/>
  <cp:lastModifiedBy>Renata Jarosz</cp:lastModifiedBy>
  <cp:revision>2</cp:revision>
  <dcterms:created xsi:type="dcterms:W3CDTF">2024-06-28T11:15:00Z</dcterms:created>
  <dcterms:modified xsi:type="dcterms:W3CDTF">2024-06-28T11:15:00Z</dcterms:modified>
</cp:coreProperties>
</file>