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F7" w:rsidRDefault="004E7102">
      <w:pPr>
        <w:jc w:val="right"/>
        <w:rPr>
          <w:b/>
          <w:sz w:val="22"/>
        </w:rPr>
      </w:pPr>
      <w:r>
        <w:rPr>
          <w:b/>
          <w:sz w:val="22"/>
        </w:rPr>
        <w:t>Załącznik nr 4</w:t>
      </w:r>
      <w:r w:rsidR="000E253C">
        <w:rPr>
          <w:b/>
          <w:sz w:val="22"/>
        </w:rPr>
        <w:t xml:space="preserve"> do SWZ</w:t>
      </w:r>
    </w:p>
    <w:p w:rsidR="00FB60F7" w:rsidRDefault="00FB60F7"/>
    <w:p w:rsidR="00FB60F7" w:rsidRPr="008D5E67" w:rsidRDefault="004E7102">
      <w:pPr>
        <w:rPr>
          <w:b/>
          <w:sz w:val="32"/>
        </w:rPr>
      </w:pPr>
      <w:r w:rsidRPr="008D5E67">
        <w:rPr>
          <w:b/>
          <w:sz w:val="32"/>
        </w:rPr>
        <w:t>OPIS PRZEDMIOTU ZAMÓWIENIA</w:t>
      </w:r>
    </w:p>
    <w:p w:rsidR="00FB60F7" w:rsidRDefault="00FB60F7"/>
    <w:p w:rsidR="00FB60F7" w:rsidRPr="008D5E67" w:rsidRDefault="004E7102">
      <w:pPr>
        <w:pStyle w:val="Akapitzlist"/>
        <w:numPr>
          <w:ilvl w:val="0"/>
          <w:numId w:val="1"/>
        </w:numPr>
        <w:ind w:left="426"/>
        <w:rPr>
          <w:b/>
          <w:sz w:val="32"/>
        </w:rPr>
      </w:pPr>
      <w:r w:rsidRPr="008D5E67">
        <w:rPr>
          <w:b/>
          <w:sz w:val="32"/>
        </w:rPr>
        <w:t>Przedmiot zamówienia</w:t>
      </w:r>
      <w:r w:rsidR="008D5E67" w:rsidRPr="008D5E67">
        <w:rPr>
          <w:b/>
          <w:sz w:val="32"/>
        </w:rPr>
        <w:t xml:space="preserve"> – zestawienie ilości:</w:t>
      </w:r>
    </w:p>
    <w:p w:rsidR="008D5E67" w:rsidRDefault="008D5E67" w:rsidP="008D5E67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351"/>
        <w:gridCol w:w="1375"/>
        <w:gridCol w:w="850"/>
      </w:tblGrid>
      <w:tr w:rsidR="008D5E67" w:rsidRPr="00C36D94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 xml:space="preserve">Część I </w:t>
            </w:r>
            <w:r w:rsidR="000E253C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–</w:t>
            </w: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E253C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 xml:space="preserve">Produkty mączne </w:t>
            </w: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15</w:t>
            </w:r>
            <w:r w:rsidR="000E253C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851000-8</w:t>
            </w:r>
          </w:p>
        </w:tc>
      </w:tr>
      <w:tr w:rsidR="008D5E67" w:rsidRPr="00C36D94" w:rsidTr="00C22CE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Jm.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 xml:space="preserve">Makaron 2-jajeczny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1</w:t>
            </w:r>
            <w:r w:rsidR="000E253C">
              <w:rPr>
                <w:lang w:eastAsia="pl-PL"/>
              </w:rPr>
              <w:t>2 0</w:t>
            </w:r>
            <w:r w:rsidRPr="00C36D94">
              <w:rPr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Część II - Ryby przetworzone i konserwowe 15200000-0</w:t>
            </w:r>
          </w:p>
        </w:tc>
      </w:tr>
      <w:tr w:rsidR="008D5E67" w:rsidRPr="00C36D94" w:rsidTr="00C22CE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Jm.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Filet z mintaja mrożony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Kostka z mintaja mrożona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Śledź osolony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Tusza z miruny mrożona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</w:tr>
      <w:tr w:rsidR="008D5E67" w:rsidRPr="00C36D94" w:rsidTr="00C22CE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</w:tr>
      <w:tr w:rsidR="008D5E67" w:rsidRPr="00C36D94" w:rsidTr="00C22CEC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</w:pP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Część I</w:t>
            </w:r>
            <w:r w:rsidR="000E253C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>II</w:t>
            </w:r>
            <w:r w:rsidRPr="00C36D94">
              <w:rPr>
                <w:rFonts w:ascii="Calibri" w:hAnsi="Calibri" w:cs="Calibri"/>
                <w:b/>
                <w:bCs/>
                <w:sz w:val="28"/>
                <w:szCs w:val="28"/>
                <w:lang w:eastAsia="pl-PL"/>
              </w:rPr>
              <w:t xml:space="preserve"> - Ryby przetworzone i konserwowe 15200000-0</w:t>
            </w:r>
          </w:p>
        </w:tc>
      </w:tr>
      <w:tr w:rsidR="008D5E67" w:rsidRPr="00C36D94" w:rsidTr="00C22CEC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Przedmiot zamówienia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Jm.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Paprykarz szczeciński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Paprykarz szczeciński alupak – 130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Sałatka makrelowa/sałatka rybna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2 100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Szprot w oleju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Szprot w pomidorach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Śledź w oleju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b/>
                <w:bCs/>
                <w:lang w:eastAsia="pl-PL"/>
              </w:rPr>
            </w:pPr>
            <w:r w:rsidRPr="00C36D94">
              <w:rPr>
                <w:b/>
                <w:bCs/>
                <w:lang w:eastAsia="pl-PL"/>
              </w:rPr>
              <w:t>Śledź w pomidorach 300-330 g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ind w:firstLineChars="100" w:firstLine="240"/>
              <w:jc w:val="right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  <w:r w:rsidRPr="00C36D94">
              <w:rPr>
                <w:lang w:eastAsia="pl-PL"/>
              </w:rPr>
              <w:t>kg</w:t>
            </w:r>
          </w:p>
        </w:tc>
      </w:tr>
      <w:tr w:rsidR="008D5E67" w:rsidRPr="00C36D94" w:rsidTr="00C22CE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lang w:eastAsia="pl-PL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</w:tr>
      <w:tr w:rsidR="008D5E67" w:rsidRPr="00C36D94" w:rsidTr="00C22CEC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jc w:val="center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E67" w:rsidRPr="00C36D94" w:rsidRDefault="008D5E67" w:rsidP="00C22CEC">
            <w:pPr>
              <w:suppressAutoHyphens w:val="0"/>
              <w:textAlignment w:val="auto"/>
              <w:rPr>
                <w:sz w:val="20"/>
                <w:lang w:eastAsia="pl-PL"/>
              </w:rPr>
            </w:pPr>
          </w:p>
        </w:tc>
      </w:tr>
    </w:tbl>
    <w:p w:rsidR="00FB60F7" w:rsidRDefault="00FB60F7"/>
    <w:p w:rsidR="00FB60F7" w:rsidRPr="008D5E67" w:rsidRDefault="004E7102">
      <w:pPr>
        <w:pStyle w:val="Akapitzlist"/>
        <w:numPr>
          <w:ilvl w:val="0"/>
          <w:numId w:val="1"/>
        </w:numPr>
        <w:ind w:left="426"/>
        <w:rPr>
          <w:b/>
          <w:sz w:val="32"/>
        </w:rPr>
      </w:pPr>
      <w:r w:rsidRPr="008D5E67">
        <w:rPr>
          <w:b/>
          <w:sz w:val="32"/>
        </w:rPr>
        <w:t>Szczegółowy opis przedmiotu zamówienia</w:t>
      </w:r>
      <w:r w:rsidR="008D5E67">
        <w:rPr>
          <w:b/>
          <w:sz w:val="32"/>
        </w:rPr>
        <w:t>:</w:t>
      </w:r>
    </w:p>
    <w:p w:rsidR="00FB60F7" w:rsidRDefault="00FB60F7"/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Część I 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-BoldMT" w:cs="TimesNewRomanPS-BoldMT"/>
          <w:sz w:val="26"/>
          <w:szCs w:val="26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-BoldMT" w:cs="TimesNewRomanPS-BoldMT"/>
          <w:sz w:val="26"/>
          <w:szCs w:val="26"/>
        </w:rPr>
        <w:t xml:space="preserve">Makaron </w:t>
      </w:r>
      <w:r>
        <w:rPr>
          <w:rFonts w:eastAsia="TimesNewRomanPSMT" w:cs="TimesNewRomanPSMT"/>
          <w:sz w:val="26"/>
          <w:szCs w:val="26"/>
        </w:rPr>
        <w:t>nie może być zbrylony, zawilgocony, zawierać szkodników i obcych zapachów. Oferowany makaron powinny być w opakowaniu oryginalnym producenta (opakowanie nieuszkodzone, zamknięte) oraz oznakowane zgodnie z wymogami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</w:t>
      </w:r>
    </w:p>
    <w:tbl>
      <w:tblPr>
        <w:tblpPr w:leftFromText="141" w:rightFromText="141" w:vertAnchor="text" w:horzAnchor="margin" w:tblpY="566"/>
        <w:tblW w:w="10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760"/>
        <w:gridCol w:w="6715"/>
      </w:tblGrid>
      <w:tr w:rsidR="00237308" w:rsidTr="00237308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Lp.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zamówienia</w:t>
            </w:r>
          </w:p>
        </w:tc>
        <w:tc>
          <w:tcPr>
            <w:tcW w:w="6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Szczegółowy opis przedmiotu zamówienia</w:t>
            </w:r>
          </w:p>
        </w:tc>
      </w:tr>
      <w:tr w:rsidR="00237308" w:rsidTr="00237308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Makaron 2-jajeczny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7308" w:rsidRDefault="00237308" w:rsidP="00237308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Produkt spożywczy wytwarzany na bazie mąki makaronowej pełnoziarnistej, wody z dodatkiem jaj. </w:t>
            </w:r>
          </w:p>
          <w:p w:rsidR="00237308" w:rsidRDefault="00237308" w:rsidP="00237308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 w:cs="TimesNewRomanPSMT"/>
                <w:sz w:val="26"/>
                <w:szCs w:val="26"/>
              </w:rPr>
            </w:pPr>
            <w:r>
              <w:rPr>
                <w:rFonts w:eastAsia="TimesNewRomanPSMT" w:cs="TimesNewRomanPSMT"/>
                <w:sz w:val="26"/>
                <w:szCs w:val="26"/>
              </w:rPr>
              <w:t>Wygląd – makaron w kształcie świderków, makaron w kształcie szerokiej wstążki, makaron w kształcie muszelki, makaron</w:t>
            </w:r>
            <w:r w:rsidR="00E36E24">
              <w:rPr>
                <w:rFonts w:eastAsia="TimesNewRomanPSMT" w:cs="TimesNewRomanPSMT"/>
                <w:sz w:val="26"/>
                <w:szCs w:val="26"/>
              </w:rPr>
              <w:t xml:space="preserve"> </w:t>
            </w:r>
            <w:r>
              <w:rPr>
                <w:rFonts w:eastAsia="TimesNewRomanPSMT" w:cs="TimesNewRomanPSMT"/>
                <w:sz w:val="26"/>
                <w:szCs w:val="26"/>
              </w:rPr>
              <w:t>w kształcie kolanka oraz w kształcie nitki.</w:t>
            </w:r>
          </w:p>
          <w:p w:rsidR="00237308" w:rsidRDefault="00237308" w:rsidP="00237308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TimesNewRomanPSMT" w:cs="TimesNewRomanPSMT"/>
                <w:sz w:val="26"/>
                <w:szCs w:val="26"/>
              </w:rPr>
            </w:pPr>
            <w:r>
              <w:rPr>
                <w:rFonts w:eastAsia="Wingdings-Regular" w:cs="Wingdings-Regular"/>
                <w:sz w:val="26"/>
                <w:szCs w:val="26"/>
              </w:rPr>
              <w:t>B</w:t>
            </w:r>
            <w:r>
              <w:rPr>
                <w:rFonts w:eastAsia="TimesNewRomanPSMT" w:cs="TimesNewRomanPSMT"/>
                <w:sz w:val="26"/>
                <w:szCs w:val="26"/>
              </w:rPr>
              <w:t>arwa – charakterystyczna dla użytych składników, od jasno żółtej do żółtej.</w:t>
            </w:r>
          </w:p>
          <w:p w:rsidR="00237308" w:rsidRDefault="00237308" w:rsidP="00237308">
            <w:pPr>
              <w:rPr>
                <w:rFonts w:eastAsia="TimesNewRomanPSMT" w:cs="TimesNewRomanPSMT"/>
                <w:sz w:val="26"/>
                <w:szCs w:val="26"/>
              </w:rPr>
            </w:pPr>
            <w:r>
              <w:rPr>
                <w:rFonts w:eastAsia="Wingdings-Regular" w:cs="Wingdings-Regular"/>
                <w:sz w:val="26"/>
                <w:szCs w:val="26"/>
              </w:rPr>
              <w:t>S</w:t>
            </w:r>
            <w:r>
              <w:rPr>
                <w:rFonts w:eastAsia="TimesNewRomanPSMT" w:cs="TimesNewRomanPSMT"/>
                <w:sz w:val="26"/>
                <w:szCs w:val="26"/>
              </w:rPr>
              <w:t>mak i zapach – charakterystyczny dla produktów mącznych.</w:t>
            </w:r>
          </w:p>
          <w:p w:rsidR="00237308" w:rsidRDefault="00237308" w:rsidP="00237308">
            <w:pPr>
              <w:rPr>
                <w:rFonts w:eastAsia="TimesNewRomanPSMT" w:cs="TimesNewRomanPSMT"/>
                <w:sz w:val="26"/>
                <w:szCs w:val="26"/>
              </w:rPr>
            </w:pPr>
            <w:r>
              <w:rPr>
                <w:rFonts w:eastAsia="TimesNewRomanPSMT" w:cs="TimesNewRomanPSMT"/>
                <w:sz w:val="26"/>
                <w:szCs w:val="26"/>
              </w:rPr>
              <w:t>Niedopuszczalne jest: obcy posmak, obcy zapach, stęchły zapach, zanieczyszczenia mechaniczne, zawilgocenie,</w:t>
            </w:r>
            <w:r>
              <w:rPr>
                <w:rFonts w:eastAsia="Wingdings-Regular" w:cs="Wingdings-Regular"/>
                <w:sz w:val="26"/>
                <w:szCs w:val="26"/>
              </w:rPr>
              <w:t xml:space="preserve"> </w:t>
            </w:r>
            <w:r>
              <w:rPr>
                <w:rFonts w:eastAsia="TimesNewRomanPSMT" w:cs="TimesNewRomanPSMT"/>
                <w:sz w:val="26"/>
                <w:szCs w:val="26"/>
              </w:rPr>
              <w:t xml:space="preserve">objawy psucia, pleśnienia, zmiana zabarwienia, uszkodzenia mechaniczne opakowań, brak oznakowania, nieszczelność. </w:t>
            </w:r>
          </w:p>
          <w:p w:rsidR="00237308" w:rsidRDefault="00237308" w:rsidP="00237308">
            <w:pPr>
              <w:rPr>
                <w:rFonts w:eastAsia="TimesNewRomanPSMT" w:cs="TimesNewRomanPSMT"/>
                <w:sz w:val="26"/>
                <w:szCs w:val="26"/>
              </w:rPr>
            </w:pPr>
            <w:r>
              <w:rPr>
                <w:rFonts w:eastAsia="TimesNewRomanPSMT" w:cs="TimesNewRomanPSMT"/>
                <w:sz w:val="26"/>
                <w:szCs w:val="26"/>
              </w:rPr>
              <w:t xml:space="preserve">Brak zanieczyszczeń fizycznych, oznak i pozostałości szkodników, brak zanieczyszczeń biologicznych, pleśni. 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Opakowania jednostkowe powinny zawierać: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nazwę dostawcy – producenta,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CourierNewPSMT" w:cs="CourierNewPSMT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adres,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CourierNewPSMT" w:cs="CourierNewPSMT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nazwę produktu,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CourierNewPSMT" w:cs="CourierNewPSMT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pojemność opakowania,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CourierNewPSMT" w:cs="CourierNewPSMT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datę – termin produkcji i przydatności do spożycia</w:t>
            </w:r>
          </w:p>
          <w:p w:rsidR="00237308" w:rsidRDefault="00237308" w:rsidP="00237308">
            <w:pPr>
              <w:pStyle w:val="Default"/>
              <w:rPr>
                <w:sz w:val="26"/>
                <w:szCs w:val="26"/>
              </w:rPr>
            </w:pPr>
            <w:r>
              <w:rPr>
                <w:rFonts w:eastAsia="CourierNewPSMT" w:cs="CourierNewPSMT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warunki przechowywania oraz pozostałe informacje zgodnie</w:t>
            </w:r>
            <w:r w:rsidR="00E36E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 aktualnie obowiązującym prawem.</w:t>
            </w:r>
          </w:p>
        </w:tc>
      </w:tr>
    </w:tbl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II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b/>
          <w:bCs/>
          <w:sz w:val="26"/>
          <w:szCs w:val="26"/>
        </w:rPr>
      </w:pPr>
    </w:p>
    <w:p w:rsidR="008D5E67" w:rsidRDefault="008D5E67" w:rsidP="008D5E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Opakowania jednostkowe powinny </w:t>
      </w:r>
      <w:r>
        <w:rPr>
          <w:rFonts w:eastAsia="HiddenHorzOCR" w:cs="HiddenHorzOCR"/>
          <w:color w:val="000000"/>
          <w:sz w:val="26"/>
          <w:szCs w:val="26"/>
        </w:rPr>
        <w:t xml:space="preserve">być </w:t>
      </w:r>
      <w:r>
        <w:rPr>
          <w:color w:val="000000"/>
          <w:sz w:val="26"/>
          <w:szCs w:val="26"/>
        </w:rPr>
        <w:t xml:space="preserve">zaopatrzone /w nadruki lub etykiety </w:t>
      </w:r>
      <w:r>
        <w:rPr>
          <w:rFonts w:eastAsia="HiddenHorzOCR" w:cs="HiddenHorzOCR"/>
          <w:color w:val="000000"/>
          <w:sz w:val="26"/>
          <w:szCs w:val="26"/>
        </w:rPr>
        <w:t xml:space="preserve">zawierające następujące </w:t>
      </w:r>
      <w:r>
        <w:rPr>
          <w:color w:val="000000"/>
          <w:sz w:val="26"/>
          <w:szCs w:val="26"/>
        </w:rPr>
        <w:t>dane:</w:t>
      </w:r>
    </w:p>
    <w:p w:rsidR="008D5E67" w:rsidRDefault="008D5E67" w:rsidP="008D5E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a) </w:t>
      </w:r>
      <w:r>
        <w:rPr>
          <w:rFonts w:eastAsia="HiddenHorzOCR" w:cs="HiddenHorzOCR"/>
          <w:color w:val="000000"/>
          <w:sz w:val="26"/>
          <w:szCs w:val="26"/>
        </w:rPr>
        <w:t xml:space="preserve">nazwę, </w:t>
      </w:r>
      <w:r>
        <w:rPr>
          <w:color w:val="000000"/>
          <w:sz w:val="26"/>
          <w:szCs w:val="26"/>
        </w:rPr>
        <w:t>adres i znak fabryczny wytwórni,</w:t>
      </w:r>
    </w:p>
    <w:p w:rsidR="008D5E67" w:rsidRDefault="008D5E67" w:rsidP="008D5E67">
      <w:pPr>
        <w:rPr>
          <w:rFonts w:eastAsia="Arial" w:cs="Arial"/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 xml:space="preserve">b) </w:t>
      </w:r>
      <w:r>
        <w:rPr>
          <w:rFonts w:eastAsia="HiddenHorzOCR" w:cs="HiddenHorzOCR"/>
          <w:color w:val="000000"/>
          <w:sz w:val="26"/>
          <w:szCs w:val="26"/>
          <w:lang w:val="de-DE"/>
        </w:rPr>
        <w:t xml:space="preserve">wagę </w:t>
      </w:r>
      <w:r>
        <w:rPr>
          <w:color w:val="000000"/>
          <w:sz w:val="26"/>
          <w:szCs w:val="26"/>
          <w:lang w:val="de-DE"/>
        </w:rPr>
        <w:t>netto</w:t>
      </w:r>
      <w:r>
        <w:rPr>
          <w:rFonts w:eastAsia="Arial" w:cs="Arial"/>
          <w:color w:val="000000"/>
          <w:sz w:val="26"/>
          <w:szCs w:val="26"/>
          <w:lang w:val="de-DE"/>
        </w:rPr>
        <w:t>,</w:t>
      </w:r>
    </w:p>
    <w:p w:rsidR="008D5E67" w:rsidRDefault="008D5E67" w:rsidP="008D5E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c) sposób przechowywania,</w:t>
      </w:r>
    </w:p>
    <w:p w:rsidR="008D5E67" w:rsidRDefault="008D5E67" w:rsidP="008D5E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d) termin przydatności do spożycia. 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060"/>
        <w:gridCol w:w="6454"/>
      </w:tblGrid>
      <w:tr w:rsidR="008D5E67" w:rsidTr="00422BE2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zamówienia</w:t>
            </w:r>
          </w:p>
        </w:tc>
        <w:tc>
          <w:tcPr>
            <w:tcW w:w="6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Szczegółowy opis przedmiotu zamówienia</w:t>
            </w:r>
          </w:p>
        </w:tc>
      </w:tr>
      <w:tr w:rsidR="008D5E67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 xml:space="preserve">Filet z mintaja mrożony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tabs>
                <w:tab w:val="left" w:pos="3382"/>
                <w:tab w:val="left" w:pos="3600"/>
              </w:tabs>
              <w:rPr>
                <w:rFonts w:eastAsia="Tahoma" w:cs="Tahoma"/>
                <w:color w:val="000000"/>
                <w:sz w:val="26"/>
                <w:szCs w:val="26"/>
              </w:rPr>
            </w:pPr>
            <w:r>
              <w:rPr>
                <w:rFonts w:eastAsia="Tahoma" w:cs="Tahoma"/>
                <w:color w:val="000000"/>
              </w:rPr>
              <w:t>Mrożony filet z mintaja ma być bez obcych zanieczyszczeń, barwa mięsa charakterystyczna dla danego gatunku, glazura techniczna maksymalnie do 5%.</w:t>
            </w:r>
            <w:r>
              <w:rPr>
                <w:rFonts w:eastAsia="Tahoma" w:cs="Tahoma"/>
                <w:color w:val="000000"/>
                <w:sz w:val="26"/>
                <w:szCs w:val="26"/>
              </w:rPr>
              <w:t xml:space="preserve"> </w:t>
            </w:r>
          </w:p>
          <w:p w:rsidR="008D5E67" w:rsidRDefault="008D5E67" w:rsidP="00C22CEC">
            <w:pPr>
              <w:tabs>
                <w:tab w:val="left" w:pos="3382"/>
                <w:tab w:val="left" w:pos="3600"/>
              </w:tabs>
              <w:rPr>
                <w:color w:val="000000"/>
                <w:sz w:val="26"/>
                <w:szCs w:val="26"/>
              </w:rPr>
            </w:pPr>
            <w:r>
              <w:rPr>
                <w:rFonts w:eastAsia="Tahoma" w:cs="Tahoma"/>
                <w:color w:val="000000"/>
                <w:sz w:val="26"/>
                <w:szCs w:val="26"/>
              </w:rPr>
              <w:t>O</w:t>
            </w:r>
            <w:r>
              <w:rPr>
                <w:color w:val="000000"/>
                <w:sz w:val="26"/>
                <w:szCs w:val="26"/>
              </w:rPr>
              <w:t>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Brak oznak rozmrożenia, filety całe z lub bez skóry, ości i obcych zanieczyszczeń, bez plam i przebarwień.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Zapach właściwy dla ryb mrożonych, po rozmrożeniu zapach ryby świeżej, niedopuszczalny gnilny. 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Tkanka mięsna po rozmrożeniu sprężysta, do osłabionej, nierozpadająca się, o prawidłowym zapachu, niedopuszczalny zapach rozkładającego się białka. 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dopuszcza się obecności zanieczyszczeń fizycznych, chemicznych, oznak i obecności pleśni, szkodników, zanieczyszczeń mikrobiologicznych i bakterii chorobotwórczych.</w:t>
            </w:r>
          </w:p>
        </w:tc>
      </w:tr>
      <w:tr w:rsidR="008D5E67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Kostka z mintaja mrożona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Produkt uzyskany z ryby białej – mintaja, bez ości, bez panierki, </w:t>
            </w:r>
            <w:r w:rsidRPr="00D8448D">
              <w:rPr>
                <w:rFonts w:eastAsia="Arial" w:cs="Arial"/>
                <w:sz w:val="26"/>
                <w:szCs w:val="26"/>
              </w:rPr>
              <w:t>glazura techniczna maksymalnie do</w:t>
            </w:r>
            <w:r>
              <w:rPr>
                <w:rFonts w:eastAsia="Arial" w:cs="Arial"/>
                <w:sz w:val="26"/>
                <w:szCs w:val="26"/>
              </w:rPr>
              <w:t xml:space="preserve"> 10</w:t>
            </w:r>
            <w:r w:rsidRPr="00D8448D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wydobywanie pojedynczych elementów z bloku, bez konieczności rozmrażania całości. 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Brak oznak rozmrożenia, filety całe z lub bez skóry, ości i obcych zanieczyszczeń, bez plam i przebarwień.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Zapach właściwy dla ryb mrożonych, po rozmrożeniu zapach ryby świeżej, niedopuszczalny gnilny.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Tkanka mięsna po rozmrożeniu sprężysta, do osłabionej, nierozpadająca się, o prawidłowym zapachu, niedopuszczalny zapach rozkładającego się białka. </w:t>
            </w:r>
          </w:p>
          <w:p w:rsidR="008D5E67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dopuszcza się obecności zanieczyszczeń fizycznych, chemicznych, oznak i obecności pleśni, szkodników, zanieczyszczeń mikrobiologicznych i bakterii chorobotwórczych.</w:t>
            </w:r>
          </w:p>
        </w:tc>
      </w:tr>
      <w:tr w:rsidR="008D5E67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Śledź osolony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000000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cs="Tahoma"/>
                <w:color w:val="000000"/>
                <w:sz w:val="26"/>
                <w:szCs w:val="26"/>
              </w:rPr>
              <w:t>Skład: filet śledziowy, sól, ocet, zaprawa śledziowa.</w:t>
            </w:r>
            <w:r w:rsidR="00E36E24">
              <w:rPr>
                <w:rFonts w:cs="Tahom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Lucida Sans Unicode" w:cs="Tahoma"/>
                <w:color w:val="000000"/>
                <w:kern w:val="1"/>
                <w:sz w:val="26"/>
                <w:szCs w:val="26"/>
                <w:lang w:eastAsia="pl-PL" w:bidi="pl-PL"/>
              </w:rPr>
              <w:t>Filety całe bez obcych zanieczyszczeń, produkt o wysokich walorach smakowych, soczysty, o delikatnej teksturze i łagodnym smaku, barwa tkanki mięsnej jasna, biała do lekko kremowej.</w:t>
            </w:r>
            <w:r w:rsidR="00E36E24">
              <w:rPr>
                <w:rFonts w:eastAsia="Lucida Sans Unicode" w:cs="Tahoma"/>
                <w:color w:val="000000"/>
                <w:kern w:val="1"/>
                <w:sz w:val="26"/>
                <w:szCs w:val="26"/>
                <w:lang w:eastAsia="pl-PL" w:bidi="pl-PL"/>
              </w:rPr>
              <w:t xml:space="preserve"> </w:t>
            </w:r>
            <w:r>
              <w:rPr>
                <w:rFonts w:eastAsia="Lucida Sans Unicode" w:cs="Tahoma"/>
                <w:color w:val="000000"/>
                <w:kern w:val="1"/>
                <w:sz w:val="26"/>
                <w:szCs w:val="26"/>
                <w:lang w:eastAsia="pl-PL" w:bidi="pl-PL"/>
              </w:rPr>
              <w:t xml:space="preserve">Cechy dyskwalifikujące: filety rozpadające się, filety o luźnej konsystencji, przebarwienia świadczące o nieświeżości filetów. </w:t>
            </w:r>
          </w:p>
        </w:tc>
      </w:tr>
      <w:tr w:rsidR="008D5E67" w:rsidTr="00422BE2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D8448D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 w:rsidRPr="00D8448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Pr="00D8448D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 w:rsidRPr="00D8448D">
              <w:rPr>
                <w:rFonts w:eastAsia="Arial" w:cs="Arial"/>
                <w:sz w:val="26"/>
              </w:rPr>
              <w:t>Tusza z miruny mrożona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Pr="00D8448D" w:rsidRDefault="008D5E67" w:rsidP="00C22CEC">
            <w:pPr>
              <w:pStyle w:val="Tekstpodstawowy3"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Arial"/>
                <w:sz w:val="26"/>
                <w:szCs w:val="26"/>
              </w:rPr>
            </w:pPr>
            <w:r w:rsidRPr="00D8448D">
              <w:rPr>
                <w:rFonts w:eastAsia="Arial" w:cs="Arial"/>
                <w:sz w:val="26"/>
                <w:szCs w:val="26"/>
              </w:rPr>
              <w:t>Mrożona tusza z miruny ma być pozbawiona głowy i ogona, wypatroszona</w:t>
            </w:r>
            <w:r>
              <w:rPr>
                <w:rFonts w:eastAsia="Arial" w:cs="Arial"/>
                <w:sz w:val="26"/>
                <w:szCs w:val="26"/>
              </w:rPr>
              <w:t xml:space="preserve"> i oczyszczona, </w:t>
            </w:r>
            <w:r w:rsidRPr="00D8448D">
              <w:rPr>
                <w:rFonts w:eastAsia="Arial" w:cs="Arial"/>
                <w:sz w:val="26"/>
                <w:szCs w:val="26"/>
              </w:rPr>
              <w:t xml:space="preserve">bez obcych zanieczyszczeń, glazura techniczna maksymalnie do 5%, barwa mięsa charakterystyczna dla danego gatunku. </w:t>
            </w:r>
          </w:p>
          <w:p w:rsidR="008D5E67" w:rsidRPr="00D8448D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auto"/>
                <w:sz w:val="26"/>
                <w:szCs w:val="26"/>
              </w:rPr>
            </w:pPr>
            <w:r w:rsidRPr="00D8448D">
              <w:rPr>
                <w:color w:val="auto"/>
                <w:sz w:val="26"/>
                <w:szCs w:val="26"/>
              </w:rPr>
              <w:t xml:space="preserve">Opakowanie zewnętrzne: szczelne, woskowane kartony. Opakowania wewnętrzne: folia; warstwy filetów przełożone folią, czyste, nieuszkodzone, szczelne, zamknięte, prawidłowo oznakowane w języku polskim, z podaną procentową zawartością ryby, elementy nieposklejane, łatwe </w:t>
            </w:r>
            <w:r w:rsidRPr="00D8448D">
              <w:rPr>
                <w:color w:val="auto"/>
                <w:sz w:val="26"/>
                <w:szCs w:val="26"/>
              </w:rPr>
              <w:lastRenderedPageBreak/>
              <w:t>wydobywanie pojedynczych elementów z bloku, bez konieczności rozmrażania całości.</w:t>
            </w:r>
          </w:p>
          <w:p w:rsidR="008D5E67" w:rsidRPr="00D8448D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  <w:sz w:val="26"/>
                <w:szCs w:val="26"/>
              </w:rPr>
            </w:pPr>
            <w:r w:rsidRPr="00D8448D">
              <w:rPr>
                <w:color w:val="auto"/>
                <w:sz w:val="26"/>
                <w:szCs w:val="26"/>
              </w:rPr>
              <w:t>Zapach właściwy dla ryb mrożonych, po rozmrożeniu zapach ryby świeżej, niedopuszczalny gnilny.</w:t>
            </w:r>
          </w:p>
          <w:p w:rsidR="008D5E67" w:rsidRPr="00D8448D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  <w:sz w:val="26"/>
                <w:szCs w:val="26"/>
              </w:rPr>
            </w:pPr>
            <w:r w:rsidRPr="00D8448D">
              <w:rPr>
                <w:color w:val="auto"/>
                <w:sz w:val="26"/>
                <w:szCs w:val="26"/>
              </w:rPr>
              <w:t>Tkanka mięsna po rozmrożeniu sprężysta, nierozpadająca się,</w:t>
            </w:r>
            <w:r w:rsidR="00E36E24">
              <w:rPr>
                <w:color w:val="auto"/>
                <w:sz w:val="26"/>
                <w:szCs w:val="26"/>
              </w:rPr>
              <w:t xml:space="preserve"> </w:t>
            </w:r>
            <w:r w:rsidRPr="00D8448D">
              <w:rPr>
                <w:color w:val="auto"/>
                <w:sz w:val="26"/>
                <w:szCs w:val="26"/>
              </w:rPr>
              <w:t xml:space="preserve">o prawidłowym zapachu, niedopuszczalny zapach rozkładającego się białka. </w:t>
            </w:r>
          </w:p>
          <w:p w:rsidR="008D5E67" w:rsidRPr="00D8448D" w:rsidRDefault="008D5E67" w:rsidP="00C22CEC">
            <w:pPr>
              <w:pStyle w:val="Default"/>
              <w:tabs>
                <w:tab w:val="clear" w:pos="0"/>
                <w:tab w:val="left" w:pos="3382"/>
                <w:tab w:val="left" w:pos="3600"/>
              </w:tabs>
              <w:snapToGrid w:val="0"/>
              <w:spacing w:line="100" w:lineRule="atLeast"/>
              <w:ind w:left="15"/>
              <w:rPr>
                <w:color w:val="auto"/>
                <w:sz w:val="26"/>
                <w:szCs w:val="26"/>
              </w:rPr>
            </w:pPr>
            <w:r w:rsidRPr="00D8448D">
              <w:rPr>
                <w:color w:val="auto"/>
                <w:sz w:val="26"/>
                <w:szCs w:val="26"/>
              </w:rPr>
              <w:t>Nie dopuszcza się obecności zanieczyszczeń fizycznych, chemicznych, oznak i obecności pleśni, szkodników, zanieczyszczeń mikrobiologicznych i bakterii chorobotwórczych.</w:t>
            </w:r>
          </w:p>
        </w:tc>
      </w:tr>
    </w:tbl>
    <w:p w:rsidR="00422BE2" w:rsidRDefault="00422BE2" w:rsidP="008D5E67">
      <w:pPr>
        <w:tabs>
          <w:tab w:val="left" w:pos="708"/>
        </w:tabs>
        <w:rPr>
          <w:b/>
          <w:sz w:val="28"/>
          <w:szCs w:val="28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I</w:t>
      </w:r>
      <w:r w:rsidR="000E253C">
        <w:rPr>
          <w:b/>
          <w:bCs/>
          <w:sz w:val="26"/>
          <w:szCs w:val="26"/>
        </w:rPr>
        <w:t>II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  <w:t>Oferowane artykuły spożywcze powinny być w opakowaniu oryginalnym producenta (opakowanie nieuszkodzone, zamknięte) oraz oznakowane zgodnie z wymogami tj. oznakowanie musi zawierać nazwę, pod którą środek jest wprowadzony do obrotu, wykaz i ilość składników lub kategorii składników, zawartość netto w opakowaniu, datę minimalnej trwałości lub termin przydatności do spożycia, warunki przechowywania, firmę i adres producenta lub przedsiębiorcy pakującego środek spożywczy.</w:t>
      </w:r>
    </w:p>
    <w:p w:rsidR="008D5E67" w:rsidRDefault="008D5E67" w:rsidP="008D5E67">
      <w:pPr>
        <w:tabs>
          <w:tab w:val="left" w:pos="-180"/>
          <w:tab w:val="left" w:pos="7056"/>
        </w:tabs>
        <w:spacing w:line="100" w:lineRule="atLeast"/>
        <w:ind w:left="-15"/>
        <w:jc w:val="both"/>
        <w:rPr>
          <w:rFonts w:eastAsia="TimesNewRomanPSMT" w:cs="TimesNewRomanPSMT"/>
          <w:sz w:val="26"/>
          <w:szCs w:val="26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6439"/>
      </w:tblGrid>
      <w:tr w:rsidR="008D5E67" w:rsidTr="00422BE2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zamówienia</w:t>
            </w:r>
          </w:p>
        </w:tc>
        <w:tc>
          <w:tcPr>
            <w:tcW w:w="6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Szczegółowy opis przedmiotu zamówienia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Paprykarz szczeciński w opakowaniu 300-330 g oraz alupak 130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pStyle w:val="Default"/>
              <w:tabs>
                <w:tab w:val="clear" w:pos="0"/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rPr>
                <w:color w:val="262626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Ryba rozdrobniona (min. 25%), </w:t>
            </w:r>
            <w:r>
              <w:rPr>
                <w:color w:val="262626"/>
                <w:sz w:val="26"/>
                <w:szCs w:val="26"/>
              </w:rPr>
              <w:t xml:space="preserve">z </w:t>
            </w:r>
            <w:r>
              <w:rPr>
                <w:color w:val="0C0C0C"/>
                <w:sz w:val="26"/>
                <w:szCs w:val="26"/>
              </w:rPr>
              <w:t xml:space="preserve">dodatkiem </w:t>
            </w:r>
            <w:r>
              <w:rPr>
                <w:rFonts w:eastAsia="HiddenHorzOCR" w:cs="HiddenHorzOCR"/>
                <w:color w:val="0C0C0C"/>
                <w:sz w:val="26"/>
                <w:szCs w:val="26"/>
              </w:rPr>
              <w:t xml:space="preserve">ryżu, </w:t>
            </w:r>
            <w:r>
              <w:rPr>
                <w:color w:val="0C0C0C"/>
                <w:sz w:val="26"/>
                <w:szCs w:val="26"/>
              </w:rPr>
              <w:t>warzyw</w:t>
            </w:r>
            <w:r>
              <w:rPr>
                <w:color w:val="262626"/>
                <w:sz w:val="26"/>
                <w:szCs w:val="26"/>
              </w:rPr>
              <w:t xml:space="preserve">, </w:t>
            </w:r>
            <w:r>
              <w:rPr>
                <w:color w:val="0C0C0C"/>
                <w:sz w:val="26"/>
                <w:szCs w:val="26"/>
              </w:rPr>
              <w:t>konc</w:t>
            </w:r>
            <w:r>
              <w:rPr>
                <w:color w:val="262626"/>
                <w:sz w:val="26"/>
                <w:szCs w:val="26"/>
              </w:rPr>
              <w:t>e</w:t>
            </w:r>
            <w:r>
              <w:rPr>
                <w:color w:val="0C0C0C"/>
                <w:sz w:val="26"/>
                <w:szCs w:val="26"/>
              </w:rPr>
              <w:t>ntratu pomidorowego, oleju i przypraw</w:t>
            </w:r>
            <w:r>
              <w:rPr>
                <w:color w:val="262626"/>
                <w:sz w:val="26"/>
                <w:szCs w:val="26"/>
              </w:rPr>
              <w:t>.</w:t>
            </w:r>
          </w:p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262626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Verdana" w:cs="Verdana"/>
                <w:sz w:val="26"/>
                <w:szCs w:val="26"/>
              </w:rPr>
              <w:t xml:space="preserve">Opakowanie szczelne, czyste, bez </w:t>
            </w:r>
            <w:r>
              <w:rPr>
                <w:color w:val="262626"/>
                <w:sz w:val="26"/>
                <w:szCs w:val="26"/>
              </w:rPr>
              <w:t xml:space="preserve">odkształceń, odpowiednio oznakowane. </w:t>
            </w:r>
            <w:r>
              <w:rPr>
                <w:rFonts w:eastAsia="Lucida Sans Unicode" w:cs="Tahoma"/>
                <w:color w:val="262626"/>
                <w:kern w:val="1"/>
                <w:sz w:val="26"/>
                <w:szCs w:val="26"/>
                <w:lang w:eastAsia="pl-PL" w:bidi="pl-PL"/>
              </w:rPr>
              <w:t>Opakowanie jednostkowe: puszka łatwo otwieralna.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Sałatka rybna/sałatka makrelowa w opakowaniu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color w:val="262626"/>
                <w:sz w:val="26"/>
                <w:szCs w:val="26"/>
              </w:rPr>
            </w:pPr>
            <w:r>
              <w:rPr>
                <w:color w:val="0C0C0C"/>
                <w:sz w:val="26"/>
                <w:szCs w:val="26"/>
              </w:rPr>
              <w:t xml:space="preserve">Mieszanina rozdrobnionego </w:t>
            </w:r>
            <w:r>
              <w:rPr>
                <w:rFonts w:eastAsia="HiddenHorzOCR" w:cs="HiddenHorzOCR"/>
                <w:color w:val="0C0C0C"/>
                <w:sz w:val="26"/>
                <w:szCs w:val="26"/>
              </w:rPr>
              <w:t xml:space="preserve">mięsa </w:t>
            </w:r>
            <w:r>
              <w:rPr>
                <w:color w:val="0C0C0C"/>
                <w:sz w:val="26"/>
                <w:szCs w:val="26"/>
              </w:rPr>
              <w:t xml:space="preserve">makreli lub innej ryby w </w:t>
            </w:r>
            <w:r>
              <w:rPr>
                <w:rFonts w:eastAsia="HiddenHorzOCR" w:cs="HiddenHorzOCR"/>
                <w:color w:val="0C0C0C"/>
                <w:sz w:val="26"/>
                <w:szCs w:val="26"/>
              </w:rPr>
              <w:t xml:space="preserve">ilości </w:t>
            </w:r>
            <w:r>
              <w:rPr>
                <w:color w:val="0C0C0C"/>
                <w:sz w:val="26"/>
                <w:szCs w:val="26"/>
              </w:rPr>
              <w:t xml:space="preserve">nie mniejszej </w:t>
            </w:r>
            <w:r>
              <w:rPr>
                <w:rFonts w:eastAsia="HiddenHorzOCR" w:cs="HiddenHorzOCR"/>
                <w:color w:val="0C0C0C"/>
                <w:sz w:val="26"/>
                <w:szCs w:val="26"/>
              </w:rPr>
              <w:t xml:space="preserve">niż </w:t>
            </w:r>
            <w:r>
              <w:rPr>
                <w:color w:val="0C0C0C"/>
                <w:sz w:val="26"/>
                <w:szCs w:val="26"/>
              </w:rPr>
              <w:t>36</w:t>
            </w:r>
            <w:r>
              <w:rPr>
                <w:color w:val="262626"/>
                <w:sz w:val="26"/>
                <w:szCs w:val="26"/>
              </w:rPr>
              <w:t xml:space="preserve">% </w:t>
            </w:r>
            <w:r>
              <w:rPr>
                <w:color w:val="0C0C0C"/>
                <w:sz w:val="26"/>
                <w:szCs w:val="26"/>
              </w:rPr>
              <w:t>oraz cebuli</w:t>
            </w:r>
            <w:r>
              <w:rPr>
                <w:color w:val="262626"/>
                <w:sz w:val="26"/>
                <w:szCs w:val="26"/>
              </w:rPr>
              <w:t xml:space="preserve">, </w:t>
            </w:r>
            <w:r>
              <w:rPr>
                <w:color w:val="0C0C0C"/>
                <w:sz w:val="26"/>
                <w:szCs w:val="26"/>
              </w:rPr>
              <w:t>sel</w:t>
            </w:r>
            <w:r>
              <w:rPr>
                <w:color w:val="262626"/>
                <w:sz w:val="26"/>
                <w:szCs w:val="26"/>
              </w:rPr>
              <w:t>e</w:t>
            </w:r>
            <w:r>
              <w:rPr>
                <w:color w:val="0C0C0C"/>
                <w:sz w:val="26"/>
                <w:szCs w:val="26"/>
              </w:rPr>
              <w:t xml:space="preserve">ra, koncentratu </w:t>
            </w:r>
            <w:r>
              <w:rPr>
                <w:rFonts w:eastAsia="HiddenHorzOCR" w:cs="HiddenHorzOCR"/>
                <w:color w:val="0C0C0C"/>
                <w:sz w:val="26"/>
                <w:szCs w:val="26"/>
              </w:rPr>
              <w:t xml:space="preserve">pomidorowego, </w:t>
            </w:r>
            <w:r>
              <w:rPr>
                <w:color w:val="0C0C0C"/>
                <w:sz w:val="26"/>
                <w:szCs w:val="26"/>
              </w:rPr>
              <w:t>oleju i przypr</w:t>
            </w:r>
            <w:r>
              <w:rPr>
                <w:color w:val="262626"/>
                <w:sz w:val="26"/>
                <w:szCs w:val="26"/>
              </w:rPr>
              <w:t xml:space="preserve">aw. </w:t>
            </w:r>
          </w:p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color w:val="262626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Verdana" w:cs="Verdana"/>
                <w:sz w:val="26"/>
                <w:szCs w:val="26"/>
              </w:rPr>
              <w:t xml:space="preserve">Opakowanie szczelne, czyste, bez </w:t>
            </w:r>
            <w:r>
              <w:rPr>
                <w:rFonts w:eastAsia="Verdana" w:cs="Verdana"/>
                <w:color w:val="262626"/>
                <w:sz w:val="26"/>
                <w:szCs w:val="26"/>
              </w:rPr>
              <w:t xml:space="preserve">odkształceń, odpowiednio oznakowane. </w:t>
            </w:r>
            <w:r>
              <w:rPr>
                <w:rFonts w:eastAsia="Lucida Sans Unicode" w:cs="Tahoma"/>
                <w:color w:val="262626"/>
                <w:kern w:val="1"/>
                <w:sz w:val="26"/>
                <w:szCs w:val="26"/>
                <w:lang w:eastAsia="pl-PL" w:bidi="pl-PL"/>
              </w:rPr>
              <w:t>Opakowanie jednostkowe: puszka łatwo otwieralna.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Szprot w oleju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widowControl w:val="0"/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  <w:t xml:space="preserve">Szprot 60%, olej roślinny, woda, sól, przyprawy. </w:t>
            </w:r>
          </w:p>
          <w:p w:rsidR="008D5E67" w:rsidRDefault="008D5E67" w:rsidP="00C22CEC">
            <w:pPr>
              <w:widowControl w:val="0"/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Verdana" w:cs="Verdana"/>
                <w:kern w:val="1"/>
                <w:sz w:val="26"/>
                <w:szCs w:val="26"/>
                <w:lang w:eastAsia="pl-PL" w:bidi="pl-PL"/>
              </w:rPr>
              <w:t xml:space="preserve">Opakowanie szczelne, czyste, bez odkształceń, odpowiednio oznakowane. </w:t>
            </w:r>
            <w:r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  <w:t>Opakowanie jednostkowe: puszka łatwo otwieralna.</w:t>
            </w:r>
            <w:r w:rsidR="00E36E24"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  <w:t xml:space="preserve"> 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Szprot w pomidorach</w:t>
            </w:r>
            <w:r w:rsidR="00E36E24">
              <w:rPr>
                <w:rFonts w:eastAsia="Arial" w:cs="Arial"/>
                <w:sz w:val="26"/>
              </w:rPr>
              <w:t xml:space="preserve"> </w:t>
            </w:r>
            <w:r>
              <w:rPr>
                <w:rFonts w:eastAsia="Arial" w:cs="Arial"/>
                <w:sz w:val="26"/>
              </w:rPr>
              <w:t>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suppressLineNumbers/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Tahoma"/>
                <w:sz w:val="26"/>
                <w:szCs w:val="26"/>
              </w:rPr>
            </w:pPr>
            <w:r>
              <w:rPr>
                <w:rFonts w:eastAsia="Arial" w:cs="Tahoma"/>
                <w:sz w:val="26"/>
                <w:szCs w:val="26"/>
              </w:rPr>
              <w:t xml:space="preserve">Szprot 50%, sos pomidorowy: woda, koncentrat pomidorowy, cukier, sól spożywcza, ocet spirytusowy, skrobia modyfikowana, mąka pszenna, olej roślinny, zagęstnik: guma guar, warzywa: seler, pietruszka, przyprawy. </w:t>
            </w:r>
          </w:p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Arial" w:cs="Tahoma"/>
                <w:sz w:val="26"/>
                <w:szCs w:val="26"/>
              </w:rPr>
            </w:pPr>
            <w:r>
              <w:rPr>
                <w:rFonts w:eastAsia="Verdana" w:cs="Verdana"/>
                <w:sz w:val="26"/>
                <w:szCs w:val="26"/>
              </w:rPr>
              <w:t xml:space="preserve">Opakowanie szczelne, czyste, bez odkształceń, odpowiednio oznakowane. </w:t>
            </w:r>
            <w:r>
              <w:rPr>
                <w:rFonts w:eastAsia="Arial" w:cs="Tahoma"/>
                <w:sz w:val="26"/>
                <w:szCs w:val="26"/>
              </w:rPr>
              <w:t>Opakowanie jednostkowe: puszka łatwo otwieralna.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Śledź w oleju 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Verdana" w:cs="Verdana"/>
                <w:sz w:val="26"/>
                <w:szCs w:val="26"/>
              </w:rPr>
            </w:pPr>
            <w:r>
              <w:rPr>
                <w:rFonts w:eastAsia="Verdana" w:cs="Verdana"/>
                <w:sz w:val="26"/>
                <w:szCs w:val="26"/>
              </w:rPr>
              <w:t xml:space="preserve">Śledź 60%. Preferowane śledzie dalekomorskie, produkt o najwyższych walorach smakowych, soczysty, o delikatnej teksturze i łagodnym smaku oraz śledzie tłuste, o zawartości tłuszczu powyżej 15% i dobrych walorach smakowych. </w:t>
            </w:r>
          </w:p>
          <w:p w:rsidR="008D5E67" w:rsidRDefault="008D5E67" w:rsidP="00C22CEC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Verdana" w:cs="Verdana"/>
                <w:sz w:val="26"/>
                <w:szCs w:val="26"/>
              </w:rPr>
              <w:t xml:space="preserve">Opakowanie szczelne, czyste, bez odkształceń, odpowiednio oznakowane. </w:t>
            </w:r>
            <w:r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  <w:t>Opakowanie jednostkowe: puszka łatwo otwieralna.</w:t>
            </w:r>
          </w:p>
        </w:tc>
      </w:tr>
      <w:tr w:rsidR="008D5E67" w:rsidTr="00422BE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pStyle w:val="Zawartotabeli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</w:tcPr>
          <w:p w:rsidR="008D5E67" w:rsidRDefault="008D5E67" w:rsidP="00C22CEC">
            <w:pPr>
              <w:snapToGrid w:val="0"/>
              <w:rPr>
                <w:rFonts w:eastAsia="Arial" w:cs="Arial"/>
                <w:sz w:val="26"/>
              </w:rPr>
            </w:pPr>
            <w:r>
              <w:rPr>
                <w:rFonts w:eastAsia="Arial" w:cs="Arial"/>
                <w:sz w:val="26"/>
              </w:rPr>
              <w:t>Śledź w pomidorach</w:t>
            </w:r>
            <w:r w:rsidR="00E36E24">
              <w:rPr>
                <w:rFonts w:eastAsia="Arial" w:cs="Arial"/>
                <w:sz w:val="26"/>
              </w:rPr>
              <w:t xml:space="preserve"> </w:t>
            </w:r>
            <w:r>
              <w:rPr>
                <w:rFonts w:eastAsia="Arial" w:cs="Arial"/>
                <w:sz w:val="26"/>
              </w:rPr>
              <w:t>300-330 g</w:t>
            </w:r>
          </w:p>
        </w:tc>
        <w:tc>
          <w:tcPr>
            <w:tcW w:w="6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E67" w:rsidRDefault="008D5E67" w:rsidP="00A67CB1">
            <w:pPr>
              <w:tabs>
                <w:tab w:val="left" w:pos="5040"/>
                <w:tab w:val="left" w:pos="5475"/>
                <w:tab w:val="left" w:pos="6360"/>
                <w:tab w:val="left" w:pos="7140"/>
                <w:tab w:val="left" w:pos="14111"/>
              </w:tabs>
              <w:snapToGrid w:val="0"/>
              <w:spacing w:line="100" w:lineRule="atLeast"/>
              <w:ind w:left="15"/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</w:pPr>
            <w:r>
              <w:rPr>
                <w:rFonts w:eastAsia="Verdana" w:cs="Verdana"/>
                <w:sz w:val="26"/>
                <w:szCs w:val="26"/>
              </w:rPr>
              <w:t>Śledź 50%. Preferowane śledzie dalekomorskie. Konserwa o cechach typowych i smaku charakterystycznym dla produktu w sosie pomidorowym. Opakowanie szczelne, czyste, bez</w:t>
            </w:r>
            <w:r w:rsidR="00A67CB1">
              <w:rPr>
                <w:rFonts w:eastAsia="Verdana" w:cs="Verdana"/>
                <w:sz w:val="26"/>
                <w:szCs w:val="26"/>
              </w:rPr>
              <w:t xml:space="preserve"> </w:t>
            </w:r>
            <w:r>
              <w:rPr>
                <w:rFonts w:eastAsia="Verdana" w:cs="Verdana"/>
                <w:sz w:val="26"/>
                <w:szCs w:val="26"/>
              </w:rPr>
              <w:t xml:space="preserve">odkształceń, odpowiednio oznakowane. </w:t>
            </w:r>
            <w:r>
              <w:rPr>
                <w:rFonts w:eastAsia="Lucida Sans Unicode" w:cs="Tahoma"/>
                <w:kern w:val="1"/>
                <w:sz w:val="26"/>
                <w:szCs w:val="26"/>
                <w:lang w:eastAsia="pl-PL" w:bidi="pl-PL"/>
              </w:rPr>
              <w:t>Opakowanie jednostkowe: puszka łatwo otwieralna.</w:t>
            </w:r>
          </w:p>
          <w:p w:rsidR="008D5E67" w:rsidRDefault="008D5E67" w:rsidP="00A67CB1">
            <w:pPr>
              <w:rPr>
                <w:rFonts w:eastAsia="HiddenHorzOCR" w:cs="HiddenHorzOCR"/>
                <w:color w:val="000000"/>
                <w:sz w:val="26"/>
                <w:szCs w:val="26"/>
              </w:rPr>
            </w:pPr>
            <w:r>
              <w:rPr>
                <w:color w:val="000000"/>
                <w:sz w:val="30"/>
                <w:szCs w:val="30"/>
              </w:rPr>
              <w:t>S</w:t>
            </w:r>
            <w:r>
              <w:rPr>
                <w:color w:val="000000"/>
                <w:sz w:val="26"/>
                <w:szCs w:val="26"/>
              </w:rPr>
              <w:t>os, którego podstawowym składnikiem jest koncentrat pomidorowy, z dodatkiem oleju, kwasu octowego, cukru, soli,</w:t>
            </w:r>
            <w:r w:rsidR="00A67C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przypraw oraz </w:t>
            </w:r>
            <w:r>
              <w:rPr>
                <w:rFonts w:eastAsia="HiddenHorzOCR" w:cs="HiddenHorzOCR"/>
                <w:color w:val="000000"/>
                <w:sz w:val="26"/>
                <w:szCs w:val="26"/>
              </w:rPr>
              <w:t xml:space="preserve">mąki </w:t>
            </w:r>
            <w:r>
              <w:rPr>
                <w:rFonts w:eastAsia="Arial" w:cs="Arial"/>
                <w:color w:val="000000"/>
                <w:sz w:val="26"/>
                <w:szCs w:val="26"/>
              </w:rPr>
              <w:t xml:space="preserve">i </w:t>
            </w:r>
            <w:r>
              <w:rPr>
                <w:color w:val="000000"/>
                <w:sz w:val="26"/>
                <w:szCs w:val="26"/>
              </w:rPr>
              <w:t xml:space="preserve">warzyw lub niektórych z tych </w:t>
            </w:r>
            <w:r>
              <w:rPr>
                <w:rFonts w:eastAsia="HiddenHorzOCR" w:cs="HiddenHorzOCR"/>
                <w:color w:val="000000"/>
                <w:sz w:val="26"/>
                <w:szCs w:val="26"/>
              </w:rPr>
              <w:t>składników.</w:t>
            </w:r>
          </w:p>
        </w:tc>
      </w:tr>
    </w:tbl>
    <w:p w:rsidR="00422BE2" w:rsidRDefault="00422BE2" w:rsidP="008D5E67">
      <w:pPr>
        <w:tabs>
          <w:tab w:val="left" w:pos="708"/>
        </w:tabs>
        <w:rPr>
          <w:b/>
          <w:sz w:val="28"/>
          <w:szCs w:val="28"/>
        </w:rPr>
      </w:pPr>
    </w:p>
    <w:p w:rsidR="00FB60F7" w:rsidRPr="00422BE2" w:rsidRDefault="004E7102">
      <w:pPr>
        <w:pStyle w:val="Akapitzlist"/>
        <w:numPr>
          <w:ilvl w:val="0"/>
          <w:numId w:val="1"/>
        </w:numPr>
        <w:ind w:left="426"/>
        <w:rPr>
          <w:b/>
          <w:sz w:val="32"/>
        </w:rPr>
      </w:pPr>
      <w:bookmarkStart w:id="0" w:name="_GoBack"/>
      <w:bookmarkEnd w:id="0"/>
      <w:r w:rsidRPr="00422BE2">
        <w:rPr>
          <w:b/>
          <w:sz w:val="32"/>
        </w:rPr>
        <w:t>Sposób realizacji zamówienia</w:t>
      </w:r>
      <w:r w:rsidR="00422BE2">
        <w:rPr>
          <w:b/>
          <w:sz w:val="32"/>
        </w:rPr>
        <w:t>:</w:t>
      </w:r>
    </w:p>
    <w:p w:rsidR="00422BE2" w:rsidRDefault="00422BE2" w:rsidP="00422BE2"/>
    <w:p w:rsidR="00422BE2" w:rsidRDefault="00422BE2" w:rsidP="001E7FDB">
      <w:pPr>
        <w:pStyle w:val="Akapitzlist"/>
        <w:numPr>
          <w:ilvl w:val="0"/>
          <w:numId w:val="11"/>
        </w:numPr>
        <w:overflowPunct w:val="0"/>
        <w:autoSpaceDE w:val="0"/>
        <w:autoSpaceDN/>
        <w:spacing w:line="240" w:lineRule="auto"/>
        <w:ind w:left="426"/>
        <w:jc w:val="both"/>
        <w:textAlignment w:val="auto"/>
      </w:pPr>
      <w:r>
        <w:t>Wykonawca zobowiązany jest dostarczyć ww. artykuły własnym transportem i na własny koszt w ilościach wynikających z wcześniejszych uzgodnień telefonicznych z uprawnionymi przedstawicielami Zamawiającego.</w:t>
      </w:r>
    </w:p>
    <w:p w:rsidR="00422BE2" w:rsidRDefault="00422BE2" w:rsidP="001E7FDB">
      <w:pPr>
        <w:pStyle w:val="Akapitzlist"/>
        <w:numPr>
          <w:ilvl w:val="0"/>
          <w:numId w:val="11"/>
        </w:numPr>
        <w:overflowPunct w:val="0"/>
        <w:autoSpaceDE w:val="0"/>
        <w:autoSpaceDN/>
        <w:spacing w:line="240" w:lineRule="auto"/>
        <w:ind w:left="426"/>
        <w:jc w:val="both"/>
        <w:textAlignment w:val="auto"/>
      </w:pPr>
      <w:r>
        <w:t>Dostarczane artykuły będące przedmiotem umowy będą przewożone:</w:t>
      </w:r>
    </w:p>
    <w:p w:rsidR="00422BE2" w:rsidRDefault="00422BE2" w:rsidP="00422BE2">
      <w:pPr>
        <w:tabs>
          <w:tab w:val="left" w:pos="708"/>
        </w:tabs>
        <w:ind w:left="567"/>
        <w:jc w:val="both"/>
      </w:pPr>
      <w:r>
        <w:t>a) specjalistycznym środkiem transportu posiadającym konstrukcję i wyposażenie odpowiednie do rodzaju przewożonych artykułów zapewniające właściwą temperaturę przewożonego przedmiotu zamówienia;</w:t>
      </w:r>
    </w:p>
    <w:p w:rsidR="00422BE2" w:rsidRDefault="00422BE2" w:rsidP="00422BE2">
      <w:pPr>
        <w:tabs>
          <w:tab w:val="left" w:pos="708"/>
        </w:tabs>
        <w:ind w:left="567"/>
        <w:jc w:val="both"/>
      </w:pPr>
      <w:r>
        <w:t>b) we własnych czystych skrzynkach, które będą opakowaniami zwrotnymi;</w:t>
      </w:r>
    </w:p>
    <w:p w:rsidR="00422BE2" w:rsidRDefault="00422BE2" w:rsidP="00422BE2">
      <w:pPr>
        <w:tabs>
          <w:tab w:val="left" w:pos="708"/>
        </w:tabs>
        <w:ind w:left="567"/>
        <w:jc w:val="both"/>
      </w:pPr>
      <w:r>
        <w:t>c) zarówno środek transportu jak też pojemniki muszą spełniać wymagania sanitarne dotyczące transportu żywności.</w:t>
      </w:r>
      <w:r w:rsidR="00E36E24">
        <w:t xml:space="preserve"> </w:t>
      </w:r>
    </w:p>
    <w:p w:rsidR="00422BE2" w:rsidRDefault="00422BE2" w:rsidP="001E7FDB">
      <w:pPr>
        <w:pStyle w:val="Akapitzlist"/>
        <w:numPr>
          <w:ilvl w:val="0"/>
          <w:numId w:val="11"/>
        </w:numPr>
        <w:overflowPunct w:val="0"/>
        <w:autoSpaceDE w:val="0"/>
        <w:autoSpaceDN/>
        <w:spacing w:line="240" w:lineRule="auto"/>
        <w:ind w:left="426"/>
        <w:jc w:val="both"/>
        <w:textAlignment w:val="auto"/>
      </w:pPr>
      <w:r w:rsidRPr="00991425">
        <w:t xml:space="preserve">Dostawy na koszt Wykonawcy będą się odbywać </w:t>
      </w:r>
      <w:r w:rsidRPr="001E7FDB">
        <w:rPr>
          <w:b/>
          <w:bCs/>
        </w:rPr>
        <w:t>co najmniej 2 razy w miesiącu</w:t>
      </w:r>
      <w:r w:rsidRPr="00991425">
        <w:t xml:space="preserve"> godzinach </w:t>
      </w:r>
      <w:r w:rsidRPr="001E7FDB">
        <w:rPr>
          <w:b/>
        </w:rPr>
        <w:t>8:00-12:30</w:t>
      </w:r>
      <w:r w:rsidRPr="00991425">
        <w:t>, do magazynu Zamawiającego mieszczącego się w:</w:t>
      </w:r>
    </w:p>
    <w:p w:rsidR="00422BE2" w:rsidRDefault="00422BE2" w:rsidP="001E7FDB">
      <w:pPr>
        <w:pStyle w:val="Akapitzlist"/>
        <w:numPr>
          <w:ilvl w:val="0"/>
          <w:numId w:val="14"/>
        </w:numPr>
        <w:overflowPunct w:val="0"/>
        <w:autoSpaceDE w:val="0"/>
        <w:autoSpaceDN/>
        <w:spacing w:line="240" w:lineRule="auto"/>
        <w:ind w:left="851"/>
        <w:jc w:val="both"/>
        <w:textAlignment w:val="auto"/>
      </w:pPr>
      <w:r w:rsidRPr="001E7FDB">
        <w:rPr>
          <w:b/>
        </w:rPr>
        <w:t>Areszcie Śledczym w Krakowie ul. Montelupich 7, 31-155 Kraków</w:t>
      </w:r>
      <w:r w:rsidR="001E7FDB">
        <w:t xml:space="preserve"> oraz</w:t>
      </w:r>
    </w:p>
    <w:p w:rsidR="00422BE2" w:rsidRPr="001E7FDB" w:rsidRDefault="00422BE2" w:rsidP="001E7FDB">
      <w:pPr>
        <w:pStyle w:val="Akapitzlist"/>
        <w:numPr>
          <w:ilvl w:val="0"/>
          <w:numId w:val="14"/>
        </w:numPr>
        <w:overflowPunct w:val="0"/>
        <w:autoSpaceDE w:val="0"/>
        <w:autoSpaceDN/>
        <w:spacing w:line="240" w:lineRule="auto"/>
        <w:ind w:left="851"/>
        <w:jc w:val="both"/>
        <w:textAlignment w:val="auto"/>
        <w:rPr>
          <w:b/>
        </w:rPr>
      </w:pPr>
      <w:r w:rsidRPr="001E7FDB">
        <w:rPr>
          <w:b/>
        </w:rPr>
        <w:t>Oddziale Zewnętrznym Aresztu Śledczego w Krakowie – Nowej Hucie ul. Spławy 2, 31-988 Kraków.</w:t>
      </w:r>
    </w:p>
    <w:p w:rsidR="00422BE2" w:rsidRDefault="00422BE2" w:rsidP="00A705E5">
      <w:pPr>
        <w:pStyle w:val="Akapitzlist"/>
        <w:numPr>
          <w:ilvl w:val="0"/>
          <w:numId w:val="11"/>
        </w:numPr>
        <w:overflowPunct w:val="0"/>
        <w:autoSpaceDE w:val="0"/>
        <w:autoSpaceDN/>
        <w:spacing w:line="240" w:lineRule="auto"/>
        <w:ind w:left="426"/>
        <w:jc w:val="both"/>
        <w:textAlignment w:val="auto"/>
      </w:pPr>
      <w:r>
        <w:t>W przypadku braku możliwości pełnego zrealizowania zamówienia Wykonawca powiadomi o tym Zamawiającego i przedłoży propozycję alternatywnego uzupełnienia zamówienia z posiadanej aktualnie oferty najpóźniej w przeddzień dostawy do godz. 10ºº.</w:t>
      </w:r>
    </w:p>
    <w:p w:rsidR="00422BE2" w:rsidRDefault="00422BE2" w:rsidP="00A705E5">
      <w:pPr>
        <w:overflowPunct w:val="0"/>
        <w:autoSpaceDE w:val="0"/>
        <w:autoSpaceDN/>
        <w:spacing w:line="240" w:lineRule="auto"/>
        <w:ind w:left="426"/>
        <w:jc w:val="both"/>
        <w:textAlignment w:val="auto"/>
      </w:pPr>
      <w:r>
        <w:t>Cena proponowanych zamiennie artykułów nie może być wyższa niż cena artykułów z zamówienia.</w:t>
      </w:r>
    </w:p>
    <w:p w:rsidR="00422BE2" w:rsidRDefault="00422BE2" w:rsidP="00422BE2">
      <w:pPr>
        <w:pStyle w:val="Akapitzlist"/>
        <w:numPr>
          <w:ilvl w:val="0"/>
          <w:numId w:val="11"/>
        </w:numPr>
        <w:overflowPunct w:val="0"/>
        <w:autoSpaceDE w:val="0"/>
        <w:autoSpaceDN/>
        <w:spacing w:line="240" w:lineRule="auto"/>
        <w:ind w:left="426"/>
        <w:jc w:val="both"/>
        <w:textAlignment w:val="auto"/>
      </w:pPr>
      <w:r>
        <w:t>Każdy artykuł winien być zaopatrzony w metkę na opakowaniu jednostkowym, na której winna być umieszczona nazwa artykułu, data produkcji i okres lub data przydatności do spożycia.</w:t>
      </w:r>
    </w:p>
    <w:sectPr w:rsidR="00422BE2" w:rsidSect="00AB7FBB">
      <w:pgSz w:w="11906" w:h="16838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EC" w:rsidRDefault="00C22CEC">
      <w:pPr>
        <w:spacing w:line="240" w:lineRule="auto"/>
      </w:pPr>
      <w:r>
        <w:separator/>
      </w:r>
    </w:p>
  </w:endnote>
  <w:endnote w:type="continuationSeparator" w:id="0">
    <w:p w:rsidR="00C22CEC" w:rsidRDefault="00C22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charset w:val="00"/>
    <w:family w:val="auto"/>
    <w:pitch w:val="default"/>
  </w:font>
  <w:font w:name="CourierNewPSMT">
    <w:charset w:val="00"/>
    <w:family w:val="modern"/>
    <w:pitch w:val="fixed"/>
  </w:font>
  <w:font w:name="HiddenHorzOCR"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EC" w:rsidRDefault="00C22C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22CEC" w:rsidRDefault="00C22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1" w15:restartNumberingAfterBreak="0">
    <w:nsid w:val="01302AB5"/>
    <w:multiLevelType w:val="hybridMultilevel"/>
    <w:tmpl w:val="231C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49C"/>
    <w:multiLevelType w:val="hybridMultilevel"/>
    <w:tmpl w:val="33C22218"/>
    <w:lvl w:ilvl="0" w:tplc="4DFE99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EEF"/>
    <w:multiLevelType w:val="multilevel"/>
    <w:tmpl w:val="1C346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D79"/>
    <w:multiLevelType w:val="hybridMultilevel"/>
    <w:tmpl w:val="A4A4AB28"/>
    <w:lvl w:ilvl="0" w:tplc="225474D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3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</w:abstractNum>
  <w:abstractNum w:abstractNumId="6" w15:restartNumberingAfterBreak="0">
    <w:nsid w:val="2C9456FF"/>
    <w:multiLevelType w:val="hybridMultilevel"/>
    <w:tmpl w:val="BA2A601C"/>
    <w:lvl w:ilvl="0" w:tplc="FBAEC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A5C0F"/>
    <w:multiLevelType w:val="hybridMultilevel"/>
    <w:tmpl w:val="EC7AAF1E"/>
    <w:lvl w:ilvl="0" w:tplc="B91A893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91DF8"/>
    <w:multiLevelType w:val="hybridMultilevel"/>
    <w:tmpl w:val="C3369F4C"/>
    <w:lvl w:ilvl="0" w:tplc="0616EB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0D57"/>
    <w:multiLevelType w:val="hybridMultilevel"/>
    <w:tmpl w:val="FF5ADBF8"/>
    <w:lvl w:ilvl="0" w:tplc="25BAA8A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A2E546E"/>
    <w:multiLevelType w:val="hybridMultilevel"/>
    <w:tmpl w:val="13DE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4529D"/>
    <w:multiLevelType w:val="hybridMultilevel"/>
    <w:tmpl w:val="14369D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E8A433D"/>
    <w:multiLevelType w:val="hybridMultilevel"/>
    <w:tmpl w:val="592EC592"/>
    <w:lvl w:ilvl="0" w:tplc="50A06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F7"/>
    <w:rsid w:val="000E253C"/>
    <w:rsid w:val="00123E44"/>
    <w:rsid w:val="001E60B8"/>
    <w:rsid w:val="001E7FDB"/>
    <w:rsid w:val="00237308"/>
    <w:rsid w:val="002B6A1C"/>
    <w:rsid w:val="002F58ED"/>
    <w:rsid w:val="00422BE2"/>
    <w:rsid w:val="004E7102"/>
    <w:rsid w:val="008D5E67"/>
    <w:rsid w:val="00A67CB1"/>
    <w:rsid w:val="00A705E5"/>
    <w:rsid w:val="00AB7FBB"/>
    <w:rsid w:val="00C22CEC"/>
    <w:rsid w:val="00E36E24"/>
    <w:rsid w:val="00E6216D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8AFC"/>
  <w15:docId w15:val="{9BE7C1C3-53E3-47B1-BF4E-64ECDE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  <w:tabs>
        <w:tab w:val="left" w:pos="0"/>
      </w:tabs>
      <w:overflowPunct w:val="0"/>
      <w:autoSpaceDE w:val="0"/>
      <w:spacing w:line="240" w:lineRule="auto"/>
    </w:pPr>
    <w:rPr>
      <w:rFonts w:eastAsia="Times New Roman"/>
      <w:szCs w:val="20"/>
      <w:lang w:eastAsia="ar-SA"/>
    </w:rPr>
  </w:style>
  <w:style w:type="paragraph" w:customStyle="1" w:styleId="Default">
    <w:name w:val="Default"/>
    <w:basedOn w:val="Normalny"/>
    <w:pPr>
      <w:tabs>
        <w:tab w:val="left" w:pos="0"/>
      </w:tabs>
      <w:autoSpaceDE w:val="0"/>
      <w:spacing w:line="240" w:lineRule="auto"/>
    </w:pPr>
    <w:rPr>
      <w:rFonts w:eastAsia="Times New Roman"/>
      <w:color w:val="00000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5E67"/>
    <w:pPr>
      <w:tabs>
        <w:tab w:val="left" w:pos="0"/>
      </w:tabs>
      <w:overflowPunct w:val="0"/>
      <w:autoSpaceDE w:val="0"/>
      <w:autoSpaceDN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5E67"/>
    <w:rPr>
      <w:rFonts w:eastAsia="Times New Roman"/>
      <w:sz w:val="16"/>
      <w:szCs w:val="16"/>
      <w:lang w:eastAsia="ar-SA"/>
    </w:rPr>
  </w:style>
  <w:style w:type="paragraph" w:customStyle="1" w:styleId="E-1">
    <w:name w:val="E-1"/>
    <w:basedOn w:val="Normalny"/>
    <w:rsid w:val="008D5E67"/>
    <w:pPr>
      <w:widowControl w:val="0"/>
      <w:tabs>
        <w:tab w:val="left" w:pos="0"/>
      </w:tabs>
      <w:overflowPunct w:val="0"/>
      <w:autoSpaceDE w:val="0"/>
      <w:autoSpaceDN/>
      <w:spacing w:line="240" w:lineRule="auto"/>
    </w:pPr>
    <w:rPr>
      <w:shadow/>
      <w:sz w:val="20"/>
      <w:szCs w:val="20"/>
      <w:lang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8D5E67"/>
    <w:pPr>
      <w:suppressLineNumbers/>
      <w:tabs>
        <w:tab w:val="left" w:pos="0"/>
      </w:tabs>
      <w:overflowPunct w:val="0"/>
      <w:autoSpaceDE w:val="0"/>
      <w:autoSpaceDN/>
      <w:spacing w:after="0" w:line="240" w:lineRule="auto"/>
    </w:pPr>
    <w:rPr>
      <w:rFonts w:eastAsia="Times New Roman"/>
      <w:b/>
      <w:bCs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5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5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dc:description/>
  <cp:lastModifiedBy>Xymena Lubomirska</cp:lastModifiedBy>
  <cp:revision>13</cp:revision>
  <dcterms:created xsi:type="dcterms:W3CDTF">2022-09-12T21:09:00Z</dcterms:created>
  <dcterms:modified xsi:type="dcterms:W3CDTF">2023-02-08T17:22:00Z</dcterms:modified>
</cp:coreProperties>
</file>