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41EB2" w14:textId="77777777" w:rsidR="00142B18" w:rsidRPr="00E50075" w:rsidRDefault="00142B18" w:rsidP="0010113C">
      <w:pPr>
        <w:spacing w:after="0" w:line="360" w:lineRule="auto"/>
        <w:ind w:left="567"/>
        <w:jc w:val="both"/>
        <w:rPr>
          <w:rFonts w:asciiTheme="majorHAnsi" w:eastAsia="Calibri" w:hAnsiTheme="majorHAnsi" w:cs="Times New Roman"/>
          <w:b/>
          <w:caps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caps/>
          <w:sz w:val="16"/>
          <w:szCs w:val="16"/>
          <w:lang w:eastAsia="pl-PL"/>
        </w:rPr>
        <w:t>D - 08.05.01</w:t>
      </w:r>
      <w:r w:rsidRPr="00E50075">
        <w:rPr>
          <w:rFonts w:asciiTheme="majorHAnsi" w:eastAsia="Calibri" w:hAnsiTheme="majorHAnsi" w:cs="Times New Roman"/>
          <w:b/>
          <w:caps/>
          <w:sz w:val="16"/>
          <w:szCs w:val="16"/>
          <w:lang w:eastAsia="pl-PL"/>
        </w:rPr>
        <w:tab/>
        <w:t xml:space="preserve"> ŚCIEKI Z PREFABRYKOWANYCH ELEMENTÓW BETONOWYCH</w:t>
      </w:r>
    </w:p>
    <w:p w14:paraId="0A3A61F1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0" w:name="_Toc428080458"/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1. WSTĘP</w:t>
      </w:r>
      <w:bookmarkEnd w:id="0"/>
    </w:p>
    <w:p w14:paraId="7CCC14C4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1.1. Przedmiot SST</w:t>
      </w:r>
    </w:p>
    <w:p w14:paraId="3C45A893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Przedmiotem niniejszej szczegółowej specyfikacji technicznej (SST) są wymagania dotyczące wykonan</w:t>
      </w:r>
      <w:r w:rsidR="00E50075">
        <w:rPr>
          <w:rFonts w:asciiTheme="majorHAnsi" w:eastAsia="Calibri" w:hAnsiTheme="majorHAnsi" w:cs="Times New Roman"/>
          <w:sz w:val="16"/>
          <w:szCs w:val="16"/>
          <w:lang w:eastAsia="pl-PL"/>
        </w:rPr>
        <w:t>ia i odbioru robót związanych z 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wykonaniem ścieków z prefabrykowanych elementów betonowych.</w:t>
      </w:r>
    </w:p>
    <w:p w14:paraId="5760F587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1.2. Zakres stosowania SST</w:t>
      </w:r>
    </w:p>
    <w:p w14:paraId="3DB82BFC" w14:textId="326E723A" w:rsidR="00142B18" w:rsidRPr="00E50075" w:rsidRDefault="00142B18" w:rsidP="0010113C">
      <w:pPr>
        <w:spacing w:after="0" w:line="240" w:lineRule="auto"/>
        <w:jc w:val="both"/>
        <w:rPr>
          <w:rFonts w:asciiTheme="majorHAnsi" w:eastAsia="Times New Roman" w:hAnsiTheme="majorHAnsi" w:cs="Calibri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Calibri"/>
          <w:sz w:val="16"/>
          <w:szCs w:val="16"/>
        </w:rPr>
        <w:t xml:space="preserve">Szczegółowa specyfikacja techniczna (SST) jest dokumentem przetargowym i kontraktowym przy zlecaniu i </w:t>
      </w:r>
      <w:r w:rsidR="00E50075">
        <w:rPr>
          <w:rFonts w:asciiTheme="majorHAnsi" w:eastAsia="Calibri" w:hAnsiTheme="majorHAnsi" w:cs="Calibri"/>
          <w:sz w:val="16"/>
          <w:szCs w:val="16"/>
        </w:rPr>
        <w:t xml:space="preserve">realizacji robót </w:t>
      </w:r>
      <w:r w:rsidR="00835C43">
        <w:rPr>
          <w:rFonts w:asciiTheme="majorHAnsi" w:eastAsia="Calibri" w:hAnsiTheme="majorHAnsi" w:cs="Calibri"/>
          <w:sz w:val="16"/>
          <w:szCs w:val="16"/>
        </w:rPr>
        <w:t>przy drogach powiatowych na terenie Powiatu Staszowskiego.</w:t>
      </w:r>
    </w:p>
    <w:p w14:paraId="5D7C4A9F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1.3. Zakres robót objętych SST</w:t>
      </w:r>
    </w:p>
    <w:p w14:paraId="04479B12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Ustalenia zawarte w niniejszej specyfikacji dotyczą zasad prowadzenia robót związanych z wykonaniem:</w:t>
      </w:r>
    </w:p>
    <w:p w14:paraId="4A14A4D4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ścieków terenowych.</w:t>
      </w:r>
    </w:p>
    <w:p w14:paraId="15044810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1.4. Określenia podstawowe</w:t>
      </w:r>
    </w:p>
    <w:p w14:paraId="604D48A1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 xml:space="preserve">1.4.1.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Ściek terenowy - element zlokalizowany poza jezdnią lub chodnikiem służący do odprowadzenia wód opadowych z nawierzchni jezdni, chodników oraz przyległego terenu do odbiorników sztucznych lub naturalnych.</w:t>
      </w:r>
    </w:p>
    <w:p w14:paraId="0FE838E2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1.4.24.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Pozostałe określenia podstawowe są zgodne z obowiązują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oftHyphen/>
        <w:t>cymi, odpowiednimi polskimi normami i z definicjami podanymi w SST D-M-00.00.00 „Wymagania ogólne”.</w:t>
      </w:r>
    </w:p>
    <w:p w14:paraId="5ADAFB42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1.5. Ogólne wymagania dotyczące robót</w:t>
      </w:r>
    </w:p>
    <w:p w14:paraId="1DE605EB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Ogólne wymagania dotyczące robót podano w SST D-M-00.00.00 „Wymagania ogólne”.</w:t>
      </w:r>
    </w:p>
    <w:p w14:paraId="1C7DD447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1" w:name="_Toc428080459"/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2. MATERIAŁY</w:t>
      </w:r>
      <w:bookmarkEnd w:id="1"/>
    </w:p>
    <w:p w14:paraId="22455B59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2.1. Beton na ławę</w:t>
      </w:r>
    </w:p>
    <w:p w14:paraId="59CE179C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Beton na ławę pod krawężnik i ściek powinien odpowiadać wymaganiom PN-B-06250 [2]. Jeżeli dokumentacja projektowa nie stanowi inaczej, powinien to być beton klasy </w:t>
      </w:r>
      <w:r w:rsidR="0010113C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C12/15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lub </w:t>
      </w:r>
      <w:r w:rsidR="0010113C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C8/10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.</w:t>
      </w:r>
    </w:p>
    <w:p w14:paraId="526C90F1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2.2. Kruszywo do betonu</w:t>
      </w:r>
    </w:p>
    <w:p w14:paraId="2A013C27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Kruszywo do betonu powinno odpowiadać wymaganiom PN-B-06712 [4]. Kruszywo należy przechowywać w</w:t>
      </w:r>
      <w:r w:rsidR="0052716E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warunkach zabezpieczających je 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przed zanieczyszczeniem, zmieszaniem z kruszywami innych asortymentów, gatunków i marek.</w:t>
      </w:r>
    </w:p>
    <w:p w14:paraId="0C6D6C67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2.3. Cement</w:t>
      </w:r>
    </w:p>
    <w:p w14:paraId="5CE462CA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Cement do betonu powinien być cementem portlandzkim, odpowiadającym wymaganiom PN-B-19701 [5]. Ce</w:t>
      </w:r>
      <w:r w:rsidR="0052716E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ment do zaprawy cementowej i na 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podsypkę cementowo-piaskową powinien być klasy 32,5. Przechowywanie cementu powinno być zgodne z BN-88/6731-08 [7].</w:t>
      </w:r>
    </w:p>
    <w:p w14:paraId="40AEC223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2.4. Woda</w:t>
      </w:r>
    </w:p>
    <w:p w14:paraId="0B5AA1FE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Woda powinna być „odmiany 1” i odpowiadać wymaganiom PN-B-32250 [6].</w:t>
      </w:r>
    </w:p>
    <w:p w14:paraId="2F05489E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2.5. Piasek</w:t>
      </w:r>
    </w:p>
    <w:p w14:paraId="78BFA9D7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Piasek na podsypkę cementowo-piaskową powinien odpowiadać wymaganiom PN-B-06712 [4]. Piasek do zaprawy cementowo-piaskowej powinien odpowiadać wymaganiom PN-B-06711 [3].</w:t>
      </w:r>
    </w:p>
    <w:p w14:paraId="6BE39224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2.6. Prefabrykowane elementy betonowe ścieku</w:t>
      </w:r>
    </w:p>
    <w:p w14:paraId="146A64CB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Prefabrykowane elementy betonowe stosowane do wykonania ścieków terenowych, powinny odpowiadać wymaganiom BN-80/6775-03/01 [9]. Kształt i wymiary prefabrykowanych elementów betonowych, użytych do wykonania ścieków, powinny być zgodn</w:t>
      </w:r>
      <w:r w:rsidR="0052716E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e z dokumentacją projektową. Do 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wykonania prefabrykatów należy stosować beton wg PN-B-06250 [2], klasy co najmniej 25. Nasiąkliwość prefabrykatów nie powinna przekraczać 4%. Ścieralność na tarczy Boehmego nie powinna przekraczać 3,5 mm.</w:t>
      </w:r>
    </w:p>
    <w:p w14:paraId="50A98102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Wytrzymałość betonu na ściskanie powinna być zgodna z PN-B-06250 [2] dla przyjętej klasy betonu. Powierzchnia prefabrykatów powinna być bez rys, pęknięć i ubytków betonu, o fakturze zatartej. Krawędzie elementów powinny być równe i proste. Wklęsłość lub wypukłość powierzchni elementów nie powinna przekraczać 3 mm.</w:t>
      </w:r>
    </w:p>
    <w:p w14:paraId="11C70B96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Dopuszczalne odchyłki wymiarów prefabrykatów:</w:t>
      </w:r>
    </w:p>
    <w:p w14:paraId="1C143583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na długości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ym w:font="Symbol" w:char="F0B1"/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10 mm,</w:t>
      </w:r>
    </w:p>
    <w:p w14:paraId="4E55A906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na wysokości i szerokości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ym w:font="Symbol" w:char="F0B1"/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3 mm.</w:t>
      </w:r>
    </w:p>
    <w:p w14:paraId="47421B21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Prefabrykaty betonowe powinny być składowane w pozycji wbudowania, na podłożu utwardzonym i dobrze odwodnionym.</w:t>
      </w:r>
    </w:p>
    <w:p w14:paraId="4E17938F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2.7. Masa zalewowa</w:t>
      </w:r>
    </w:p>
    <w:p w14:paraId="7984B53B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Masa zalewowa do wypełnienia spoin powinna być stosowana na gorąco i odpowiadać wymaganiom BN-74/6771-04 [8].</w:t>
      </w:r>
    </w:p>
    <w:p w14:paraId="732981EE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2" w:name="_Toc428080460"/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3. SPRZĘT</w:t>
      </w:r>
      <w:bookmarkEnd w:id="2"/>
    </w:p>
    <w:p w14:paraId="1A6A7E13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Roboty można wykonywać ręcznie przy pomocy drobnego sprzętu, z zastosowaniem:</w:t>
      </w:r>
    </w:p>
    <w:p w14:paraId="02736710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betoniarek do wytwarzania betonu i zapraw oraz przygotowania podsypki cementowo-piaskowej,</w:t>
      </w:r>
    </w:p>
    <w:p w14:paraId="20458138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wibratorów płytowych, ubijaków ręcznych lub mechanicznych.</w:t>
      </w:r>
    </w:p>
    <w:p w14:paraId="257B01DC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3" w:name="_Toc428080461"/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4. TRANSPORT</w:t>
      </w:r>
      <w:bookmarkEnd w:id="3"/>
    </w:p>
    <w:p w14:paraId="7B032E75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Transport prefabrykatów powinien odbywać się wg BN-80/6775-03/01 [9], transport cementu wg BN-88/6731-08 [7]. Kruszywo można przewozić dowolnymi środkami transportu w sposób zabezpieczający je przed zanieczyszczeniem i zmieszaniem z innymi asortymentami.</w:t>
      </w:r>
    </w:p>
    <w:p w14:paraId="441A4107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4" w:name="_Toc428080462"/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5. WYKONANIE ROBÓT</w:t>
      </w:r>
      <w:bookmarkEnd w:id="4"/>
    </w:p>
    <w:p w14:paraId="3E3D9391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5.1. Roboty przygotowawcze</w:t>
      </w:r>
    </w:p>
    <w:p w14:paraId="5B52FC56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Przed przystąpieniem do wykonania ścieku należy wytyczyć oś ścieku zgodnie z dokumentacją projektową. Oś ścieku stanowi oś wykopu pod ławę.</w:t>
      </w:r>
    </w:p>
    <w:p w14:paraId="19A76734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5.2. Wykop pod ławę</w:t>
      </w:r>
    </w:p>
    <w:p w14:paraId="462F0850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Wykop pod ławę dla ścieku należy wykonać zgodnie z dokumentacją i PN-B-06050 [1]. Dla ścieku terenowego stosowana jest ława zwykła.</w:t>
      </w:r>
    </w:p>
    <w:p w14:paraId="155EB769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Wymiary wykopu powinny odpowiadać wymiarom ławy w planie z uwzględnieniem w szerokości dna wykopu konstrukcji. Wskaźnik zagęszczenia dna wykopu pod ławę powinien wynosić co najmniej 0,97, wg normalnej metody Proctora.</w:t>
      </w:r>
    </w:p>
    <w:p w14:paraId="6DAF0285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5.3. Wykonanie ław</w:t>
      </w:r>
    </w:p>
    <w:p w14:paraId="6E009E2D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Wykonanie ław powinno być zgodne z wymaganiami BN-64/8845-02 [11].</w:t>
      </w:r>
    </w:p>
    <w:p w14:paraId="28C119E9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Klasa betonu stosowanego do wykonania ław powinna być zgodna z dokumentacją projektową.</w:t>
      </w:r>
      <w:r w:rsidR="0010113C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Jeżeli dokumentacja projektowa nie stanowi inaczej, można stosować ławy z betonu klasy </w:t>
      </w:r>
      <w:r w:rsidR="0010113C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C12/15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i klasy </w:t>
      </w:r>
      <w:r w:rsidR="0010113C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C8/10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.</w:t>
      </w:r>
      <w:r w:rsidR="0010113C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Wykonanie ławy betonowej podano w SST D-08.01.01 „Krawężniki betonowe”.</w:t>
      </w:r>
    </w:p>
    <w:p w14:paraId="130BD956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5.</w:t>
      </w:r>
      <w:r w:rsidR="0010113C"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4</w:t>
      </w: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. Wykonanie ścieku z prefabrykatów</w:t>
      </w:r>
    </w:p>
    <w:p w14:paraId="489D7BFA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Ustawienie prefabrykatów na ławie powinno być wykonane na podsypce cementowo-piaskowej o grubości 5 cm, lub innego wymiaru wskazanego w dokumentacji projektowej. Ustawianie prefabrykatów powinno być zgodne z projektowaną niweletą dna ścieku.</w:t>
      </w:r>
    </w:p>
    <w:p w14:paraId="5CAA0773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Spoiny elementów prefabrykowanych nie powinny przekraczać szerokości 1 cm. Spoiny prefabrykatów układanych na ławie betonowej należy wypełnić zaprawą cementowo-piaskową, przygotowaną w stosunku 1:2. Spoiny przed zalaniem należy oczyścić i zmyć wodą. Prefabrykaty ustawione na podsypce cementowo-piaskowej i o spoinach zalanych zaprawą, powinny mieć co 50 m spoiny wypełnione bitumiczną masą zalewową nad szczeliną dylatacyjną ławy betonowej.</w:t>
      </w:r>
    </w:p>
    <w:p w14:paraId="01ECBA9F" w14:textId="77777777" w:rsidR="00E50075" w:rsidRDefault="00E50075">
      <w:pPr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5" w:name="_Toc428080463"/>
      <w:r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br w:type="page"/>
      </w:r>
    </w:p>
    <w:p w14:paraId="71C01231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lastRenderedPageBreak/>
        <w:t>6. KONTROLA JAKOŚCI ROBÓT</w:t>
      </w:r>
      <w:bookmarkEnd w:id="5"/>
    </w:p>
    <w:p w14:paraId="7086D6FD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6.1. Badania przed przystąpieniem do robót</w:t>
      </w:r>
    </w:p>
    <w:p w14:paraId="7FF29C1F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Przed przystąpieniem do robót Wykonawca powinien wykonać badania materiałów przeznaczonych do wykonania ścieku i przedstawić wyniki tych badań Inspektorowi do akceptacji.</w:t>
      </w:r>
    </w:p>
    <w:p w14:paraId="195C46FA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Badania materiałów stosowanych do wykonania ścieku z prefabrykatów powinny obejmować wszystkie właściwości, które zost</w:t>
      </w:r>
      <w:r w:rsidR="0010113C"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ały określone w 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normach podanych dla odpowiednich materiałów.</w:t>
      </w:r>
    </w:p>
    <w:p w14:paraId="041BA616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6.</w:t>
      </w:r>
      <w:r w:rsidR="0010113C"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</w:t>
      </w: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. Badania w czasie robót</w:t>
      </w:r>
    </w:p>
    <w:p w14:paraId="33BF557D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6.</w:t>
      </w:r>
      <w:r w:rsidR="0010113C"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</w:t>
      </w: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 xml:space="preserve">.1.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Zakres badań</w:t>
      </w:r>
    </w:p>
    <w:p w14:paraId="4E3F586D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 czasie robót związanych z wykonaniem ścieku z prefabrykatów należy sprawdzać:</w:t>
      </w:r>
    </w:p>
    <w:p w14:paraId="6F303A64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wykop pod ławę,</w:t>
      </w:r>
    </w:p>
    <w:p w14:paraId="283D04A4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gotową ławę,</w:t>
      </w:r>
    </w:p>
    <w:p w14:paraId="47E7DA39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wykonanie ścieku.</w:t>
      </w:r>
    </w:p>
    <w:p w14:paraId="24ABA3F6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6.</w:t>
      </w:r>
      <w:r w:rsidR="0010113C"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</w:t>
      </w: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 xml:space="preserve">.2.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Wykop pod ławę</w:t>
      </w:r>
    </w:p>
    <w:p w14:paraId="67BDD361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Należy sprawdzać, czy wymiary wykopu są zgodne z dokumentacją projektową oraz zagęszczenie podłoża na dnie wykopu.</w:t>
      </w:r>
    </w:p>
    <w:p w14:paraId="78632739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Tolerancja dla szerokości wykopu wynosi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ym w:font="Symbol" w:char="F0B1"/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2 cm. Zagęszczenie podłoża powinno być zgodne z pkt 5.3.</w:t>
      </w:r>
    </w:p>
    <w:p w14:paraId="0EE4A0A2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6.</w:t>
      </w:r>
      <w:r w:rsidR="0010113C"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</w:t>
      </w: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 xml:space="preserve">.3.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Sprawdzenie wykonania ławy</w:t>
      </w:r>
    </w:p>
    <w:p w14:paraId="73F3221E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Przy wykonywaniu ławy, badaniu podlegają:</w:t>
      </w:r>
    </w:p>
    <w:p w14:paraId="5170CCBD" w14:textId="77777777" w:rsidR="00142B18" w:rsidRPr="00E50075" w:rsidRDefault="00142B18" w:rsidP="0052716E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linia ławy w planie, która może się różnić od projektowanego kierunku o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ym w:font="Symbol" w:char="F0B1"/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2 cm na każde 100 m ławy,</w:t>
      </w:r>
    </w:p>
    <w:p w14:paraId="6F6B419A" w14:textId="77777777" w:rsidR="00142B18" w:rsidRPr="00E50075" w:rsidRDefault="00142B18" w:rsidP="0052716E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niweleta górnej powierzchni ławy, która może się różnić od niwelety projektowanej o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ym w:font="Symbol" w:char="F0B1"/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1 cm na każde 100 m ławy,</w:t>
      </w:r>
    </w:p>
    <w:p w14:paraId="00C0B413" w14:textId="77777777" w:rsidR="00142B18" w:rsidRPr="00E50075" w:rsidRDefault="00142B18" w:rsidP="0052716E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wymiary i równość ławy, sprawdzane w dwóch dowolnie wybranych punktach na każde 100 m ławy, przy czym dopuszczalne tolerancje wynoszą dla:</w:t>
      </w:r>
    </w:p>
    <w:p w14:paraId="7BC8EB94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wysokości (grubości) ławy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ym w:font="Symbol" w:char="F0B1"/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10% wysokości projektowanej,</w:t>
      </w:r>
    </w:p>
    <w:p w14:paraId="66029330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szerokości górnej powierzchni ławy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ym w:font="Symbol" w:char="F0B1"/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10% szerokości projektowanej,</w:t>
      </w:r>
    </w:p>
    <w:p w14:paraId="0BD57893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równości górnej powierzchni ławy 1 cm prześwitu pomiędzy powierzchnią ławy a przyłożoną czterometrową łatą.</w:t>
      </w:r>
    </w:p>
    <w:p w14:paraId="177F549B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6.</w:t>
      </w:r>
      <w:r w:rsidR="0010113C"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2</w:t>
      </w: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.</w:t>
      </w:r>
      <w:r w:rsidR="0010113C"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4</w:t>
      </w: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 xml:space="preserve">.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Sprawdzenie wykonania ścieku</w:t>
      </w:r>
    </w:p>
    <w:p w14:paraId="0ADD7070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Przy wykonaniu ścieku, badaniu podlegają:</w:t>
      </w:r>
    </w:p>
    <w:p w14:paraId="6C2F4004" w14:textId="77777777" w:rsidR="00142B18" w:rsidRPr="00E50075" w:rsidRDefault="00142B18" w:rsidP="0052716E">
      <w:pPr>
        <w:numPr>
          <w:ilvl w:val="0"/>
          <w:numId w:val="5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niweleta ścieku, która może różnić się od niwelety projektowanej o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ym w:font="Symbol" w:char="F0B1"/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1 cm na każde 100 m wykonanego ścieku,</w:t>
      </w:r>
    </w:p>
    <w:p w14:paraId="6BB7D6A8" w14:textId="77777777" w:rsidR="00142B18" w:rsidRPr="00E50075" w:rsidRDefault="00142B18" w:rsidP="0052716E">
      <w:pPr>
        <w:numPr>
          <w:ilvl w:val="0"/>
          <w:numId w:val="5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równość podłużna ścieku, sprawdzana w dwóch dowolnie wybranych punktach na każde 100 m długości, która może wykazywać prześwit nie większy niż 0,8 cm pomiędzy powierzchnią ścieku a łatą czterometrową,</w:t>
      </w:r>
    </w:p>
    <w:p w14:paraId="06B2D8F4" w14:textId="77777777" w:rsidR="00142B18" w:rsidRPr="00E50075" w:rsidRDefault="00142B18" w:rsidP="0052716E">
      <w:pPr>
        <w:numPr>
          <w:ilvl w:val="0"/>
          <w:numId w:val="5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wypełnienie spoin, wykonane zgodnie z pkt 5, sprawdzane na każdych 10 metrach wykonanego ścieku, przy czym wymagane jest całkowite wypełnienie badanej spoiny,</w:t>
      </w:r>
    </w:p>
    <w:p w14:paraId="1639CE1A" w14:textId="77777777" w:rsidR="00142B18" w:rsidRPr="00E50075" w:rsidRDefault="00142B18" w:rsidP="0052716E">
      <w:pPr>
        <w:numPr>
          <w:ilvl w:val="0"/>
          <w:numId w:val="5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grubość podsypki, sprawdzana co 100 m, która może się różnić od grubości projektowanej o </w:t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sym w:font="Symbol" w:char="F0B1"/>
      </w: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 1 cm.</w:t>
      </w:r>
    </w:p>
    <w:p w14:paraId="42A47D88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6" w:name="_Toc428080464"/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7. OBMIAR ROBÓT</w:t>
      </w:r>
      <w:bookmarkEnd w:id="6"/>
    </w:p>
    <w:p w14:paraId="3B70AC30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Jednostką obmiarową jest m (metr) wykonanego ścieku z prefabrykowanych elementów betonowych.</w:t>
      </w:r>
    </w:p>
    <w:p w14:paraId="6C8A88D9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7" w:name="_Toc428080465"/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8. ODBIÓR ROBÓT</w:t>
      </w:r>
      <w:bookmarkEnd w:id="7"/>
    </w:p>
    <w:p w14:paraId="19B0DDC0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Odbiorowi robót zanikających i ulegających zakryciu podlegają:</w:t>
      </w:r>
    </w:p>
    <w:p w14:paraId="3137DE66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wykop pod ławę,</w:t>
      </w:r>
    </w:p>
    <w:p w14:paraId="475BCC1E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wykonana ława,</w:t>
      </w:r>
    </w:p>
    <w:p w14:paraId="27B2654E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wykonana podsypka.</w:t>
      </w:r>
    </w:p>
    <w:p w14:paraId="01E522FA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8" w:name="_Toc428080466"/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9. PODSTAWA PŁATNOŚCI</w:t>
      </w:r>
      <w:bookmarkEnd w:id="8"/>
    </w:p>
    <w:p w14:paraId="4E7B88CB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Cena wykonania 1 m ścieku z prefabrykowanych elementów betonowych obejmuje:</w:t>
      </w:r>
    </w:p>
    <w:p w14:paraId="743BA185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 xml:space="preserve">prace pomiarowe i przygotowawcze, </w:t>
      </w:r>
    </w:p>
    <w:p w14:paraId="2EB070FD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dostarczenie materiałów,</w:t>
      </w:r>
    </w:p>
    <w:p w14:paraId="41EB758C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wykonanie wykopu pod ławy,</w:t>
      </w:r>
    </w:p>
    <w:p w14:paraId="01095B52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wykonanie szalunku (dla ław betonowych z oporem),</w:t>
      </w:r>
    </w:p>
    <w:p w14:paraId="5F011C00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wykonanie podsypki cementowo-piaskowej,</w:t>
      </w:r>
    </w:p>
    <w:p w14:paraId="489C0338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ułożenie prefabrykatów ścieku z wypełnieniem spoin,</w:t>
      </w:r>
    </w:p>
    <w:p w14:paraId="24344AC5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zalanie spoin bitumiczną masą zalewową,</w:t>
      </w:r>
    </w:p>
    <w:p w14:paraId="05252FBA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zasypanie zewnętrznej ściany prefabrykatu,</w:t>
      </w:r>
    </w:p>
    <w:p w14:paraId="7EA4A2F8" w14:textId="77777777" w:rsidR="00142B18" w:rsidRPr="00E50075" w:rsidRDefault="00142B18" w:rsidP="0010113C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przeprowadzenie pomiarów i badań wymaganych w specyfikacji technicznej.</w:t>
      </w:r>
    </w:p>
    <w:p w14:paraId="0D0D1156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bookmarkStart w:id="9" w:name="_Toc428080467"/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10. PRZEPISY ZWIĄZANE</w:t>
      </w:r>
      <w:bookmarkEnd w:id="9"/>
    </w:p>
    <w:p w14:paraId="495ED2DA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1429"/>
        <w:gridCol w:w="7852"/>
      </w:tblGrid>
      <w:tr w:rsidR="00142B18" w:rsidRPr="00E50075" w14:paraId="755B1073" w14:textId="77777777" w:rsidTr="0052716E">
        <w:tc>
          <w:tcPr>
            <w:tcW w:w="428" w:type="dxa"/>
            <w:vAlign w:val="center"/>
            <w:hideMark/>
          </w:tcPr>
          <w:p w14:paraId="55CBE164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29" w:type="dxa"/>
            <w:hideMark/>
          </w:tcPr>
          <w:p w14:paraId="09929E43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PN-B-06050</w:t>
            </w:r>
          </w:p>
        </w:tc>
        <w:tc>
          <w:tcPr>
            <w:tcW w:w="7852" w:type="dxa"/>
            <w:hideMark/>
          </w:tcPr>
          <w:p w14:paraId="58CE1727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Roboty ziemne budowlane</w:t>
            </w:r>
          </w:p>
        </w:tc>
      </w:tr>
      <w:tr w:rsidR="00142B18" w:rsidRPr="00E50075" w14:paraId="140C6E4F" w14:textId="77777777" w:rsidTr="0052716E">
        <w:tc>
          <w:tcPr>
            <w:tcW w:w="428" w:type="dxa"/>
            <w:vAlign w:val="center"/>
            <w:hideMark/>
          </w:tcPr>
          <w:p w14:paraId="41931173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29" w:type="dxa"/>
            <w:hideMark/>
          </w:tcPr>
          <w:p w14:paraId="4211446A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PN-B-06250</w:t>
            </w:r>
          </w:p>
        </w:tc>
        <w:tc>
          <w:tcPr>
            <w:tcW w:w="7852" w:type="dxa"/>
            <w:hideMark/>
          </w:tcPr>
          <w:p w14:paraId="2B7A75F8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Beton zwykły</w:t>
            </w:r>
          </w:p>
        </w:tc>
      </w:tr>
      <w:tr w:rsidR="00142B18" w:rsidRPr="00E50075" w14:paraId="33AAED62" w14:textId="77777777" w:rsidTr="0052716E">
        <w:tc>
          <w:tcPr>
            <w:tcW w:w="428" w:type="dxa"/>
            <w:vAlign w:val="center"/>
            <w:hideMark/>
          </w:tcPr>
          <w:p w14:paraId="3BF07D8E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29" w:type="dxa"/>
            <w:hideMark/>
          </w:tcPr>
          <w:p w14:paraId="140D748D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PN-B-06711</w:t>
            </w:r>
          </w:p>
        </w:tc>
        <w:tc>
          <w:tcPr>
            <w:tcW w:w="7852" w:type="dxa"/>
            <w:hideMark/>
          </w:tcPr>
          <w:p w14:paraId="633CEF08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Kruszywo mineralne. Piasek do betonów i zapraw</w:t>
            </w:r>
          </w:p>
        </w:tc>
      </w:tr>
      <w:tr w:rsidR="00142B18" w:rsidRPr="00E50075" w14:paraId="0493EFCB" w14:textId="77777777" w:rsidTr="0052716E">
        <w:tc>
          <w:tcPr>
            <w:tcW w:w="428" w:type="dxa"/>
            <w:vAlign w:val="center"/>
            <w:hideMark/>
          </w:tcPr>
          <w:p w14:paraId="3F619C86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429" w:type="dxa"/>
            <w:hideMark/>
          </w:tcPr>
          <w:p w14:paraId="1EBE84F1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PN-B-06712</w:t>
            </w:r>
          </w:p>
        </w:tc>
        <w:tc>
          <w:tcPr>
            <w:tcW w:w="7852" w:type="dxa"/>
            <w:hideMark/>
          </w:tcPr>
          <w:p w14:paraId="0DFED73D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Kruszywa mineralne do betonu zwykłego</w:t>
            </w:r>
          </w:p>
        </w:tc>
      </w:tr>
      <w:tr w:rsidR="00142B18" w:rsidRPr="00E50075" w14:paraId="55BD02C0" w14:textId="77777777" w:rsidTr="0052716E">
        <w:tc>
          <w:tcPr>
            <w:tcW w:w="428" w:type="dxa"/>
            <w:vAlign w:val="center"/>
            <w:hideMark/>
          </w:tcPr>
          <w:p w14:paraId="3A62EDCD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29" w:type="dxa"/>
            <w:hideMark/>
          </w:tcPr>
          <w:p w14:paraId="0049AE03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PN-B-19701</w:t>
            </w:r>
          </w:p>
        </w:tc>
        <w:tc>
          <w:tcPr>
            <w:tcW w:w="7852" w:type="dxa"/>
            <w:hideMark/>
          </w:tcPr>
          <w:p w14:paraId="25A56915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Cement. Cement powszechnego użytku. Skład, wymagania i ocena zgodności</w:t>
            </w:r>
          </w:p>
        </w:tc>
      </w:tr>
      <w:tr w:rsidR="00142B18" w:rsidRPr="00E50075" w14:paraId="16ECEF8E" w14:textId="77777777" w:rsidTr="0052716E">
        <w:tc>
          <w:tcPr>
            <w:tcW w:w="428" w:type="dxa"/>
            <w:vAlign w:val="center"/>
            <w:hideMark/>
          </w:tcPr>
          <w:p w14:paraId="4F1F69D9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 xml:space="preserve">  6.</w:t>
            </w:r>
          </w:p>
        </w:tc>
        <w:tc>
          <w:tcPr>
            <w:tcW w:w="1429" w:type="dxa"/>
            <w:hideMark/>
          </w:tcPr>
          <w:p w14:paraId="032C8B78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PN-B-32250</w:t>
            </w:r>
          </w:p>
        </w:tc>
        <w:tc>
          <w:tcPr>
            <w:tcW w:w="7852" w:type="dxa"/>
            <w:hideMark/>
          </w:tcPr>
          <w:p w14:paraId="5EEF21B4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Materiały budowlane. Woda do betonów i zapraw</w:t>
            </w:r>
          </w:p>
        </w:tc>
      </w:tr>
      <w:tr w:rsidR="00142B18" w:rsidRPr="00E50075" w14:paraId="1375E25C" w14:textId="77777777" w:rsidTr="0052716E">
        <w:tc>
          <w:tcPr>
            <w:tcW w:w="428" w:type="dxa"/>
            <w:vAlign w:val="center"/>
            <w:hideMark/>
          </w:tcPr>
          <w:p w14:paraId="1AAEDA0E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 xml:space="preserve">  7.</w:t>
            </w:r>
          </w:p>
        </w:tc>
        <w:tc>
          <w:tcPr>
            <w:tcW w:w="1429" w:type="dxa"/>
            <w:hideMark/>
          </w:tcPr>
          <w:p w14:paraId="40EFF8CB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BN-88/6731-08</w:t>
            </w:r>
          </w:p>
        </w:tc>
        <w:tc>
          <w:tcPr>
            <w:tcW w:w="7852" w:type="dxa"/>
            <w:hideMark/>
          </w:tcPr>
          <w:p w14:paraId="512855F1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Cement. Transport i przechowywanie</w:t>
            </w:r>
          </w:p>
        </w:tc>
      </w:tr>
      <w:tr w:rsidR="00142B18" w:rsidRPr="00E50075" w14:paraId="7DAA1869" w14:textId="77777777" w:rsidTr="0052716E">
        <w:tc>
          <w:tcPr>
            <w:tcW w:w="428" w:type="dxa"/>
            <w:vAlign w:val="center"/>
            <w:hideMark/>
          </w:tcPr>
          <w:p w14:paraId="2C7994CD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 xml:space="preserve">  8.</w:t>
            </w:r>
          </w:p>
        </w:tc>
        <w:tc>
          <w:tcPr>
            <w:tcW w:w="1429" w:type="dxa"/>
            <w:hideMark/>
          </w:tcPr>
          <w:p w14:paraId="4F4E4AD9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BN-74/6771-04</w:t>
            </w:r>
          </w:p>
        </w:tc>
        <w:tc>
          <w:tcPr>
            <w:tcW w:w="7852" w:type="dxa"/>
            <w:hideMark/>
          </w:tcPr>
          <w:p w14:paraId="099A4086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Drogi samochodowe. Masa zalewowa</w:t>
            </w:r>
          </w:p>
        </w:tc>
      </w:tr>
      <w:tr w:rsidR="00142B18" w:rsidRPr="00E50075" w14:paraId="070A13C9" w14:textId="77777777" w:rsidTr="0052716E">
        <w:tc>
          <w:tcPr>
            <w:tcW w:w="428" w:type="dxa"/>
            <w:vAlign w:val="center"/>
            <w:hideMark/>
          </w:tcPr>
          <w:p w14:paraId="01777C25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 xml:space="preserve">  9.</w:t>
            </w:r>
          </w:p>
        </w:tc>
        <w:tc>
          <w:tcPr>
            <w:tcW w:w="1429" w:type="dxa"/>
            <w:hideMark/>
          </w:tcPr>
          <w:p w14:paraId="5FE23EA1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BN-80/6775-03/01</w:t>
            </w:r>
          </w:p>
        </w:tc>
        <w:tc>
          <w:tcPr>
            <w:tcW w:w="7852" w:type="dxa"/>
            <w:hideMark/>
          </w:tcPr>
          <w:p w14:paraId="05898042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Prefabrykaty budowlane z betonu. Elementy nawierzchni dróg, ulic, parkingów i torowisk tramwajowych. Wspólne wymagania i badania</w:t>
            </w:r>
          </w:p>
        </w:tc>
      </w:tr>
      <w:tr w:rsidR="00142B18" w:rsidRPr="00E50075" w14:paraId="32B7E765" w14:textId="77777777" w:rsidTr="0052716E">
        <w:tc>
          <w:tcPr>
            <w:tcW w:w="428" w:type="dxa"/>
            <w:vAlign w:val="center"/>
            <w:hideMark/>
          </w:tcPr>
          <w:p w14:paraId="28A5B527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429" w:type="dxa"/>
            <w:hideMark/>
          </w:tcPr>
          <w:p w14:paraId="7823564E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BN-80/6775-03/04</w:t>
            </w:r>
          </w:p>
        </w:tc>
        <w:tc>
          <w:tcPr>
            <w:tcW w:w="7852" w:type="dxa"/>
            <w:hideMark/>
          </w:tcPr>
          <w:p w14:paraId="7EB2F6ED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Prefabrykaty budowlane z betonu. Elementy nawierzchni dróg, ulic, parkingów i torowisk tramwajowych. Krawężniki i obrzeża chodnikowe</w:t>
            </w:r>
          </w:p>
        </w:tc>
      </w:tr>
      <w:tr w:rsidR="00142B18" w:rsidRPr="00E50075" w14:paraId="72A68FDA" w14:textId="77777777" w:rsidTr="0052716E">
        <w:tc>
          <w:tcPr>
            <w:tcW w:w="428" w:type="dxa"/>
            <w:vAlign w:val="center"/>
            <w:hideMark/>
          </w:tcPr>
          <w:p w14:paraId="5434ECED" w14:textId="77777777" w:rsidR="00142B18" w:rsidRPr="00E50075" w:rsidRDefault="00142B18" w:rsidP="0052716E">
            <w:pPr>
              <w:spacing w:after="0" w:line="240" w:lineRule="auto"/>
              <w:jc w:val="right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429" w:type="dxa"/>
            <w:hideMark/>
          </w:tcPr>
          <w:p w14:paraId="0D7214C5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BN-64/8845-02</w:t>
            </w:r>
          </w:p>
        </w:tc>
        <w:tc>
          <w:tcPr>
            <w:tcW w:w="7852" w:type="dxa"/>
            <w:hideMark/>
          </w:tcPr>
          <w:p w14:paraId="6C9386C8" w14:textId="77777777" w:rsidR="00142B18" w:rsidRPr="00E50075" w:rsidRDefault="00142B18" w:rsidP="0010113C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</w:pPr>
            <w:r w:rsidRPr="00E50075">
              <w:rPr>
                <w:rFonts w:asciiTheme="majorHAnsi" w:eastAsia="Calibri" w:hAnsiTheme="majorHAnsi" w:cs="Times New Roman"/>
                <w:sz w:val="16"/>
                <w:szCs w:val="16"/>
                <w:lang w:eastAsia="pl-PL"/>
              </w:rPr>
              <w:t>Krawężniki uliczne. Warunki techniczne ustawiania i odbioru</w:t>
            </w:r>
          </w:p>
        </w:tc>
      </w:tr>
    </w:tbl>
    <w:p w14:paraId="7AE99F4B" w14:textId="77777777" w:rsidR="00142B18" w:rsidRPr="00E50075" w:rsidRDefault="00142B18" w:rsidP="0010113C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b/>
          <w:sz w:val="16"/>
          <w:szCs w:val="16"/>
          <w:lang w:eastAsia="pl-PL"/>
        </w:rPr>
        <w:t>10.2. Inne dokumenty</w:t>
      </w:r>
    </w:p>
    <w:p w14:paraId="6F90FF3F" w14:textId="77777777" w:rsidR="00142B18" w:rsidRPr="00E50075" w:rsidRDefault="00142B18" w:rsidP="0052716E">
      <w:pPr>
        <w:numPr>
          <w:ilvl w:val="0"/>
          <w:numId w:val="6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Katalog szczegółów drogowych ulic, placów i parków miejskich, Centrum Techniki Budownictwa Komunalnego, Warszawa 1987.</w:t>
      </w:r>
    </w:p>
    <w:p w14:paraId="289D0F98" w14:textId="77777777" w:rsidR="00142B18" w:rsidRPr="00E50075" w:rsidRDefault="00142B18" w:rsidP="0052716E">
      <w:pPr>
        <w:numPr>
          <w:ilvl w:val="0"/>
          <w:numId w:val="6"/>
        </w:numPr>
        <w:spacing w:after="0" w:line="240" w:lineRule="auto"/>
        <w:jc w:val="both"/>
        <w:rPr>
          <w:rFonts w:asciiTheme="majorHAnsi" w:eastAsia="Calibri" w:hAnsiTheme="majorHAnsi" w:cs="Times New Roman"/>
          <w:sz w:val="16"/>
          <w:szCs w:val="16"/>
          <w:lang w:eastAsia="pl-PL"/>
        </w:rPr>
      </w:pPr>
      <w:r w:rsidRPr="00E50075">
        <w:rPr>
          <w:rFonts w:asciiTheme="majorHAnsi" w:eastAsia="Calibri" w:hAnsiTheme="majorHAnsi" w:cs="Times New Roman"/>
          <w:sz w:val="16"/>
          <w:szCs w:val="16"/>
          <w:lang w:eastAsia="pl-PL"/>
        </w:rPr>
        <w:t>Katalog powtarzalnych elementów drogowych (KPED), Transprojekt-Warszawa, 1979.</w:t>
      </w:r>
    </w:p>
    <w:sectPr w:rsidR="00142B18" w:rsidRPr="00E50075" w:rsidSect="004A5F18">
      <w:foot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E6EC9" w14:textId="77777777" w:rsidR="00063144" w:rsidRDefault="00063144" w:rsidP="00CC7FAB">
      <w:pPr>
        <w:spacing w:after="0" w:line="240" w:lineRule="auto"/>
      </w:pPr>
      <w:r>
        <w:separator/>
      </w:r>
    </w:p>
  </w:endnote>
  <w:endnote w:type="continuationSeparator" w:id="0">
    <w:p w14:paraId="76CED0B8" w14:textId="77777777" w:rsidR="00063144" w:rsidRDefault="00063144" w:rsidP="00CC7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390390"/>
      <w:docPartObj>
        <w:docPartGallery w:val="Page Numbers (Bottom of Page)"/>
        <w:docPartUnique/>
      </w:docPartObj>
    </w:sdtPr>
    <w:sdtContent>
      <w:p w14:paraId="0A5E1E62" w14:textId="77777777" w:rsidR="0010113C" w:rsidRPr="00CC7FAB" w:rsidRDefault="0010113C" w:rsidP="00CC7FAB">
        <w:pPr>
          <w:pStyle w:val="Stopka"/>
          <w:pBdr>
            <w:top w:val="single" w:sz="4" w:space="1" w:color="auto"/>
          </w:pBdr>
          <w:jc w:val="center"/>
          <w:rPr>
            <w:sz w:val="16"/>
            <w:szCs w:val="16"/>
          </w:rPr>
        </w:pPr>
        <w:r w:rsidRPr="00CC7FAB">
          <w:rPr>
            <w:sz w:val="16"/>
            <w:szCs w:val="16"/>
          </w:rPr>
          <w:fldChar w:fldCharType="begin"/>
        </w:r>
        <w:r w:rsidRPr="00CC7FAB">
          <w:rPr>
            <w:sz w:val="16"/>
            <w:szCs w:val="16"/>
          </w:rPr>
          <w:instrText xml:space="preserve"> PAGE   \* MERGEFORMAT </w:instrText>
        </w:r>
        <w:r w:rsidRPr="00CC7FAB">
          <w:rPr>
            <w:sz w:val="16"/>
            <w:szCs w:val="16"/>
          </w:rPr>
          <w:fldChar w:fldCharType="separate"/>
        </w:r>
        <w:r w:rsidR="00E50075">
          <w:rPr>
            <w:noProof/>
            <w:sz w:val="16"/>
            <w:szCs w:val="16"/>
          </w:rPr>
          <w:t>2</w:t>
        </w:r>
        <w:r w:rsidRPr="00CC7FAB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10BC9" w14:textId="77777777" w:rsidR="00063144" w:rsidRDefault="00063144" w:rsidP="00CC7FAB">
      <w:pPr>
        <w:spacing w:after="0" w:line="240" w:lineRule="auto"/>
      </w:pPr>
      <w:r>
        <w:separator/>
      </w:r>
    </w:p>
  </w:footnote>
  <w:footnote w:type="continuationSeparator" w:id="0">
    <w:p w14:paraId="03A7C5D6" w14:textId="77777777" w:rsidR="00063144" w:rsidRDefault="00063144" w:rsidP="00CC7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33067F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6B47594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7810E07"/>
    <w:multiLevelType w:val="singleLevel"/>
    <w:tmpl w:val="364C658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367D98"/>
    <w:multiLevelType w:val="singleLevel"/>
    <w:tmpl w:val="364C658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414E0D31"/>
    <w:multiLevelType w:val="multilevel"/>
    <w:tmpl w:val="0415001F"/>
    <w:styleLink w:val="StylStylStylKonspektynumerowaneKonspektynumerowane12p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Arial" w:hAnsi="Arial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5C711248"/>
    <w:multiLevelType w:val="singleLevel"/>
    <w:tmpl w:val="1CDC6D6C"/>
    <w:lvl w:ilvl="0">
      <w:start w:val="12"/>
      <w:numFmt w:val="decimal"/>
      <w:lvlText w:val="%1."/>
      <w:legacy w:legacy="1" w:legacySpace="0" w:legacyIndent="340"/>
      <w:lvlJc w:val="left"/>
      <w:pPr>
        <w:ind w:left="397" w:hanging="340"/>
      </w:pPr>
    </w:lvl>
  </w:abstractNum>
  <w:num w:numId="1" w16cid:durableId="1186866897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39338881">
    <w:abstractNumId w:val="0"/>
  </w:num>
  <w:num w:numId="3" w16cid:durableId="1115826959">
    <w:abstractNumId w:val="4"/>
  </w:num>
  <w:num w:numId="4" w16cid:durableId="796021948">
    <w:abstractNumId w:val="3"/>
    <w:lvlOverride w:ilvl="0">
      <w:startOverride w:val="1"/>
    </w:lvlOverride>
  </w:num>
  <w:num w:numId="5" w16cid:durableId="1858420448">
    <w:abstractNumId w:val="2"/>
    <w:lvlOverride w:ilvl="0">
      <w:startOverride w:val="1"/>
    </w:lvlOverride>
  </w:num>
  <w:num w:numId="6" w16cid:durableId="1583182172">
    <w:abstractNumId w:val="5"/>
    <w:lvlOverride w:ilvl="0">
      <w:startOverride w:val="12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06E"/>
    <w:rsid w:val="00014405"/>
    <w:rsid w:val="00063144"/>
    <w:rsid w:val="00063F4F"/>
    <w:rsid w:val="0007201F"/>
    <w:rsid w:val="00073A37"/>
    <w:rsid w:val="00077CDA"/>
    <w:rsid w:val="000846A0"/>
    <w:rsid w:val="00096B5B"/>
    <w:rsid w:val="000A4CE9"/>
    <w:rsid w:val="000A7B5C"/>
    <w:rsid w:val="000B720D"/>
    <w:rsid w:val="000C13FC"/>
    <w:rsid w:val="000D1CCC"/>
    <w:rsid w:val="000D5263"/>
    <w:rsid w:val="000E6A2C"/>
    <w:rsid w:val="0010113C"/>
    <w:rsid w:val="00104134"/>
    <w:rsid w:val="001051DF"/>
    <w:rsid w:val="001229C9"/>
    <w:rsid w:val="001270D8"/>
    <w:rsid w:val="001354C8"/>
    <w:rsid w:val="00136D31"/>
    <w:rsid w:val="001419C4"/>
    <w:rsid w:val="00142B18"/>
    <w:rsid w:val="00145374"/>
    <w:rsid w:val="00150468"/>
    <w:rsid w:val="001509BA"/>
    <w:rsid w:val="00154A10"/>
    <w:rsid w:val="001663C4"/>
    <w:rsid w:val="00170281"/>
    <w:rsid w:val="0017211E"/>
    <w:rsid w:val="001733A9"/>
    <w:rsid w:val="00186E16"/>
    <w:rsid w:val="00193254"/>
    <w:rsid w:val="001B59AF"/>
    <w:rsid w:val="001C0875"/>
    <w:rsid w:val="001C2178"/>
    <w:rsid w:val="001E1036"/>
    <w:rsid w:val="001F4942"/>
    <w:rsid w:val="00204773"/>
    <w:rsid w:val="00205529"/>
    <w:rsid w:val="00214487"/>
    <w:rsid w:val="002146E5"/>
    <w:rsid w:val="00221D05"/>
    <w:rsid w:val="002363CD"/>
    <w:rsid w:val="00252902"/>
    <w:rsid w:val="00280F28"/>
    <w:rsid w:val="002931AB"/>
    <w:rsid w:val="002B167D"/>
    <w:rsid w:val="002B429D"/>
    <w:rsid w:val="002C51E5"/>
    <w:rsid w:val="002C7A0E"/>
    <w:rsid w:val="002D194E"/>
    <w:rsid w:val="002E65E9"/>
    <w:rsid w:val="002E7CCD"/>
    <w:rsid w:val="002F78CC"/>
    <w:rsid w:val="00301618"/>
    <w:rsid w:val="003106B6"/>
    <w:rsid w:val="00321E3F"/>
    <w:rsid w:val="00354949"/>
    <w:rsid w:val="003610CB"/>
    <w:rsid w:val="00367EDD"/>
    <w:rsid w:val="0037164D"/>
    <w:rsid w:val="003802C1"/>
    <w:rsid w:val="00394334"/>
    <w:rsid w:val="003A04BB"/>
    <w:rsid w:val="003B5879"/>
    <w:rsid w:val="003C474F"/>
    <w:rsid w:val="003D24D8"/>
    <w:rsid w:val="003E7488"/>
    <w:rsid w:val="003F7B8E"/>
    <w:rsid w:val="00417A04"/>
    <w:rsid w:val="00417BD5"/>
    <w:rsid w:val="004205AF"/>
    <w:rsid w:val="00421414"/>
    <w:rsid w:val="00434427"/>
    <w:rsid w:val="00455D5E"/>
    <w:rsid w:val="00471480"/>
    <w:rsid w:val="004719F6"/>
    <w:rsid w:val="00475072"/>
    <w:rsid w:val="00481860"/>
    <w:rsid w:val="00484DB2"/>
    <w:rsid w:val="00490C14"/>
    <w:rsid w:val="0049189A"/>
    <w:rsid w:val="004A016C"/>
    <w:rsid w:val="004A5F18"/>
    <w:rsid w:val="004B199A"/>
    <w:rsid w:val="004C20BA"/>
    <w:rsid w:val="004C722F"/>
    <w:rsid w:val="004D4575"/>
    <w:rsid w:val="004E141E"/>
    <w:rsid w:val="004F3177"/>
    <w:rsid w:val="0052716E"/>
    <w:rsid w:val="00543AEC"/>
    <w:rsid w:val="00543CB0"/>
    <w:rsid w:val="00543ED8"/>
    <w:rsid w:val="0055068E"/>
    <w:rsid w:val="005577B7"/>
    <w:rsid w:val="00562033"/>
    <w:rsid w:val="005649CD"/>
    <w:rsid w:val="00574ACA"/>
    <w:rsid w:val="00585525"/>
    <w:rsid w:val="00590DF1"/>
    <w:rsid w:val="005A1F39"/>
    <w:rsid w:val="005B3856"/>
    <w:rsid w:val="005B4706"/>
    <w:rsid w:val="005C306E"/>
    <w:rsid w:val="005E3A19"/>
    <w:rsid w:val="005E73B2"/>
    <w:rsid w:val="005F2947"/>
    <w:rsid w:val="00600E70"/>
    <w:rsid w:val="0060394A"/>
    <w:rsid w:val="00614021"/>
    <w:rsid w:val="0062562F"/>
    <w:rsid w:val="00625CF6"/>
    <w:rsid w:val="00637FC2"/>
    <w:rsid w:val="00642910"/>
    <w:rsid w:val="00645742"/>
    <w:rsid w:val="00653C2F"/>
    <w:rsid w:val="00655132"/>
    <w:rsid w:val="00661202"/>
    <w:rsid w:val="0066552C"/>
    <w:rsid w:val="00680C3D"/>
    <w:rsid w:val="00682DC8"/>
    <w:rsid w:val="006A6AE8"/>
    <w:rsid w:val="006B2647"/>
    <w:rsid w:val="006C15FD"/>
    <w:rsid w:val="006C1716"/>
    <w:rsid w:val="006C56E0"/>
    <w:rsid w:val="006D3705"/>
    <w:rsid w:val="006D6BB8"/>
    <w:rsid w:val="006E0E3C"/>
    <w:rsid w:val="0072063C"/>
    <w:rsid w:val="00722B69"/>
    <w:rsid w:val="007241A1"/>
    <w:rsid w:val="00734E52"/>
    <w:rsid w:val="007434E6"/>
    <w:rsid w:val="00745784"/>
    <w:rsid w:val="00757016"/>
    <w:rsid w:val="00770D66"/>
    <w:rsid w:val="00784361"/>
    <w:rsid w:val="00784FD6"/>
    <w:rsid w:val="00785D4B"/>
    <w:rsid w:val="00793021"/>
    <w:rsid w:val="007B4BF6"/>
    <w:rsid w:val="007C1B36"/>
    <w:rsid w:val="007C4B0A"/>
    <w:rsid w:val="007C5423"/>
    <w:rsid w:val="007E2CA1"/>
    <w:rsid w:val="00811145"/>
    <w:rsid w:val="0081517A"/>
    <w:rsid w:val="0081695B"/>
    <w:rsid w:val="00835C43"/>
    <w:rsid w:val="00843F43"/>
    <w:rsid w:val="00865CD1"/>
    <w:rsid w:val="00872AD5"/>
    <w:rsid w:val="00881381"/>
    <w:rsid w:val="00883336"/>
    <w:rsid w:val="008847CA"/>
    <w:rsid w:val="008B7863"/>
    <w:rsid w:val="008C47CC"/>
    <w:rsid w:val="008D63B9"/>
    <w:rsid w:val="008E50DD"/>
    <w:rsid w:val="008F780B"/>
    <w:rsid w:val="00942798"/>
    <w:rsid w:val="009447C5"/>
    <w:rsid w:val="00952AD6"/>
    <w:rsid w:val="00965623"/>
    <w:rsid w:val="0097406B"/>
    <w:rsid w:val="009C1D8C"/>
    <w:rsid w:val="009F3189"/>
    <w:rsid w:val="009F7378"/>
    <w:rsid w:val="009F7781"/>
    <w:rsid w:val="00A115BE"/>
    <w:rsid w:val="00A23889"/>
    <w:rsid w:val="00A31FFE"/>
    <w:rsid w:val="00A47D6F"/>
    <w:rsid w:val="00A56433"/>
    <w:rsid w:val="00A7238B"/>
    <w:rsid w:val="00A82FE6"/>
    <w:rsid w:val="00A84EC7"/>
    <w:rsid w:val="00A90FE4"/>
    <w:rsid w:val="00A978CE"/>
    <w:rsid w:val="00AA0224"/>
    <w:rsid w:val="00AA542D"/>
    <w:rsid w:val="00AB4CB3"/>
    <w:rsid w:val="00AD0B4C"/>
    <w:rsid w:val="00AD42A9"/>
    <w:rsid w:val="00AD5873"/>
    <w:rsid w:val="00AD5E56"/>
    <w:rsid w:val="00AE17D4"/>
    <w:rsid w:val="00AF11AD"/>
    <w:rsid w:val="00AF6611"/>
    <w:rsid w:val="00B00C60"/>
    <w:rsid w:val="00B13EA6"/>
    <w:rsid w:val="00B15E3C"/>
    <w:rsid w:val="00B33A4B"/>
    <w:rsid w:val="00B63253"/>
    <w:rsid w:val="00B9543A"/>
    <w:rsid w:val="00BA5A3F"/>
    <w:rsid w:val="00BC0E0E"/>
    <w:rsid w:val="00BC411E"/>
    <w:rsid w:val="00BD689D"/>
    <w:rsid w:val="00BF7F75"/>
    <w:rsid w:val="00C00578"/>
    <w:rsid w:val="00C11C6A"/>
    <w:rsid w:val="00C11F1C"/>
    <w:rsid w:val="00C15D61"/>
    <w:rsid w:val="00C17D07"/>
    <w:rsid w:val="00C200E9"/>
    <w:rsid w:val="00C32BD8"/>
    <w:rsid w:val="00C40EBA"/>
    <w:rsid w:val="00C4182C"/>
    <w:rsid w:val="00C454E3"/>
    <w:rsid w:val="00C55C31"/>
    <w:rsid w:val="00C60844"/>
    <w:rsid w:val="00C67D26"/>
    <w:rsid w:val="00C711F4"/>
    <w:rsid w:val="00C80B42"/>
    <w:rsid w:val="00C92CB3"/>
    <w:rsid w:val="00C948A4"/>
    <w:rsid w:val="00CA0067"/>
    <w:rsid w:val="00CB2B4D"/>
    <w:rsid w:val="00CB7C48"/>
    <w:rsid w:val="00CC31AF"/>
    <w:rsid w:val="00CC7FAB"/>
    <w:rsid w:val="00CE1CA3"/>
    <w:rsid w:val="00CF28D2"/>
    <w:rsid w:val="00CF4B93"/>
    <w:rsid w:val="00D0685D"/>
    <w:rsid w:val="00D14EAF"/>
    <w:rsid w:val="00D20378"/>
    <w:rsid w:val="00D24592"/>
    <w:rsid w:val="00D3247D"/>
    <w:rsid w:val="00D42C4A"/>
    <w:rsid w:val="00D47153"/>
    <w:rsid w:val="00D50F45"/>
    <w:rsid w:val="00D6743D"/>
    <w:rsid w:val="00D90F26"/>
    <w:rsid w:val="00D94E6D"/>
    <w:rsid w:val="00DA653D"/>
    <w:rsid w:val="00DB41FE"/>
    <w:rsid w:val="00DC1C13"/>
    <w:rsid w:val="00DC2500"/>
    <w:rsid w:val="00DD69E7"/>
    <w:rsid w:val="00DE59CC"/>
    <w:rsid w:val="00DF2C4F"/>
    <w:rsid w:val="00DF30CB"/>
    <w:rsid w:val="00DF5F03"/>
    <w:rsid w:val="00DF79FD"/>
    <w:rsid w:val="00E03BBE"/>
    <w:rsid w:val="00E055E3"/>
    <w:rsid w:val="00E12EFF"/>
    <w:rsid w:val="00E25701"/>
    <w:rsid w:val="00E345BA"/>
    <w:rsid w:val="00E46030"/>
    <w:rsid w:val="00E50075"/>
    <w:rsid w:val="00E553C2"/>
    <w:rsid w:val="00E634D3"/>
    <w:rsid w:val="00E71CB2"/>
    <w:rsid w:val="00E72B45"/>
    <w:rsid w:val="00EA01C1"/>
    <w:rsid w:val="00EB05DB"/>
    <w:rsid w:val="00EB253A"/>
    <w:rsid w:val="00EB5410"/>
    <w:rsid w:val="00ED1F23"/>
    <w:rsid w:val="00ED561D"/>
    <w:rsid w:val="00EE7C46"/>
    <w:rsid w:val="00EF5E9B"/>
    <w:rsid w:val="00F006F9"/>
    <w:rsid w:val="00F00E26"/>
    <w:rsid w:val="00F07520"/>
    <w:rsid w:val="00F24D33"/>
    <w:rsid w:val="00F252F2"/>
    <w:rsid w:val="00F31ADC"/>
    <w:rsid w:val="00F33ECC"/>
    <w:rsid w:val="00F3524F"/>
    <w:rsid w:val="00F401F3"/>
    <w:rsid w:val="00F42752"/>
    <w:rsid w:val="00F678C8"/>
    <w:rsid w:val="00F82C7F"/>
    <w:rsid w:val="00F85F14"/>
    <w:rsid w:val="00FC26F7"/>
    <w:rsid w:val="00FF192F"/>
    <w:rsid w:val="00F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6CAE"/>
  <w15:docId w15:val="{34EDEF35-7F89-4A15-A2DA-D8CF6280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1DF"/>
  </w:style>
  <w:style w:type="paragraph" w:styleId="Nagwek1">
    <w:name w:val="heading 1"/>
    <w:basedOn w:val="Normalny"/>
    <w:link w:val="Nagwek1Znak"/>
    <w:qFormat/>
    <w:rsid w:val="005C30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5C30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qFormat/>
    <w:rsid w:val="005C30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A5643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643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06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C30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306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564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64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SST">
    <w:name w:val="Nagłówek SST"/>
    <w:basedOn w:val="Normalny"/>
    <w:next w:val="Normalny"/>
    <w:qFormat/>
    <w:rsid w:val="001051DF"/>
    <w:pPr>
      <w:spacing w:before="240" w:after="0" w:line="360" w:lineRule="auto"/>
      <w:ind w:left="567"/>
    </w:pPr>
    <w:rPr>
      <w:b/>
      <w:caps/>
      <w:sz w:val="16"/>
    </w:rPr>
  </w:style>
  <w:style w:type="paragraph" w:styleId="Spistreci1">
    <w:name w:val="toc 1"/>
    <w:aliases w:val="Spis specyfikacji"/>
    <w:basedOn w:val="Normalny"/>
    <w:autoRedefine/>
    <w:uiPriority w:val="39"/>
    <w:unhideWhenUsed/>
    <w:qFormat/>
    <w:rsid w:val="00063F4F"/>
    <w:pPr>
      <w:tabs>
        <w:tab w:val="right" w:leader="dot" w:pos="9639"/>
      </w:tabs>
      <w:spacing w:after="0" w:line="240" w:lineRule="auto"/>
      <w:ind w:left="1134" w:hanging="1134"/>
    </w:pPr>
    <w:rPr>
      <w:rFonts w:eastAsia="Times New Roman" w:cstheme="minorHAnsi"/>
      <w:caps/>
      <w:noProof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5C306E"/>
    <w:rPr>
      <w:color w:val="0000FF"/>
      <w:u w:val="single"/>
    </w:rPr>
  </w:style>
  <w:style w:type="paragraph" w:customStyle="1" w:styleId="tekstost">
    <w:name w:val="tekstost"/>
    <w:basedOn w:val="Normalny"/>
    <w:rsid w:val="005C3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FAB"/>
  </w:style>
  <w:style w:type="paragraph" w:styleId="Spistreci2">
    <w:name w:val="toc 2"/>
    <w:basedOn w:val="Normalny"/>
    <w:next w:val="Normalny"/>
    <w:autoRedefine/>
    <w:unhideWhenUsed/>
    <w:qFormat/>
    <w:rsid w:val="005C306E"/>
    <w:pPr>
      <w:spacing w:after="100"/>
      <w:ind w:left="220"/>
    </w:pPr>
    <w:rPr>
      <w:sz w:val="20"/>
    </w:rPr>
  </w:style>
  <w:style w:type="paragraph" w:styleId="Stopka">
    <w:name w:val="footer"/>
    <w:basedOn w:val="Normalny"/>
    <w:link w:val="StopkaZnak"/>
    <w:unhideWhenUsed/>
    <w:rsid w:val="00CC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FAB"/>
  </w:style>
  <w:style w:type="paragraph" w:customStyle="1" w:styleId="PunktySST">
    <w:name w:val="Punkty SST"/>
    <w:basedOn w:val="Normalny"/>
    <w:qFormat/>
    <w:rsid w:val="00150468"/>
    <w:pPr>
      <w:spacing w:before="240" w:after="0" w:line="240" w:lineRule="auto"/>
      <w:outlineLvl w:val="1"/>
    </w:pPr>
    <w:rPr>
      <w:rFonts w:eastAsia="Times New Roman" w:cstheme="minorHAnsi"/>
      <w:b/>
      <w:bCs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97406B"/>
    <w:rPr>
      <w:b/>
      <w:bCs/>
    </w:rPr>
  </w:style>
  <w:style w:type="paragraph" w:styleId="Akapitzlist">
    <w:name w:val="List Paragraph"/>
    <w:basedOn w:val="Normalny"/>
    <w:uiPriority w:val="34"/>
    <w:qFormat/>
    <w:rsid w:val="00C4182C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354C8"/>
    <w:rPr>
      <w:color w:val="808080"/>
    </w:rPr>
  </w:style>
  <w:style w:type="paragraph" w:styleId="Tekstprzypisudolnego">
    <w:name w:val="footnote text"/>
    <w:basedOn w:val="Normalny"/>
    <w:link w:val="TekstprzypisudolnegoZnak"/>
    <w:unhideWhenUsed/>
    <w:rsid w:val="000D1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D1C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A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A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A19"/>
    <w:rPr>
      <w:vertAlign w:val="superscript"/>
    </w:rPr>
  </w:style>
  <w:style w:type="paragraph" w:customStyle="1" w:styleId="StylNagwek10ptPogrubienie">
    <w:name w:val="Styl Nagłówek + 10 pt Pogrubienie"/>
    <w:basedOn w:val="Nagwek"/>
    <w:link w:val="StylNagwek10ptPogrubienieZnak"/>
    <w:rsid w:val="00BF7F75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StylNagwek10ptPogrubienieZnak">
    <w:name w:val="Styl Nagłówek + 10 pt Pogrubienie Znak"/>
    <w:basedOn w:val="NagwekZnak"/>
    <w:link w:val="StylNagwek10ptPogrubienie"/>
    <w:rsid w:val="00BF7F75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tekstost0">
    <w:name w:val="tekst ost"/>
    <w:basedOn w:val="Normalny"/>
    <w:rsid w:val="003A04B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tekst"/>
    <w:basedOn w:val="Normalny"/>
    <w:rsid w:val="000E6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iwony"/>
    <w:basedOn w:val="Normalny"/>
    <w:rsid w:val="000E6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433"/>
    <w:rPr>
      <w:rFonts w:ascii="Tahoma" w:hAnsi="Tahoma" w:cs="Tahoma"/>
      <w:sz w:val="16"/>
      <w:szCs w:val="16"/>
    </w:rPr>
  </w:style>
  <w:style w:type="paragraph" w:styleId="Spistreci3">
    <w:name w:val="toc 3"/>
    <w:basedOn w:val="Normalny"/>
    <w:next w:val="Normalny"/>
    <w:qFormat/>
    <w:rsid w:val="00A56433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40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rsid w:val="00A56433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rsid w:val="00A56433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rsid w:val="00A56433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rsid w:val="00A56433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rsid w:val="00A56433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rsid w:val="00A56433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A56433"/>
  </w:style>
  <w:style w:type="paragraph" w:customStyle="1" w:styleId="StylIwony0">
    <w:name w:val="Styl Iwony"/>
    <w:basedOn w:val="Normalny"/>
    <w:rsid w:val="00A56433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56433"/>
    <w:rPr>
      <w:vertAlign w:val="superscript"/>
    </w:rPr>
  </w:style>
  <w:style w:type="paragraph" w:customStyle="1" w:styleId="Standardowytekst0">
    <w:name w:val="Standardowy.tekst"/>
    <w:link w:val="StandardowytekstZnak"/>
    <w:rsid w:val="00A5643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0"/>
    <w:rsid w:val="00A564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56433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Rysunek">
    <w:name w:val="Rysunek"/>
    <w:basedOn w:val="Normalny"/>
    <w:next w:val="Tekstpodstawowy"/>
    <w:rsid w:val="00A56433"/>
    <w:pPr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2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56433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564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643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64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5643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6433"/>
    <w:rPr>
      <w:rFonts w:ascii="Times New Roman" w:eastAsia="Times New Roman" w:hAnsi="Times New Roman" w:cs="Times New Roman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56433"/>
    <w:pPr>
      <w:numPr>
        <w:ilvl w:val="12"/>
      </w:numPr>
      <w:overflowPunct w:val="0"/>
      <w:autoSpaceDE w:val="0"/>
      <w:autoSpaceDN w:val="0"/>
      <w:adjustRightInd w:val="0"/>
      <w:spacing w:after="0" w:line="240" w:lineRule="auto"/>
      <w:ind w:left="851" w:hanging="851"/>
      <w:jc w:val="center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564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56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564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564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56433"/>
    <w:rPr>
      <w:sz w:val="16"/>
      <w:szCs w:val="16"/>
    </w:rPr>
  </w:style>
  <w:style w:type="paragraph" w:customStyle="1" w:styleId="Tekstpodstawowy31">
    <w:name w:val="Tekst podstawowy 31"/>
    <w:basedOn w:val="Normalny"/>
    <w:rsid w:val="00A5643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A56433"/>
    <w:pPr>
      <w:widowControl w:val="0"/>
      <w:tabs>
        <w:tab w:val="left" w:pos="708"/>
      </w:tabs>
      <w:overflowPunct w:val="0"/>
      <w:autoSpaceDE w:val="0"/>
      <w:autoSpaceDN w:val="0"/>
      <w:adjustRightInd w:val="0"/>
      <w:spacing w:after="0" w:line="240" w:lineRule="auto"/>
      <w:ind w:left="708" w:hanging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A56433"/>
    <w:pPr>
      <w:widowControl w:val="0"/>
      <w:overflowPunct w:val="0"/>
      <w:autoSpaceDE w:val="0"/>
      <w:autoSpaceDN w:val="0"/>
      <w:adjustRightInd w:val="0"/>
      <w:spacing w:after="0" w:line="240" w:lineRule="auto"/>
      <w:ind w:left="709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owanie">
    <w:name w:val="Numerowanie"/>
    <w:basedOn w:val="Tekstpodstawowy"/>
    <w:rsid w:val="00A56433"/>
    <w:pPr>
      <w:widowControl w:val="0"/>
      <w:spacing w:after="0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A56433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tablicy">
    <w:name w:val="Tekst tablicy"/>
    <w:basedOn w:val="Tekstpodstawowy"/>
    <w:next w:val="Tekstpodstawowy"/>
    <w:rsid w:val="00A56433"/>
    <w:pPr>
      <w:keepLines/>
      <w:overflowPunct/>
      <w:autoSpaceDE/>
      <w:autoSpaceDN/>
      <w:adjustRightInd/>
      <w:spacing w:after="0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autoRedefine/>
    <w:rsid w:val="00A56433"/>
    <w:pPr>
      <w:numPr>
        <w:numId w:val="2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C454E3"/>
    <w:pPr>
      <w:overflowPunct w:val="0"/>
      <w:autoSpaceDE w:val="0"/>
      <w:autoSpaceDN w:val="0"/>
      <w:adjustRightInd w:val="0"/>
      <w:spacing w:before="120" w:after="120" w:line="240" w:lineRule="auto"/>
      <w:ind w:right="-11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C454E3"/>
    <w:pPr>
      <w:overflowPunct w:val="0"/>
      <w:autoSpaceDE w:val="0"/>
      <w:autoSpaceDN w:val="0"/>
      <w:adjustRightInd w:val="0"/>
      <w:spacing w:after="0" w:line="240" w:lineRule="auto"/>
      <w:ind w:left="142" w:firstLine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2">
    <w:name w:val="Tekst podstawowy wcięty 32"/>
    <w:basedOn w:val="Normalny"/>
    <w:rsid w:val="00C454E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60A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0">
    <w:name w:val="_10"/>
    <w:basedOn w:val="Normalny"/>
    <w:rsid w:val="000A7B5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rsid w:val="000A7B5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0A7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egenda">
    <w:name w:val="caption"/>
    <w:basedOn w:val="Normalny"/>
    <w:next w:val="Normalny"/>
    <w:qFormat/>
    <w:rsid w:val="000A7B5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Arial12ptWyjustowanyInterlinia15wiersza">
    <w:name w:val="Styl Arial 12 pt Wyjustowany Interlinia:  15 wiersza"/>
    <w:basedOn w:val="Normalny"/>
    <w:rsid w:val="000A7B5C"/>
    <w:pPr>
      <w:spacing w:after="0" w:line="360" w:lineRule="auto"/>
      <w:ind w:left="425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LegendaWyjustowany">
    <w:name w:val="Styl Legenda + Wyjustowany"/>
    <w:basedOn w:val="Legenda"/>
    <w:rsid w:val="000A7B5C"/>
    <w:pPr>
      <w:ind w:left="425"/>
      <w:jc w:val="center"/>
    </w:pPr>
  </w:style>
  <w:style w:type="numbering" w:customStyle="1" w:styleId="StylStylStylKonspektynumerowaneKonspektynumerowane12pt">
    <w:name w:val="Styl Styl Styl Konspekty numerowane + Konspekty numerowane 12 pt +..."/>
    <w:basedOn w:val="Bezlisty"/>
    <w:rsid w:val="000A7B5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6ED04-0D6C-4157-A575-D5198692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1338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ceg4</dc:creator>
  <cp:lastModifiedBy>ajur</cp:lastModifiedBy>
  <cp:revision>4</cp:revision>
  <cp:lastPrinted>2011-08-11T14:36:00Z</cp:lastPrinted>
  <dcterms:created xsi:type="dcterms:W3CDTF">2012-12-11T11:31:00Z</dcterms:created>
  <dcterms:modified xsi:type="dcterms:W3CDTF">2024-06-25T08:39:00Z</dcterms:modified>
</cp:coreProperties>
</file>