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D6" w:rsidRPr="00B06CD6" w:rsidRDefault="00B06CD6" w:rsidP="00B06CD6">
      <w:pPr>
        <w:widowControl w:val="0"/>
        <w:suppressAutoHyphens/>
        <w:spacing w:after="0" w:line="288" w:lineRule="auto"/>
        <w:rPr>
          <w:rFonts w:cs="Calibri"/>
        </w:rPr>
      </w:pPr>
    </w:p>
    <w:p w:rsidR="00B06CD6" w:rsidRPr="00B06CD6" w:rsidRDefault="00B06CD6" w:rsidP="00B06CD6">
      <w:pPr>
        <w:widowControl w:val="0"/>
        <w:suppressAutoHyphens/>
        <w:spacing w:after="0" w:line="288" w:lineRule="auto"/>
        <w:rPr>
          <w:rFonts w:cs="Calibri"/>
        </w:rPr>
      </w:pPr>
    </w:p>
    <w:p w:rsidR="00B06CD6" w:rsidRPr="00B06CD6" w:rsidRDefault="00B06CD6" w:rsidP="00B06CD6">
      <w:pPr>
        <w:widowControl w:val="0"/>
        <w:suppressAutoHyphens/>
        <w:spacing w:after="0" w:line="288" w:lineRule="auto"/>
        <w:rPr>
          <w:rFonts w:cs="Calibri"/>
        </w:rPr>
      </w:pPr>
      <w:r w:rsidRPr="00B06CD6">
        <w:rPr>
          <w:rFonts w:cs="Calibri"/>
        </w:rPr>
        <w:t xml:space="preserve">ZP/61/2020                                                                                                    </w:t>
      </w:r>
      <w:r w:rsidR="0007382B">
        <w:rPr>
          <w:rFonts w:cs="Calibri"/>
        </w:rPr>
        <w:t>Gdańsk, dnia 17</w:t>
      </w:r>
      <w:r w:rsidRPr="00B06CD6">
        <w:rPr>
          <w:rFonts w:cs="Calibri"/>
        </w:rPr>
        <w:t>.08.2020r.</w:t>
      </w:r>
    </w:p>
    <w:p w:rsidR="00B06CD6" w:rsidRPr="00B06CD6" w:rsidRDefault="00B06CD6" w:rsidP="00B06CD6">
      <w:pPr>
        <w:widowControl w:val="0"/>
        <w:suppressAutoHyphens/>
        <w:spacing w:after="0" w:line="288" w:lineRule="auto"/>
        <w:rPr>
          <w:rFonts w:cs="Calibri"/>
        </w:rPr>
      </w:pPr>
    </w:p>
    <w:p w:rsidR="00B06CD6" w:rsidRPr="00B06CD6" w:rsidRDefault="00B06CD6" w:rsidP="00B06CD6">
      <w:pPr>
        <w:widowControl w:val="0"/>
        <w:suppressAutoHyphens/>
        <w:spacing w:after="0" w:line="288" w:lineRule="auto"/>
        <w:rPr>
          <w:rFonts w:cs="Calibri"/>
        </w:rPr>
      </w:pPr>
    </w:p>
    <w:p w:rsidR="00B06CD6" w:rsidRPr="00B06CD6" w:rsidRDefault="00B06CD6" w:rsidP="00B06CD6">
      <w:pPr>
        <w:widowControl w:val="0"/>
        <w:suppressAutoHyphens/>
        <w:spacing w:after="0" w:line="288" w:lineRule="auto"/>
        <w:jc w:val="center"/>
        <w:rPr>
          <w:rFonts w:cs="Calibri"/>
        </w:rPr>
      </w:pPr>
    </w:p>
    <w:p w:rsidR="00B06CD6" w:rsidRPr="00B06CD6" w:rsidRDefault="00B06CD6" w:rsidP="00B06CD6">
      <w:pPr>
        <w:widowControl w:val="0"/>
        <w:suppressAutoHyphens/>
        <w:spacing w:after="0" w:line="288" w:lineRule="auto"/>
        <w:jc w:val="center"/>
        <w:rPr>
          <w:rFonts w:cs="Calibri"/>
        </w:rPr>
      </w:pPr>
      <w:r w:rsidRPr="00B06CD6">
        <w:rPr>
          <w:rFonts w:cs="Calibri"/>
        </w:rPr>
        <w:t>Do uczestników postępowania</w:t>
      </w:r>
    </w:p>
    <w:p w:rsidR="00B06CD6" w:rsidRPr="00B06CD6" w:rsidRDefault="00B06CD6" w:rsidP="00B06CD6">
      <w:pPr>
        <w:widowControl w:val="0"/>
        <w:suppressAutoHyphens/>
        <w:spacing w:after="0" w:line="288" w:lineRule="auto"/>
        <w:rPr>
          <w:rFonts w:cs="Calibri"/>
          <w:bCs/>
        </w:rPr>
      </w:pPr>
    </w:p>
    <w:p w:rsidR="00B06CD6" w:rsidRPr="00B06CD6" w:rsidRDefault="00B06CD6" w:rsidP="00B06CD6">
      <w:pPr>
        <w:tabs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eastAsia="Batang" w:cs="Calibri"/>
          <w:bCs/>
          <w:color w:val="000000"/>
        </w:rPr>
      </w:pPr>
      <w:r w:rsidRPr="00B06CD6">
        <w:rPr>
          <w:rFonts w:cs="Calibri"/>
        </w:rPr>
        <w:t>Dotyczy: postępowania o udzielenie zamówienia nr ZP/61/2020</w:t>
      </w:r>
      <w:r w:rsidRPr="00B06CD6">
        <w:rPr>
          <w:rFonts w:cs="Calibri"/>
          <w:color w:val="000000"/>
        </w:rPr>
        <w:t xml:space="preserve"> na </w:t>
      </w:r>
      <w:r w:rsidRPr="00B06CD6">
        <w:rPr>
          <w:rFonts w:cs="Calibri"/>
        </w:rPr>
        <w:t>wykonanie  remontu pomieszczeń pierwszego piętra budynku nr 15 przy ul. Dębinki 7 w Gdańsku.</w:t>
      </w:r>
    </w:p>
    <w:p w:rsidR="00B06CD6" w:rsidRPr="00B06CD6" w:rsidRDefault="00B06CD6" w:rsidP="00B06CD6">
      <w:pPr>
        <w:suppressAutoHyphens/>
        <w:spacing w:after="0" w:line="288" w:lineRule="auto"/>
        <w:jc w:val="both"/>
        <w:rPr>
          <w:rFonts w:eastAsia="Calibri" w:cs="Calibri"/>
        </w:rPr>
      </w:pPr>
    </w:p>
    <w:p w:rsidR="00B06CD6" w:rsidRPr="00B06CD6" w:rsidRDefault="00B06CD6" w:rsidP="00B06CD6">
      <w:pPr>
        <w:widowControl w:val="0"/>
        <w:suppressAutoHyphens/>
        <w:spacing w:after="0" w:line="288" w:lineRule="auto"/>
        <w:jc w:val="both"/>
        <w:rPr>
          <w:rFonts w:cs="Calibri"/>
        </w:rPr>
      </w:pPr>
      <w:r w:rsidRPr="00B06CD6">
        <w:rPr>
          <w:rFonts w:cs="Calibri"/>
        </w:rPr>
        <w:t>Gdański Uniwersytet Medyczny, jako Zamawiający zawiadamia, iż na zgłoszone pisemnie pytania udziela odpowiedzi w oparciu o art. 38 ust. 2 ustawy Prawo zamówień publicznych (tekst jednolity Dz.U. z 2019r. poz. 1843) jak niżej:</w:t>
      </w:r>
    </w:p>
    <w:p w:rsidR="00B06CD6" w:rsidRPr="00B06CD6" w:rsidRDefault="00B06CD6" w:rsidP="00B06CD6">
      <w:pPr>
        <w:suppressAutoHyphens/>
        <w:spacing w:after="0" w:line="288" w:lineRule="auto"/>
        <w:jc w:val="both"/>
        <w:rPr>
          <w:rFonts w:eastAsia="Calibri" w:cs="Calibri"/>
        </w:rPr>
      </w:pPr>
    </w:p>
    <w:p w:rsidR="0007382B" w:rsidRDefault="00B06CD6" w:rsidP="0007382B">
      <w:pPr>
        <w:widowControl w:val="0"/>
        <w:suppressAutoHyphens/>
        <w:spacing w:after="0"/>
        <w:jc w:val="both"/>
      </w:pPr>
      <w:r w:rsidRPr="00B06CD6">
        <w:rPr>
          <w:rFonts w:cs="Calibri"/>
          <w:b/>
        </w:rPr>
        <w:t xml:space="preserve">Pytanie 1: </w:t>
      </w:r>
      <w:r w:rsidR="0007382B">
        <w:t>I</w:t>
      </w:r>
      <w:r w:rsidR="0007382B">
        <w:t xml:space="preserve">nstalacja Kontroli Dostępu (KD) </w:t>
      </w:r>
      <w:r w:rsidR="0007382B">
        <w:t>(..)</w:t>
      </w:r>
      <w:r w:rsidR="00FE5947">
        <w:t xml:space="preserve"> </w:t>
      </w:r>
      <w:r w:rsidR="0007382B">
        <w:t xml:space="preserve">Unifikując instalację kontroli dostępu w </w:t>
      </w:r>
      <w:proofErr w:type="spellStart"/>
      <w:r w:rsidR="0007382B">
        <w:t>GUMedzie</w:t>
      </w:r>
      <w:proofErr w:type="spellEnd"/>
      <w:r w:rsidR="0007382B">
        <w:t xml:space="preserve"> decyzją Inwest</w:t>
      </w:r>
      <w:r w:rsidR="0007382B">
        <w:t xml:space="preserve">ora zastosowano system </w:t>
      </w:r>
      <w:proofErr w:type="spellStart"/>
      <w:r w:rsidR="0007382B">
        <w:t>Mercury</w:t>
      </w:r>
      <w:proofErr w:type="spellEnd"/>
      <w:r w:rsidR="0007382B">
        <w:t xml:space="preserve"> </w:t>
      </w:r>
      <w:r w:rsidR="0007382B">
        <w:t xml:space="preserve">Security oparty o kontroler główny LP1502 </w:t>
      </w:r>
      <w:r w:rsidR="0007382B">
        <w:t xml:space="preserve">                            </w:t>
      </w:r>
      <w:r w:rsidR="0007382B">
        <w:t xml:space="preserve">i kontrolery drzwiowe </w:t>
      </w:r>
      <w:r w:rsidR="0007382B">
        <w:t xml:space="preserve">MR62E obsługujące dwa przejścia </w:t>
      </w:r>
      <w:r w:rsidR="0007382B">
        <w:t>jednokierunkowe lub j</w:t>
      </w:r>
      <w:r w:rsidR="0007382B">
        <w:t xml:space="preserve">edno przejście dwukierunkowe (…) </w:t>
      </w:r>
      <w:r w:rsidR="0007382B">
        <w:t xml:space="preserve">W celu unifikacji KD z oprogramowaniem </w:t>
      </w:r>
      <w:proofErr w:type="spellStart"/>
      <w:r w:rsidR="0007382B">
        <w:t>Genetec</w:t>
      </w:r>
      <w:proofErr w:type="spellEnd"/>
      <w:r w:rsidR="0007382B">
        <w:t xml:space="preserve"> potrzebny jest jeszcze moduł Acc</w:t>
      </w:r>
      <w:r w:rsidR="0007382B">
        <w:t xml:space="preserve">ess </w:t>
      </w:r>
      <w:proofErr w:type="spellStart"/>
      <w:r w:rsidR="0007382B">
        <w:t>control</w:t>
      </w:r>
      <w:proofErr w:type="spellEnd"/>
      <w:r w:rsidR="0007382B">
        <w:t xml:space="preserve"> </w:t>
      </w:r>
      <w:proofErr w:type="spellStart"/>
      <w:r w:rsidR="0007382B">
        <w:t>Synergis</w:t>
      </w:r>
      <w:proofErr w:type="spellEnd"/>
      <w:r w:rsidR="0007382B">
        <w:t xml:space="preserve"> </w:t>
      </w:r>
      <w:proofErr w:type="spellStart"/>
      <w:r w:rsidR="0007382B">
        <w:t>Cloud</w:t>
      </w:r>
      <w:proofErr w:type="spellEnd"/>
      <w:r w:rsidR="0007382B">
        <w:t xml:space="preserve"> Link </w:t>
      </w:r>
      <w:r w:rsidR="0007382B">
        <w:t>Moduł ten nie został wyszczególniony w zapytaniu, w związku z czym czy należy go ująć w ofercie , czy tez zostanie</w:t>
      </w:r>
      <w:r w:rsidR="0007382B">
        <w:t xml:space="preserve"> dostarczony przez Inwestora?</w:t>
      </w:r>
    </w:p>
    <w:p w:rsidR="00FE5947" w:rsidRDefault="0007382B" w:rsidP="0007382B">
      <w:pPr>
        <w:widowControl w:val="0"/>
        <w:suppressAutoHyphens/>
        <w:spacing w:after="0"/>
        <w:jc w:val="both"/>
      </w:pPr>
      <w:r>
        <w:rPr>
          <w:b/>
        </w:rPr>
        <w:t xml:space="preserve">Odpowiedź: </w:t>
      </w:r>
      <w:r w:rsidR="00FE5947">
        <w:t xml:space="preserve">Tak proszę to ująć w ofercie,  moduł  Access </w:t>
      </w:r>
      <w:proofErr w:type="spellStart"/>
      <w:r w:rsidR="00FE5947">
        <w:t>control</w:t>
      </w:r>
      <w:proofErr w:type="spellEnd"/>
      <w:r w:rsidR="00FE5947">
        <w:t xml:space="preserve"> </w:t>
      </w:r>
      <w:proofErr w:type="spellStart"/>
      <w:r w:rsidR="00FE5947">
        <w:t>Synergis</w:t>
      </w:r>
      <w:proofErr w:type="spellEnd"/>
      <w:r w:rsidR="00FE5947">
        <w:t xml:space="preserve"> </w:t>
      </w:r>
      <w:proofErr w:type="spellStart"/>
      <w:r w:rsidR="00FE5947">
        <w:t>Cloud</w:t>
      </w:r>
      <w:proofErr w:type="spellEnd"/>
      <w:r w:rsidR="00FE5947">
        <w:t xml:space="preserve"> Link ma być zakupiony przez głównego wykonawcę</w:t>
      </w:r>
      <w:r w:rsidR="00FE5947">
        <w:t>.</w:t>
      </w:r>
    </w:p>
    <w:p w:rsidR="0007382B" w:rsidRDefault="0007382B" w:rsidP="0007382B">
      <w:pPr>
        <w:widowControl w:val="0"/>
        <w:suppressAutoHyphens/>
        <w:spacing w:after="0"/>
        <w:jc w:val="both"/>
      </w:pPr>
      <w:r>
        <w:br/>
      </w:r>
      <w:r w:rsidRPr="00B06CD6">
        <w:rPr>
          <w:rFonts w:cs="Calibri"/>
          <w:b/>
        </w:rPr>
        <w:t xml:space="preserve">Pytanie </w:t>
      </w:r>
      <w:r>
        <w:rPr>
          <w:rFonts w:cs="Calibri"/>
          <w:b/>
        </w:rPr>
        <w:t>2</w:t>
      </w:r>
      <w:r w:rsidRPr="00B06CD6">
        <w:rPr>
          <w:rFonts w:cs="Calibri"/>
          <w:b/>
        </w:rPr>
        <w:t xml:space="preserve">: </w:t>
      </w:r>
      <w:r>
        <w:t xml:space="preserve">Instalacja </w:t>
      </w:r>
      <w:proofErr w:type="spellStart"/>
      <w:r>
        <w:t>wideodomofonowa</w:t>
      </w:r>
      <w:proofErr w:type="spellEnd"/>
      <w:r>
        <w:t xml:space="preserve"> (..) </w:t>
      </w:r>
      <w:proofErr w:type="spellStart"/>
      <w:r>
        <w:t>Widedomofon</w:t>
      </w:r>
      <w:proofErr w:type="spellEnd"/>
      <w:r>
        <w:t xml:space="preserve"> będzie sterować </w:t>
      </w:r>
      <w:proofErr w:type="spellStart"/>
      <w:r>
        <w:t>elektrozaczepami</w:t>
      </w:r>
      <w:proofErr w:type="spellEnd"/>
      <w:r>
        <w:t xml:space="preserve"> w drzwiach na obie klatki schodowe i współpracować z ins</w:t>
      </w:r>
      <w:r>
        <w:t xml:space="preserve">talacją kontroli dostępu (..). </w:t>
      </w:r>
      <w:r>
        <w:t xml:space="preserve">Czy </w:t>
      </w:r>
      <w:proofErr w:type="spellStart"/>
      <w:r>
        <w:t>wideodomofon</w:t>
      </w:r>
      <w:proofErr w:type="spellEnd"/>
      <w:r>
        <w:t xml:space="preserve"> ma również podlegać unifikacji z platformą </w:t>
      </w:r>
      <w:proofErr w:type="spellStart"/>
      <w:r>
        <w:t>Genetec</w:t>
      </w:r>
      <w:proofErr w:type="spellEnd"/>
      <w:r>
        <w:t xml:space="preserve"> Security Center?</w:t>
      </w:r>
    </w:p>
    <w:p w:rsidR="00B06CD6" w:rsidRPr="00B06CD6" w:rsidRDefault="00B06CD6" w:rsidP="007E24BB">
      <w:pPr>
        <w:widowControl w:val="0"/>
        <w:suppressAutoHyphens/>
        <w:spacing w:after="120" w:line="288" w:lineRule="auto"/>
        <w:jc w:val="both"/>
        <w:rPr>
          <w:rFonts w:cs="Calibri"/>
        </w:rPr>
      </w:pPr>
      <w:r w:rsidRPr="00B06CD6">
        <w:rPr>
          <w:rFonts w:cs="Calibri"/>
          <w:b/>
          <w:color w:val="000000"/>
        </w:rPr>
        <w:t xml:space="preserve">Odpowiedź: </w:t>
      </w:r>
      <w:bookmarkStart w:id="0" w:name="_GoBack"/>
      <w:r w:rsidR="00FE5947" w:rsidRPr="00605AE1">
        <w:rPr>
          <w:rFonts w:cs="Calibri"/>
          <w:color w:val="000000"/>
        </w:rPr>
        <w:t>T</w:t>
      </w:r>
      <w:bookmarkEnd w:id="0"/>
      <w:r w:rsidR="00FE5947">
        <w:t xml:space="preserve">ak, </w:t>
      </w:r>
      <w:proofErr w:type="spellStart"/>
      <w:r w:rsidR="00FE5947">
        <w:t>wideodomofon</w:t>
      </w:r>
      <w:proofErr w:type="spellEnd"/>
      <w:r w:rsidR="00FE5947">
        <w:t xml:space="preserve"> ma podlegać unifikacji z </w:t>
      </w:r>
      <w:proofErr w:type="spellStart"/>
      <w:r w:rsidR="00FE5947">
        <w:t>Genetec</w:t>
      </w:r>
      <w:proofErr w:type="spellEnd"/>
      <w:r w:rsidR="00FE5947">
        <w:t>.</w:t>
      </w:r>
    </w:p>
    <w:p w:rsidR="00B06CD6" w:rsidRPr="00B06CD6" w:rsidRDefault="00B06CD6" w:rsidP="00B06CD6">
      <w:pPr>
        <w:tabs>
          <w:tab w:val="left" w:pos="1352"/>
          <w:tab w:val="right" w:pos="9299"/>
        </w:tabs>
        <w:suppressAutoHyphens/>
        <w:spacing w:after="0" w:line="288" w:lineRule="auto"/>
        <w:jc w:val="both"/>
        <w:rPr>
          <w:rFonts w:cs="Calibri"/>
        </w:rPr>
      </w:pPr>
    </w:p>
    <w:p w:rsidR="00B06CD6" w:rsidRPr="00B06CD6" w:rsidRDefault="00B06CD6" w:rsidP="00B06CD6">
      <w:pPr>
        <w:tabs>
          <w:tab w:val="left" w:pos="1352"/>
          <w:tab w:val="right" w:pos="9299"/>
        </w:tabs>
        <w:suppressAutoHyphens/>
        <w:spacing w:after="0" w:line="240" w:lineRule="auto"/>
        <w:jc w:val="both"/>
        <w:rPr>
          <w:rFonts w:cs="Calibri"/>
        </w:rPr>
      </w:pPr>
    </w:p>
    <w:p w:rsidR="00B06CD6" w:rsidRPr="00B06CD6" w:rsidRDefault="00B06CD6" w:rsidP="00B06CD6">
      <w:pPr>
        <w:widowControl w:val="0"/>
        <w:suppressAutoHyphens/>
        <w:spacing w:after="0" w:line="240" w:lineRule="auto"/>
        <w:ind w:left="3540" w:firstLine="708"/>
        <w:rPr>
          <w:rFonts w:cs="Calibri"/>
          <w:i/>
          <w:color w:val="FF0000"/>
          <w:sz w:val="18"/>
          <w:szCs w:val="18"/>
        </w:rPr>
      </w:pPr>
      <w:r w:rsidRPr="00B06CD6">
        <w:rPr>
          <w:rFonts w:cs="Calibri"/>
          <w:color w:val="FF0000"/>
          <w:sz w:val="20"/>
          <w:szCs w:val="20"/>
        </w:rPr>
        <w:tab/>
        <w:t xml:space="preserve">                                                </w:t>
      </w:r>
      <w:r w:rsidRPr="00B06CD6">
        <w:rPr>
          <w:rFonts w:cs="Calibri"/>
          <w:i/>
          <w:color w:val="FF0000"/>
          <w:sz w:val="18"/>
          <w:szCs w:val="18"/>
        </w:rPr>
        <w:t xml:space="preserve"> </w:t>
      </w:r>
    </w:p>
    <w:p w:rsidR="00B06CD6" w:rsidRPr="00B06CD6" w:rsidRDefault="00B06CD6" w:rsidP="00B06CD6">
      <w:pPr>
        <w:widowControl w:val="0"/>
        <w:suppressAutoHyphens/>
        <w:spacing w:after="0" w:line="240" w:lineRule="auto"/>
        <w:ind w:left="3540" w:firstLine="708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B06CD6">
        <w:rPr>
          <w:rFonts w:cs="Calibri"/>
          <w:i/>
          <w:color w:val="FF0000"/>
          <w:sz w:val="20"/>
          <w:szCs w:val="20"/>
        </w:rPr>
        <w:t xml:space="preserve">                                                </w:t>
      </w:r>
    </w:p>
    <w:p w:rsidR="00B06CD6" w:rsidRPr="00B06CD6" w:rsidRDefault="00B06CD6" w:rsidP="00B06CD6">
      <w:pPr>
        <w:widowControl w:val="0"/>
        <w:suppressAutoHyphens/>
        <w:spacing w:after="0" w:line="240" w:lineRule="auto"/>
        <w:ind w:left="3540" w:firstLine="708"/>
        <w:jc w:val="center"/>
        <w:rPr>
          <w:rFonts w:cs="Calibri"/>
          <w:i/>
          <w:sz w:val="18"/>
          <w:szCs w:val="18"/>
        </w:rPr>
      </w:pPr>
      <w:r w:rsidRPr="00B06CD6">
        <w:rPr>
          <w:rFonts w:cs="Calibri"/>
          <w:i/>
          <w:sz w:val="18"/>
          <w:szCs w:val="18"/>
        </w:rPr>
        <w:t>Kanclerz</w:t>
      </w:r>
    </w:p>
    <w:p w:rsidR="00B06CD6" w:rsidRPr="00B06CD6" w:rsidRDefault="00B06CD6" w:rsidP="00B06CD6">
      <w:pPr>
        <w:widowControl w:val="0"/>
        <w:suppressAutoHyphens/>
        <w:spacing w:after="0" w:line="240" w:lineRule="auto"/>
        <w:rPr>
          <w:rFonts w:cs="Calibri"/>
          <w:i/>
          <w:sz w:val="18"/>
          <w:szCs w:val="18"/>
        </w:rPr>
      </w:pP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  <w:t xml:space="preserve">    </w:t>
      </w:r>
      <w:r w:rsidR="00FE5947">
        <w:rPr>
          <w:rFonts w:cs="Calibri"/>
          <w:i/>
          <w:sz w:val="18"/>
          <w:szCs w:val="18"/>
        </w:rPr>
        <w:t>/-/</w:t>
      </w:r>
    </w:p>
    <w:p w:rsidR="00B06CD6" w:rsidRPr="00B06CD6" w:rsidRDefault="00B06CD6" w:rsidP="00B06CD6">
      <w:pPr>
        <w:widowControl w:val="0"/>
        <w:suppressAutoHyphens/>
        <w:spacing w:after="0" w:line="240" w:lineRule="auto"/>
        <w:ind w:left="3540" w:firstLine="708"/>
        <w:jc w:val="center"/>
        <w:rPr>
          <w:rFonts w:cs="Calibri"/>
          <w:i/>
          <w:sz w:val="18"/>
          <w:szCs w:val="18"/>
        </w:rPr>
      </w:pPr>
      <w:r w:rsidRPr="00B06CD6">
        <w:rPr>
          <w:rFonts w:cs="Calibri"/>
          <w:i/>
          <w:sz w:val="18"/>
          <w:szCs w:val="18"/>
        </w:rPr>
        <w:t xml:space="preserve">mgr Marek Langowski        </w:t>
      </w:r>
    </w:p>
    <w:p w:rsidR="00B31E84" w:rsidRDefault="00B31E84" w:rsidP="00B06CD6"/>
    <w:p w:rsidR="00FE5947" w:rsidRPr="00FE5947" w:rsidRDefault="00FE5947" w:rsidP="00B06CD6">
      <w:pPr>
        <w:rPr>
          <w:i/>
          <w:sz w:val="18"/>
          <w:szCs w:val="18"/>
        </w:rPr>
      </w:pPr>
      <w:r w:rsidRPr="00FE5947">
        <w:rPr>
          <w:i/>
          <w:sz w:val="18"/>
          <w:szCs w:val="18"/>
        </w:rPr>
        <w:t>Sprawę prowadzi: Dagmara Zukowska</w:t>
      </w:r>
    </w:p>
    <w:sectPr w:rsidR="00FE5947" w:rsidRPr="00FE5947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20" w:rsidRDefault="00691B20" w:rsidP="000A396A">
      <w:pPr>
        <w:spacing w:after="0" w:line="240" w:lineRule="auto"/>
      </w:pPr>
      <w:r>
        <w:separator/>
      </w:r>
    </w:p>
  </w:endnote>
  <w:endnote w:type="continuationSeparator" w:id="0">
    <w:p w:rsidR="00691B20" w:rsidRDefault="00691B2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20" w:rsidRDefault="00691B20" w:rsidP="000A396A">
      <w:pPr>
        <w:spacing w:after="0" w:line="240" w:lineRule="auto"/>
      </w:pPr>
      <w:r>
        <w:separator/>
      </w:r>
    </w:p>
  </w:footnote>
  <w:footnote w:type="continuationSeparator" w:id="0">
    <w:p w:rsidR="00691B20" w:rsidRDefault="00691B2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7382B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550603"/>
    <w:rsid w:val="00566180"/>
    <w:rsid w:val="005862F3"/>
    <w:rsid w:val="005D6C67"/>
    <w:rsid w:val="005E23AA"/>
    <w:rsid w:val="00605AE1"/>
    <w:rsid w:val="00615D95"/>
    <w:rsid w:val="00691B20"/>
    <w:rsid w:val="006A4DF5"/>
    <w:rsid w:val="006D7D77"/>
    <w:rsid w:val="00706D3E"/>
    <w:rsid w:val="00743BFA"/>
    <w:rsid w:val="007E24BB"/>
    <w:rsid w:val="008B47B3"/>
    <w:rsid w:val="008C39AE"/>
    <w:rsid w:val="00904FD2"/>
    <w:rsid w:val="00934119"/>
    <w:rsid w:val="009A69DE"/>
    <w:rsid w:val="009F20EF"/>
    <w:rsid w:val="00A252C3"/>
    <w:rsid w:val="00A75E03"/>
    <w:rsid w:val="00AD46FB"/>
    <w:rsid w:val="00AE273E"/>
    <w:rsid w:val="00B06CD6"/>
    <w:rsid w:val="00B31E84"/>
    <w:rsid w:val="00B676E4"/>
    <w:rsid w:val="00B77CC9"/>
    <w:rsid w:val="00B844A3"/>
    <w:rsid w:val="00BC68AD"/>
    <w:rsid w:val="00D404AD"/>
    <w:rsid w:val="00DC46E4"/>
    <w:rsid w:val="00E02042"/>
    <w:rsid w:val="00E4349A"/>
    <w:rsid w:val="00E60550"/>
    <w:rsid w:val="00EA3AF2"/>
    <w:rsid w:val="00F96B34"/>
    <w:rsid w:val="00FC4CF6"/>
    <w:rsid w:val="00FD2CCB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5B97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114C-E3A6-4947-BAA1-DF145286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2020-08-17T11:39:00Z</cp:lastPrinted>
  <dcterms:created xsi:type="dcterms:W3CDTF">2020-08-17T11:40:00Z</dcterms:created>
  <dcterms:modified xsi:type="dcterms:W3CDTF">2020-08-17T11:41:00Z</dcterms:modified>
</cp:coreProperties>
</file>