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B72" w:rsidRPr="00CB7959" w:rsidRDefault="00C07B72" w:rsidP="00C07B72">
      <w:pPr>
        <w:pStyle w:val="Tekstpodstawowy"/>
        <w:jc w:val="right"/>
        <w:rPr>
          <w:rFonts w:asciiTheme="minorHAnsi" w:hAnsiTheme="minorHAnsi" w:cstheme="minorHAnsi"/>
          <w:sz w:val="22"/>
          <w:szCs w:val="22"/>
        </w:rPr>
      </w:pPr>
      <w:r w:rsidRPr="00CB7959">
        <w:rPr>
          <w:rFonts w:asciiTheme="minorHAnsi" w:hAnsiTheme="minorHAnsi" w:cstheme="minorHAnsi"/>
          <w:b/>
          <w:bCs/>
          <w:color w:val="000000"/>
          <w:sz w:val="22"/>
          <w:szCs w:val="22"/>
        </w:rPr>
        <w:t>M-I-2310-  ……./2024</w:t>
      </w:r>
    </w:p>
    <w:p w:rsidR="00C07B72" w:rsidRPr="00CB7959" w:rsidRDefault="00C07B72" w:rsidP="00C07B72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  <w:r w:rsidRPr="00CB7959">
        <w:rPr>
          <w:rFonts w:asciiTheme="minorHAnsi" w:hAnsiTheme="minorHAnsi" w:cstheme="minorHAnsi"/>
          <w:b/>
          <w:bCs/>
          <w:sz w:val="22"/>
          <w:szCs w:val="22"/>
        </w:rPr>
        <w:t>Załącznik nr 1</w:t>
      </w:r>
      <w:r w:rsidR="00CB7959" w:rsidRPr="00CB7959">
        <w:rPr>
          <w:rFonts w:asciiTheme="minorHAnsi" w:hAnsiTheme="minorHAnsi" w:cstheme="minorHAnsi"/>
          <w:b/>
          <w:bCs/>
          <w:sz w:val="22"/>
          <w:szCs w:val="22"/>
        </w:rPr>
        <w:t xml:space="preserve"> do umowy</w:t>
      </w:r>
      <w:r w:rsidR="0085153A" w:rsidRPr="00CB7959">
        <w:rPr>
          <w:rFonts w:asciiTheme="minorHAnsi" w:hAnsiTheme="minorHAnsi" w:cstheme="minorHAnsi"/>
          <w:b/>
          <w:bCs/>
          <w:sz w:val="22"/>
          <w:szCs w:val="22"/>
        </w:rPr>
        <w:t>, zadanie nr 2</w:t>
      </w:r>
    </w:p>
    <w:tbl>
      <w:tblPr>
        <w:tblW w:w="137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1393"/>
        <w:gridCol w:w="8870"/>
        <w:gridCol w:w="567"/>
        <w:gridCol w:w="592"/>
        <w:gridCol w:w="1899"/>
      </w:tblGrid>
      <w:tr w:rsidR="00CB7959" w:rsidRPr="00CB7959" w:rsidTr="00CB7959">
        <w:trPr>
          <w:trHeight w:val="574"/>
        </w:trPr>
        <w:tc>
          <w:tcPr>
            <w:tcW w:w="450" w:type="dxa"/>
            <w:shd w:val="clear" w:color="auto" w:fill="auto"/>
          </w:tcPr>
          <w:p w:rsidR="00CB7959" w:rsidRP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1393" w:type="dxa"/>
          </w:tcPr>
          <w:p w:rsidR="00CB7959" w:rsidRPr="00CB7959" w:rsidRDefault="00CB7959" w:rsidP="00CB7959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Przedmiot z</w:t>
            </w:r>
            <w:r w:rsidRPr="00CB7959">
              <w:rPr>
                <w:rFonts w:asciiTheme="minorHAnsi" w:hAnsiTheme="minorHAnsi" w:cstheme="minorHAnsi"/>
                <w:b/>
                <w:sz w:val="22"/>
                <w:szCs w:val="22"/>
              </w:rPr>
              <w:t>amówienia</w:t>
            </w:r>
          </w:p>
          <w:p w:rsidR="00CB7959" w:rsidRPr="00CB7959" w:rsidRDefault="00CB7959" w:rsidP="00CB7959">
            <w:pPr>
              <w:pStyle w:val="Bezodstpw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870" w:type="dxa"/>
            <w:shd w:val="clear" w:color="auto" w:fill="auto"/>
          </w:tcPr>
          <w:p w:rsidR="00CB7959" w:rsidRPr="00CB7959" w:rsidRDefault="00CB7959" w:rsidP="00CB7959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CB7959" w:rsidRPr="00CB7959" w:rsidRDefault="00CB7959" w:rsidP="00CB7959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r w:rsidRPr="00CB79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przedmiotu zamówienia – parametry minimalne  </w:t>
            </w:r>
            <w:bookmarkEnd w:id="0"/>
          </w:p>
        </w:tc>
        <w:tc>
          <w:tcPr>
            <w:tcW w:w="567" w:type="dxa"/>
            <w:shd w:val="clear" w:color="auto" w:fill="auto"/>
          </w:tcPr>
          <w:p w:rsidR="00CB7959" w:rsidRPr="00CB7959" w:rsidRDefault="00CB7959" w:rsidP="00CB7959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CB7959">
              <w:rPr>
                <w:rFonts w:asciiTheme="minorHAnsi" w:hAnsiTheme="minorHAnsi" w:cstheme="minorHAnsi"/>
                <w:b/>
                <w:sz w:val="22"/>
                <w:szCs w:val="22"/>
              </w:rPr>
              <w:t>j.m</w:t>
            </w:r>
            <w:proofErr w:type="spellEnd"/>
          </w:p>
        </w:tc>
        <w:tc>
          <w:tcPr>
            <w:tcW w:w="592" w:type="dxa"/>
            <w:shd w:val="clear" w:color="auto" w:fill="auto"/>
          </w:tcPr>
          <w:p w:rsidR="00CB7959" w:rsidRPr="00CB7959" w:rsidRDefault="00CB7959" w:rsidP="00CB7959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899" w:type="dxa"/>
            <w:shd w:val="clear" w:color="auto" w:fill="auto"/>
          </w:tcPr>
          <w:p w:rsidR="00CB7959" w:rsidRPr="00CB7959" w:rsidRDefault="00CB7959" w:rsidP="00CB7959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sz w:val="22"/>
                <w:szCs w:val="22"/>
              </w:rPr>
              <w:t>cena jednostkowa brutto</w:t>
            </w:r>
          </w:p>
        </w:tc>
      </w:tr>
      <w:tr w:rsidR="00CB7959" w:rsidRPr="00CB7959" w:rsidTr="00CB7959">
        <w:tc>
          <w:tcPr>
            <w:tcW w:w="450" w:type="dxa"/>
            <w:shd w:val="clear" w:color="auto" w:fill="auto"/>
          </w:tcPr>
          <w:p w:rsidR="00CB7959" w:rsidRP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:rsidR="00CB7959" w:rsidRP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Real Time PCR </w:t>
            </w:r>
          </w:p>
          <w:p w:rsidR="00CB7959" w:rsidRP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70" w:type="dxa"/>
            <w:shd w:val="clear" w:color="auto" w:fill="auto"/>
            <w:vAlign w:val="center"/>
          </w:tcPr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Urządzenie walidowane do pracy w genetyce sądowej, kompatybilne/</w:t>
            </w:r>
            <w:proofErr w:type="spellStart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zwalidowane</w:t>
            </w:r>
            <w:proofErr w:type="spellEnd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 xml:space="preserve"> na zestawy typu </w:t>
            </w:r>
            <w:proofErr w:type="spellStart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Quantifiler</w:t>
            </w:r>
            <w:proofErr w:type="spellEnd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 xml:space="preserve"> HID stosowane w kryminalistyce do oznaczania jakości i ilości ludzkiego DNA w próbkach, dostępny certyfikat walidacji.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Urządzenie wyposażone w komputer o parametrach pozwalających na opracowanie danych uzyskanych bezpośrednio z aparatu.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proofErr w:type="spellStart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Termocykler</w:t>
            </w:r>
            <w:proofErr w:type="spellEnd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 xml:space="preserve"> pracujący na elementach </w:t>
            </w:r>
            <w:proofErr w:type="spellStart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Peltiera</w:t>
            </w:r>
            <w:proofErr w:type="spellEnd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 xml:space="preserve"> z blokiem 96 dołkowym do pracy z płytkami i probówkami o objętości 0,2 ml. Objętość mieszaniny reakcyjnej w próbce 10-100 ul. Pozwala na pracę z 21 kolorami oraz umożliwia pracę w 6 niezależnych strefach grzejnych. W każdej strefie można ustalić inny profil temperaturowy.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Urządzenie umożliwiające czułość detekcji: od 1 kopii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Źródło wzbudzania fluorescencji – biała dioda LED.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Zbieranie danych: kamera CMOS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Urządzenie wyposażone w 6 kanałów emisyjnych /wzbudzających (450–680 </w:t>
            </w:r>
            <w:proofErr w:type="spellStart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 xml:space="preserve">/500–730 </w:t>
            </w:r>
            <w:proofErr w:type="spellStart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Urządzenie wyposażone w filtry detekcji minimum następujących barwników: FAMTM/</w:t>
            </w:r>
            <w:proofErr w:type="spellStart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SYBRTMGreen,VICTM</w:t>
            </w:r>
            <w:proofErr w:type="spellEnd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 xml:space="preserve">/JOETM/HEXTM/TETTM,ABYTM/NEDTM/TAMRATM /Cy®3, JUNTM, ROXTM/Texas </w:t>
            </w:r>
            <w:proofErr w:type="spellStart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RedTM</w:t>
            </w:r>
            <w:proofErr w:type="spellEnd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 xml:space="preserve">, Mustang PurpleTM,Cy®5/LIZ™, Cy®5.5. Możliwość jednoczesnego zbierania fluorescencji z </w:t>
            </w:r>
            <w:proofErr w:type="spellStart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Sybr</w:t>
            </w:r>
            <w:proofErr w:type="spellEnd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 xml:space="preserve"> Green oraz sond z próbek na jednej płytce.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Zakres temperatury w bloku grzejnego: 4</w:t>
            </w:r>
            <w:r w:rsidRPr="00CB795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0 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C - 99.9</w:t>
            </w:r>
            <w:r w:rsidRPr="00CB795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0 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C.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Zakres temperatury pokrywy grzejnej: 50 </w:t>
            </w:r>
            <w:r w:rsidRPr="00CB795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0 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 xml:space="preserve">C - 110 </w:t>
            </w:r>
            <w:r w:rsidRPr="00CB795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0 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C.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11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Maksymalny ramp </w:t>
            </w:r>
            <w:proofErr w:type="spellStart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rate</w:t>
            </w:r>
            <w:proofErr w:type="spellEnd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 xml:space="preserve">: 6.5 </w:t>
            </w:r>
            <w:r w:rsidRPr="00CB795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0 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C/sek.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12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Program kalkulujący automatycznie, w trakcie każdego cyklu PCR, udział poszczególnych barwników wchodzących w skład mieszaniny reakcyjnej.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Minimalnie wymagane funkcje: 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a)</w:t>
            </w: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 xml:space="preserve">zbieranie i przechowywanie danych, automatyczne wykreślanie krzywej dysocjacyjnej, automatyczne wykreślanie krzywej standardowej, oznaczanie ilościowe kwasów nukleinowych, oznaczanie jakościowe (+/-), analiza polimorfizmu pojedynczego nukleotydu (dyskryminacja alleli), zastosowanie kontroli wewnętrznej (IPC) i jej detekcji wraz z badaną próbką w jednym dołku płytki. 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b)</w:t>
            </w: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funkcja w oprogramowaniu umożliwiająca szybkie zliczenie objętości potrzebnych odczynników do złożenia reakcji na bloku, sygnalizowanie flagami próbek z błędami w oznaczeniu poziomu zebranej fluorescencji.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c)</w:t>
            </w: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 xml:space="preserve">możliwość dostępu do danych w chmurze z komputerów PC. 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d)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możliwość korzystania z programów do analizy ekspresji genów w chmurze producenta aparatu z możliwością przechowywania danych.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14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Urządzenie wyposażone w oprogramowanie dedykowane dla laboratoriów genetyki sądowej pozwalające na zdefiniowanie/ustawienie Zamawiającemu krzywej standardowej, a następnie na użycie tych wartości do kwantyfikacji DNA, wirtualna funkcjonalność krzywej standardowej. Zapewniające automatyczną analizę ilości DNA, normalizację próbek (rozcieńczeń), przeliczanie ilości DNA w próbce w zależności od stosowanego komercyjnie dostępnego zestawu do identyfikacji osobniczej, wyliczanie indeksu jakościowego (degradacji) i proporcji męskiego do żeńskiego DNA w próbce z zastosowaniem zestawów typu </w:t>
            </w:r>
            <w:proofErr w:type="spellStart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Quantifiler</w:t>
            </w:r>
            <w:proofErr w:type="spellEnd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15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Możliwość wykorzystywania aparatu także do celów naukowo-badawczych, m.in. badania SNP człowieka. 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16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Sterowanie aparatem za pomocą panelu dotykowego celem szybkiego wybrania protokołu do uruchomienia aparatu i rozpoczęcia reakcji bez konieczności sterowania z komputera. Pamięć min. 10 GB wbudowana w aparat z możliwością zapamiętania min. 4000 eksperymentów. Możliwość zapisywania danych w chmurze oferenta aparatu oraz na zewnętrznej kości pamięci. Możliwość przesyłania danych do chmury przez Wi-Fi oraz LAN.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17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Aparat wyposażony w port umożliwiający import lub export danych z aparatu do komputera lub na nośniki danych Flash.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19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Urządzenie przystosowane do standardu europejskiego (230 V, 50-60Hz).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Wymiary urządzenia nie większe niż 45 W x 60 D x 50 H cm, waga &lt; 30 kg.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21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Urządzenie musi posiadać deklarację zgodności CE.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23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Urządzenie musi być dostarczone fabrycznie nowe, w nienaruszonym opakowaniu, wyprodukowane w 2024 roku.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24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Autoryzowany serwis producenta gwarancyjny i pogwarancyjny dostępny na terenie Polski. 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25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Urządzenie objęte minimum 24 miesięczną gwarancją od daty podpisania protokołu odbioru.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26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Gwarancja obejmuje: przeprowadzenie bezpłatnego przeglądu serwisowego przed upływem terminu gwarancji, w 24 miesiącu, celem potwierdzenia prawidłowości działania urządzenia. Wszelkie koszty związane z dojazdem do siedziby użytkownika oraz wymianą materiałów eksploatacyjnych ponosi Wykonawca.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27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Serwis gwarancyjny oraz naprawy urządzenia wykonywane w siedzibie użytkownika.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28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Wykonawca przeprowadzi szkolenie aplikacyjne (potwierdzone certyfikatem) dla użytkowników, jednodniowe, w siedzibie Komendy Wojewódzkiej Policji w Poznaniu, oraz szkolenie w zakresie obsługi, konserwacji i użytkowania urządzenia w języku polskim lub tłumaczone na język polski.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29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Wykonawca dostarczy podręczniki i instrukcje użytkownika z zakresu obsługi sprzętu i oprogramowania w języku polskim lub w języku angielskim.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30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Oferowane urządzenie musi być kompletne i po zainstalowaniu i uruchomieniu przez Wykonawcę gotowe do pracy zgodnie z przeznaczeniem.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31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Urządzenie wyposażone w awaryjne podtrzymywanie zasilania typu UPS.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147914821"/>
            <w:bookmarkEnd w:id="1"/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czas reakcji serwisowej 72 godziny,</w:t>
            </w:r>
          </w:p>
          <w:p w:rsidR="00CB7959" w:rsidRPr="00CB7959" w:rsidRDefault="00CB7959" w:rsidP="00CB7959">
            <w:pPr>
              <w:pStyle w:val="Bezodstpw"/>
              <w:tabs>
                <w:tab w:val="left" w:pos="169"/>
                <w:tab w:val="left" w:pos="3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ab/>
              <w:t>czas naprawy urządzenia 21 dni roboczych (naprawa zwykła, naprawa przy konieczności sprowadzenia z zagranicy części zamiennych).</w:t>
            </w:r>
          </w:p>
          <w:p w:rsidR="00CB7959" w:rsidRP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959" w:rsidRP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Szt.</w:t>
            </w:r>
          </w:p>
        </w:tc>
        <w:tc>
          <w:tcPr>
            <w:tcW w:w="592" w:type="dxa"/>
            <w:shd w:val="clear" w:color="auto" w:fill="auto"/>
            <w:vAlign w:val="center"/>
          </w:tcPr>
          <w:p w:rsidR="00CB7959" w:rsidRPr="00CB7959" w:rsidRDefault="00CB7959" w:rsidP="00CB7959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795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99" w:type="dxa"/>
            <w:shd w:val="clear" w:color="auto" w:fill="auto"/>
          </w:tcPr>
          <w:p w:rsid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  <w:p w:rsid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B7959" w:rsidRPr="00CB7959" w:rsidRDefault="00CB7959" w:rsidP="00CB795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63CA8" w:rsidRDefault="00763CA8"/>
    <w:sectPr w:rsidR="00763CA8" w:rsidSect="00906E76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6A2D3E"/>
    <w:multiLevelType w:val="hybridMultilevel"/>
    <w:tmpl w:val="8C06677A"/>
    <w:lvl w:ilvl="0" w:tplc="3DB245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076BB5"/>
    <w:multiLevelType w:val="hybridMultilevel"/>
    <w:tmpl w:val="0AF4A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B2527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3F"/>
    <w:rsid w:val="00155217"/>
    <w:rsid w:val="00181E45"/>
    <w:rsid w:val="003F1F75"/>
    <w:rsid w:val="00763CA8"/>
    <w:rsid w:val="007D4511"/>
    <w:rsid w:val="00844B33"/>
    <w:rsid w:val="0085153A"/>
    <w:rsid w:val="008B7E5E"/>
    <w:rsid w:val="00906E76"/>
    <w:rsid w:val="00A7096B"/>
    <w:rsid w:val="00AB75CD"/>
    <w:rsid w:val="00C07B72"/>
    <w:rsid w:val="00C41288"/>
    <w:rsid w:val="00C41A3F"/>
    <w:rsid w:val="00C840D5"/>
    <w:rsid w:val="00C942FB"/>
    <w:rsid w:val="00CB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8CAA25-8E23-49E0-A9A6-71D41ABCB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B72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72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C07B72"/>
    <w:pPr>
      <w:suppressLineNumbers/>
    </w:pPr>
  </w:style>
  <w:style w:type="paragraph" w:styleId="Stopka">
    <w:name w:val="footer"/>
    <w:basedOn w:val="Normalny"/>
    <w:link w:val="StopkaZnak"/>
    <w:uiPriority w:val="99"/>
    <w:rsid w:val="00C07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7096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customStyle="1" w:styleId="western">
    <w:name w:val="western"/>
    <w:basedOn w:val="Normalny"/>
    <w:rsid w:val="0085153A"/>
    <w:pPr>
      <w:suppressAutoHyphens w:val="0"/>
      <w:spacing w:before="100" w:beforeAutospacing="1" w:after="142" w:line="276" w:lineRule="auto"/>
    </w:pPr>
    <w:rPr>
      <w:rFonts w:ascii="Arial" w:eastAsia="Times New Roman" w:hAnsi="Arial"/>
      <w:color w:val="000000"/>
      <w:kern w:val="0"/>
      <w:sz w:val="20"/>
      <w:szCs w:val="20"/>
      <w:lang w:eastAsia="pl-PL" w:bidi="ar-SA"/>
    </w:rPr>
  </w:style>
  <w:style w:type="paragraph" w:styleId="Bezodstpw">
    <w:name w:val="No Spacing"/>
    <w:uiPriority w:val="1"/>
    <w:qFormat/>
    <w:rsid w:val="00CB7959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2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A84826</dc:creator>
  <cp:lastModifiedBy>Monika Andruszkiewicz</cp:lastModifiedBy>
  <cp:revision>3</cp:revision>
  <dcterms:created xsi:type="dcterms:W3CDTF">2024-09-03T12:08:00Z</dcterms:created>
  <dcterms:modified xsi:type="dcterms:W3CDTF">2024-09-11T09:12:00Z</dcterms:modified>
</cp:coreProperties>
</file>