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7" w:rsidRPr="00CF0B9A" w:rsidRDefault="00891A45" w:rsidP="00036C17">
      <w:pPr>
        <w:pStyle w:val="Akapitzli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USŁUGA AKTUALIZACJI </w:t>
      </w:r>
      <w:r w:rsidR="00036C17" w:rsidRPr="00CF0B9A">
        <w:rPr>
          <w:b/>
          <w:sz w:val="22"/>
          <w:szCs w:val="22"/>
        </w:rPr>
        <w:t>OPROGRAMOWANI</w:t>
      </w:r>
      <w:r>
        <w:rPr>
          <w:b/>
          <w:sz w:val="22"/>
          <w:szCs w:val="22"/>
        </w:rPr>
        <w:t xml:space="preserve">A </w:t>
      </w:r>
      <w:r w:rsidR="00036C17" w:rsidRPr="00CF0B9A">
        <w:rPr>
          <w:b/>
          <w:sz w:val="22"/>
          <w:szCs w:val="22"/>
        </w:rPr>
        <w:t>GRAFICZNE</w:t>
      </w:r>
      <w:r>
        <w:rPr>
          <w:b/>
          <w:sz w:val="22"/>
          <w:szCs w:val="22"/>
        </w:rPr>
        <w:t xml:space="preserve">GO </w:t>
      </w:r>
      <w:r w:rsidR="00036C17" w:rsidRPr="00CF0B9A">
        <w:rPr>
          <w:b/>
          <w:sz w:val="22"/>
          <w:szCs w:val="22"/>
        </w:rPr>
        <w:t xml:space="preserve"> </w:t>
      </w:r>
      <w:proofErr w:type="spellStart"/>
      <w:r w:rsidR="00036C17" w:rsidRPr="00CF0B9A">
        <w:rPr>
          <w:b/>
          <w:sz w:val="22"/>
          <w:szCs w:val="22"/>
        </w:rPr>
        <w:t>QuarkXPress</w:t>
      </w:r>
      <w:proofErr w:type="spellEnd"/>
      <w:r w:rsidR="00036C17" w:rsidRPr="00CF0B9A">
        <w:rPr>
          <w:b/>
          <w:sz w:val="22"/>
          <w:szCs w:val="22"/>
        </w:rPr>
        <w:t xml:space="preserve"> aktualizacja do wersji </w:t>
      </w:r>
      <w:proofErr w:type="spellStart"/>
      <w:r w:rsidR="00036C17" w:rsidRPr="00CF0B9A">
        <w:rPr>
          <w:b/>
          <w:sz w:val="22"/>
          <w:szCs w:val="22"/>
        </w:rPr>
        <w:t>adventage</w:t>
      </w:r>
      <w:proofErr w:type="spellEnd"/>
      <w:r w:rsidR="00036C17" w:rsidRPr="00CF0B9A">
        <w:rPr>
          <w:b/>
          <w:sz w:val="22"/>
          <w:szCs w:val="22"/>
        </w:rPr>
        <w:t xml:space="preserve"> 2021/2022– subskrypcja 12 miesięcy, </w:t>
      </w:r>
      <w:r w:rsidR="008A0E8C">
        <w:rPr>
          <w:b/>
          <w:sz w:val="22"/>
          <w:szCs w:val="22"/>
        </w:rPr>
        <w:t>2</w:t>
      </w:r>
      <w:bookmarkStart w:id="0" w:name="_GoBack"/>
      <w:bookmarkEnd w:id="0"/>
      <w:r w:rsidR="00036C17" w:rsidRPr="00CF0B9A">
        <w:rPr>
          <w:b/>
          <w:sz w:val="22"/>
          <w:szCs w:val="22"/>
        </w:rPr>
        <w:t xml:space="preserve"> licencje</w:t>
      </w:r>
    </w:p>
    <w:p w:rsidR="00036C17" w:rsidRPr="00CF0B9A" w:rsidRDefault="00036C17" w:rsidP="00036C17">
      <w:pPr>
        <w:pStyle w:val="Akapitzlist"/>
        <w:rPr>
          <w:b/>
          <w:sz w:val="22"/>
          <w:szCs w:val="22"/>
        </w:rPr>
      </w:pPr>
    </w:p>
    <w:p w:rsidR="00891A45" w:rsidRDefault="00891A45" w:rsidP="00036C17">
      <w:pPr>
        <w:pStyle w:val="Akapitzlist"/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Przedmiotem postępowania jest usługa aktualizacji oprogramowania graficznego </w:t>
      </w:r>
      <w:proofErr w:type="spellStart"/>
      <w:r>
        <w:rPr>
          <w:sz w:val="22"/>
          <w:szCs w:val="22"/>
        </w:rPr>
        <w:t>QuarkXpress</w:t>
      </w:r>
      <w:proofErr w:type="spellEnd"/>
    </w:p>
    <w:p w:rsidR="00891A45" w:rsidRDefault="00891A45" w:rsidP="00036C17">
      <w:pPr>
        <w:pStyle w:val="Akapitzlist"/>
        <w:ind w:left="0" w:firstLine="360"/>
        <w:rPr>
          <w:sz w:val="22"/>
          <w:szCs w:val="22"/>
        </w:rPr>
      </w:pPr>
    </w:p>
    <w:p w:rsidR="00036C17" w:rsidRPr="00CF0B9A" w:rsidRDefault="00036C17" w:rsidP="00036C17">
      <w:pPr>
        <w:pStyle w:val="Akapitzlist"/>
        <w:ind w:left="0" w:firstLine="360"/>
        <w:rPr>
          <w:sz w:val="22"/>
          <w:szCs w:val="22"/>
        </w:rPr>
      </w:pPr>
      <w:r w:rsidRPr="00CF0B9A">
        <w:rPr>
          <w:sz w:val="22"/>
          <w:szCs w:val="22"/>
        </w:rPr>
        <w:t xml:space="preserve">Program </w:t>
      </w:r>
      <w:proofErr w:type="spellStart"/>
      <w:r w:rsidRPr="00CF0B9A">
        <w:rPr>
          <w:sz w:val="22"/>
          <w:szCs w:val="22"/>
        </w:rPr>
        <w:t>QuarkXPress</w:t>
      </w:r>
      <w:proofErr w:type="spellEnd"/>
      <w:r w:rsidR="008A30E9">
        <w:rPr>
          <w:sz w:val="22"/>
          <w:szCs w:val="22"/>
        </w:rPr>
        <w:t xml:space="preserve"> -</w:t>
      </w:r>
      <w:r w:rsidRPr="00CF0B9A">
        <w:rPr>
          <w:sz w:val="22"/>
          <w:szCs w:val="22"/>
        </w:rPr>
        <w:t xml:space="preserve"> aktualizacja do wersji </w:t>
      </w:r>
      <w:proofErr w:type="spellStart"/>
      <w:r w:rsidRPr="00CF0B9A">
        <w:rPr>
          <w:sz w:val="22"/>
          <w:szCs w:val="22"/>
        </w:rPr>
        <w:t>adventage</w:t>
      </w:r>
      <w:proofErr w:type="spellEnd"/>
      <w:r w:rsidRPr="00CF0B9A">
        <w:rPr>
          <w:sz w:val="22"/>
          <w:szCs w:val="22"/>
        </w:rPr>
        <w:t xml:space="preserve"> 2021/2022 lub równoważny o parametrach i funkcjonalnościach nie gorszych niż wskazane oprogramowanie.</w:t>
      </w:r>
    </w:p>
    <w:p w:rsidR="00036C17" w:rsidRPr="00CF0B9A" w:rsidRDefault="00036C17" w:rsidP="00036C17">
      <w:pPr>
        <w:ind w:firstLine="708"/>
        <w:jc w:val="both"/>
        <w:rPr>
          <w:sz w:val="22"/>
          <w:szCs w:val="22"/>
        </w:rPr>
      </w:pPr>
      <w:r w:rsidRPr="00CF0B9A">
        <w:rPr>
          <w:sz w:val="22"/>
          <w:szCs w:val="22"/>
        </w:rPr>
        <w:t xml:space="preserve">Za równoważny będzie uznane oprogramowanie, które umożliwia projektowanie wszelkiego rodzaju materiałów drukowanych np. broszur, folderów, katalogów, gazet, książek, opakowań produktów itp. Program posiada funkcję </w:t>
      </w:r>
      <w:proofErr w:type="spellStart"/>
      <w:r w:rsidRPr="00CF0B9A">
        <w:rPr>
          <w:sz w:val="22"/>
          <w:szCs w:val="22"/>
        </w:rPr>
        <w:t>QuarkVista</w:t>
      </w:r>
      <w:proofErr w:type="spellEnd"/>
      <w:r w:rsidRPr="00CF0B9A">
        <w:rPr>
          <w:sz w:val="22"/>
          <w:szCs w:val="22"/>
        </w:rPr>
        <w:t xml:space="preserve"> umożliwiającą edycję grafiki z możliwością użycia tzw. „nieniszczących filtrów”. </w:t>
      </w:r>
      <w:proofErr w:type="spellStart"/>
      <w:r w:rsidRPr="00CF0B9A">
        <w:rPr>
          <w:sz w:val="22"/>
          <w:szCs w:val="22"/>
        </w:rPr>
        <w:t>QuarkXPress</w:t>
      </w:r>
      <w:proofErr w:type="spellEnd"/>
      <w:r w:rsidRPr="00CF0B9A">
        <w:rPr>
          <w:sz w:val="22"/>
          <w:szCs w:val="22"/>
        </w:rPr>
        <w:t xml:space="preserve"> oferuje także narzędzia do tworzenia zakodowanych graficznie informacji w postaci kodów QR, pozwala na zapisywanie tworzonych projektów w formatach kompatybilnych z takimi urządzeniami jak iPad, Sony Reader, NOOK czy Kindle oraz umożliwia edycję wschodnioazjatyckiej </w:t>
      </w:r>
      <w:proofErr w:type="spellStart"/>
      <w:r w:rsidRPr="00CF0B9A">
        <w:rPr>
          <w:sz w:val="22"/>
          <w:szCs w:val="22"/>
        </w:rPr>
        <w:t>typografi</w:t>
      </w:r>
      <w:proofErr w:type="spellEnd"/>
      <w:r w:rsidRPr="00CF0B9A">
        <w:rPr>
          <w:sz w:val="22"/>
          <w:szCs w:val="22"/>
        </w:rPr>
        <w:t xml:space="preserve"> w każdej edycji programu. Będzie umożliwiać zaawansowane składanie tekstu, tworzenie stron oraz całych serwisów www, a także publikacji ebooków. Oprogramowanie ma wykorzystywać 64-bitową wydajność i funkcje do druku czy elektronicznych publikacji takich jak PDF/X-4 i gotowe szablony formatów </w:t>
      </w:r>
      <w:proofErr w:type="spellStart"/>
      <w:r w:rsidRPr="00CF0B9A">
        <w:rPr>
          <w:sz w:val="22"/>
          <w:szCs w:val="22"/>
        </w:rPr>
        <w:t>eBook</w:t>
      </w:r>
      <w:proofErr w:type="spellEnd"/>
      <w:r w:rsidRPr="00CF0B9A">
        <w:rPr>
          <w:sz w:val="22"/>
          <w:szCs w:val="22"/>
        </w:rPr>
        <w:t xml:space="preserve">. Inne funkcje na których zależy Zamawiającemu, a które posiadać ma rozwiązanie równoważne.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ind w:left="1418"/>
        <w:rPr>
          <w:sz w:val="22"/>
          <w:szCs w:val="22"/>
        </w:rPr>
      </w:pPr>
      <w:r w:rsidRPr="00CF0B9A">
        <w:rPr>
          <w:sz w:val="22"/>
          <w:szCs w:val="22"/>
        </w:rPr>
        <w:t>Możliwość wykorzystania komercyjnego licencja Komercyjna dla Firm. Praca w środowisku Windows region Polska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Narzędzia ustawień czcionek OpenType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Obsługa kolorowych czcionek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Zaktualizowana lista czcionek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Rozbudowane zasady dzielenia wyrazów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Obsługa OpenType do publikacji cyfrowych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Bezpośredni import plików </w:t>
      </w:r>
      <w:proofErr w:type="spellStart"/>
      <w:r w:rsidRPr="00CF0B9A">
        <w:rPr>
          <w:sz w:val="22"/>
          <w:szCs w:val="22"/>
        </w:rPr>
        <w:t>InDesign</w:t>
      </w:r>
      <w:proofErr w:type="spellEnd"/>
      <w:r w:rsidRPr="00CF0B9A">
        <w:rPr>
          <w:sz w:val="22"/>
          <w:szCs w:val="22"/>
        </w:rPr>
        <w:t xml:space="preserve"> IDML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Nowy silnik druku PDF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Wbudowana JavaScript ES6+ V8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Konwersja cyfrowych treści do druku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>Nielimitowana aplikacja na Androida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Optymalizacja eksportu HTML5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Grupowane elementów interaktywnych </w:t>
      </w:r>
    </w:p>
    <w:p w:rsidR="00036C17" w:rsidRPr="00CF0B9A" w:rsidRDefault="00036C17" w:rsidP="00036C17">
      <w:pPr>
        <w:pStyle w:val="Akapitzlist"/>
        <w:numPr>
          <w:ilvl w:val="2"/>
          <w:numId w:val="1"/>
        </w:numPr>
        <w:spacing w:after="160" w:line="259" w:lineRule="auto"/>
        <w:ind w:left="1418"/>
        <w:rPr>
          <w:sz w:val="22"/>
          <w:szCs w:val="22"/>
        </w:rPr>
      </w:pPr>
      <w:r w:rsidRPr="00CF0B9A">
        <w:rPr>
          <w:sz w:val="22"/>
          <w:szCs w:val="22"/>
        </w:rPr>
        <w:t xml:space="preserve">Workstation Pro 12 </w:t>
      </w:r>
    </w:p>
    <w:p w:rsidR="001A4DB3" w:rsidRDefault="00036C17" w:rsidP="00036C17">
      <w:pPr>
        <w:jc w:val="both"/>
        <w:rPr>
          <w:sz w:val="22"/>
          <w:szCs w:val="22"/>
        </w:rPr>
      </w:pPr>
      <w:r w:rsidRPr="00CF0B9A">
        <w:rPr>
          <w:sz w:val="22"/>
          <w:szCs w:val="22"/>
        </w:rPr>
        <w:t xml:space="preserve">Wsparcie producenta w zakresie wdrażania i obsługi aplikacji z poziomu konta użytkownika. </w:t>
      </w:r>
    </w:p>
    <w:p w:rsidR="00036C17" w:rsidRPr="00CF0B9A" w:rsidRDefault="00036C17" w:rsidP="00036C17">
      <w:pPr>
        <w:jc w:val="both"/>
        <w:rPr>
          <w:sz w:val="22"/>
          <w:szCs w:val="22"/>
        </w:rPr>
      </w:pPr>
      <w:r w:rsidRPr="00CF0B9A">
        <w:rPr>
          <w:sz w:val="22"/>
          <w:szCs w:val="22"/>
        </w:rPr>
        <w:t xml:space="preserve">W przypadku zaoferowania oprogramowania równoważnego, </w:t>
      </w:r>
      <w:r w:rsidR="001A4DB3">
        <w:rPr>
          <w:sz w:val="22"/>
          <w:szCs w:val="22"/>
        </w:rPr>
        <w:t>Wykonawca</w:t>
      </w:r>
      <w:r w:rsidRPr="00CF0B9A">
        <w:rPr>
          <w:sz w:val="22"/>
          <w:szCs w:val="22"/>
        </w:rPr>
        <w:t xml:space="preserve"> jest zobowiązany do przeprowadzenia autoryzowanego szkolenia dla liczby użytkowników odpowiadającej liczbie </w:t>
      </w:r>
      <w:r w:rsidR="001A4DB3">
        <w:rPr>
          <w:sz w:val="22"/>
          <w:szCs w:val="22"/>
        </w:rPr>
        <w:t xml:space="preserve">wszystkich </w:t>
      </w:r>
      <w:r w:rsidRPr="00CF0B9A">
        <w:rPr>
          <w:sz w:val="22"/>
          <w:szCs w:val="22"/>
        </w:rPr>
        <w:t>zakupywanych licencji. Szkolenie ma być autoryzowane przez producenta oprogramowania. Program szkolenia będzie obejmował zakres wiedzy i umiejętności wymagany do zaawansowanej obsługi oferowanego oprogramowania. Szkolenie zostanie przeprowadzone w ośrodku szkoleniowym autoryzowanym przez producenta oprogramowania zlokalizowanym w Polsce, poza siedzibą Kupującego (dopuszcza się również możliwość przeprowadzenie szkolenia on-line). Licencja powinna zostać przepisana na konto uczelni założone u producenta oprogramowania wskazane przez Zamawiającego.</w:t>
      </w:r>
    </w:p>
    <w:p w:rsidR="00036C17" w:rsidRPr="00CF0B9A" w:rsidRDefault="00036C17" w:rsidP="00036C17">
      <w:pPr>
        <w:spacing w:after="0" w:line="240" w:lineRule="auto"/>
        <w:rPr>
          <w:rFonts w:eastAsia="Times New Roman"/>
          <w:b/>
          <w:color w:val="FF0000"/>
          <w:sz w:val="22"/>
          <w:szCs w:val="22"/>
          <w:lang w:eastAsia="pl-PL"/>
        </w:rPr>
      </w:pPr>
    </w:p>
    <w:p w:rsidR="00ED5F3C" w:rsidRDefault="00ED5F3C"/>
    <w:sectPr w:rsidR="00ED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0F0"/>
    <w:multiLevelType w:val="hybridMultilevel"/>
    <w:tmpl w:val="60D8D07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085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7CBE"/>
    <w:multiLevelType w:val="hybridMultilevel"/>
    <w:tmpl w:val="58CC13E8"/>
    <w:lvl w:ilvl="0" w:tplc="F334CE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EA"/>
    <w:rsid w:val="00036C17"/>
    <w:rsid w:val="001A4DB3"/>
    <w:rsid w:val="00413226"/>
    <w:rsid w:val="00891A45"/>
    <w:rsid w:val="008A0E8C"/>
    <w:rsid w:val="008A30E9"/>
    <w:rsid w:val="00BF11EA"/>
    <w:rsid w:val="00E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8D17"/>
  <w15:chartTrackingRefBased/>
  <w15:docId w15:val="{1E3CA7B1-C2D4-49A5-B313-484B1DE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C1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6C17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36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6</cp:revision>
  <dcterms:created xsi:type="dcterms:W3CDTF">2022-08-23T08:29:00Z</dcterms:created>
  <dcterms:modified xsi:type="dcterms:W3CDTF">2022-10-03T09:40:00Z</dcterms:modified>
</cp:coreProperties>
</file>