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43B10D2" w14:textId="77777777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1B0EDBF" w14:textId="77777777" w:rsidR="00FB460C" w:rsidRPr="00FB460C" w:rsidRDefault="00FB460C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</w:p>
    <w:p w14:paraId="6801C52C" w14:textId="567B290A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FF42C7">
        <w:rPr>
          <w:rFonts w:ascii="Verdana" w:hAnsi="Verdana" w:cs="Arial"/>
          <w:bCs w:val="0"/>
          <w:iCs/>
          <w:snapToGrid w:val="0"/>
          <w:sz w:val="18"/>
          <w:szCs w:val="18"/>
        </w:rPr>
        <w:t>WP/TP/2</w:t>
      </w:r>
      <w:r w:rsidR="00186D10">
        <w:rPr>
          <w:rFonts w:ascii="Verdana" w:hAnsi="Verdana" w:cs="Arial"/>
          <w:bCs w:val="0"/>
          <w:iCs/>
          <w:snapToGrid w:val="0"/>
          <w:sz w:val="18"/>
          <w:szCs w:val="18"/>
        </w:rPr>
        <w:t>40</w:t>
      </w:r>
      <w:r w:rsidR="00FE0E07">
        <w:rPr>
          <w:rFonts w:ascii="Verdana" w:hAnsi="Verdana" w:cs="Arial"/>
          <w:bCs w:val="0"/>
          <w:iCs/>
          <w:snapToGrid w:val="0"/>
          <w:sz w:val="18"/>
          <w:szCs w:val="18"/>
        </w:rPr>
        <w:t>528</w:t>
      </w:r>
      <w:r w:rsidR="00FF42C7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1B9EA88E" w14:textId="7A7A76D7" w:rsidR="0009528B" w:rsidRPr="0009528B" w:rsidRDefault="00FF42C7" w:rsidP="0009528B">
      <w:pPr>
        <w:pStyle w:val="Nagwek4"/>
        <w:tabs>
          <w:tab w:val="left" w:pos="1560"/>
        </w:tabs>
        <w:spacing w:before="120"/>
        <w:jc w:val="both"/>
        <w:rPr>
          <w:rFonts w:ascii="Verdana" w:hAnsi="Verdana"/>
          <w:i/>
          <w:sz w:val="20"/>
          <w:szCs w:val="24"/>
        </w:rPr>
      </w:pPr>
      <w:r w:rsidRPr="00E30250">
        <w:rPr>
          <w:rFonts w:ascii="Verdana" w:hAnsi="Verdana"/>
          <w:sz w:val="18"/>
          <w:szCs w:val="18"/>
        </w:rPr>
        <w:t>DOBROWOLNE UBEZPIECZENIE, W OKRESIE 12 MIESIĘCY, ODPOWIEDZIALNOŚCI CYWILNEJ</w:t>
      </w:r>
      <w:r w:rsidR="0009528B" w:rsidRPr="0009528B">
        <w:rPr>
          <w:rFonts w:ascii="Verdana" w:hAnsi="Verdana" w:cs="Arial"/>
          <w:i/>
          <w:sz w:val="20"/>
          <w:szCs w:val="24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18E1520F" w14:textId="77777777" w:rsidR="000F3E1F" w:rsidRPr="003471FD" w:rsidRDefault="000F3E1F" w:rsidP="000F3E1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1715DBB9" w14:textId="77777777" w:rsidR="000F3E1F" w:rsidRPr="00B974BF" w:rsidRDefault="000F3E1F" w:rsidP="000F3E1F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cenę </w:t>
      </w:r>
      <w:r w:rsidRPr="00B974BF">
        <w:rPr>
          <w:rFonts w:ascii="Verdana" w:hAnsi="Verdana"/>
          <w:snapToGrid w:val="0"/>
          <w:sz w:val="18"/>
          <w:szCs w:val="18"/>
        </w:rPr>
        <w:t>netto za wykonanie przedmiotu zamówienia ................................................ złotych</w:t>
      </w:r>
    </w:p>
    <w:p w14:paraId="3C9B0C9E" w14:textId="77777777" w:rsidR="000F3E1F" w:rsidRPr="00C720CE" w:rsidRDefault="000F3E1F" w:rsidP="000F3E1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>(słownie: .................................................................................................................)</w:t>
      </w:r>
      <w:r w:rsidRPr="00C720CE">
        <w:rPr>
          <w:rFonts w:ascii="Verdana" w:hAnsi="Verdana"/>
          <w:snapToGrid w:val="0"/>
          <w:sz w:val="18"/>
          <w:szCs w:val="18"/>
        </w:rPr>
        <w:t>,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33FDD05" w14:textId="77777777" w:rsidR="000F3E1F" w:rsidRPr="00806246" w:rsidRDefault="000F3E1F" w:rsidP="000F3E1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Nazwa Banku:</w:t>
      </w:r>
      <w:r w:rsidRPr="00806246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640ED790" w:rsidR="00500D63" w:rsidRDefault="000F3E1F" w:rsidP="000F3E1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Numer rachunku</w:t>
      </w:r>
      <w:r w:rsidRPr="00806246">
        <w:rPr>
          <w:rFonts w:ascii="Verdana" w:hAnsi="Verdana"/>
          <w:sz w:val="16"/>
          <w:szCs w:val="16"/>
        </w:rPr>
        <w:t>: __ __  __ __ __ __  __ __ __ __  __ __ __ __  __ __ __ __  __ __ __ __ __ __ __ __</w:t>
      </w:r>
    </w:p>
    <w:p w14:paraId="2E7165B3" w14:textId="77777777" w:rsidR="00FB460C" w:rsidRDefault="00FB460C" w:rsidP="000F3E1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</w:p>
    <w:p w14:paraId="54A26FE1" w14:textId="329C977C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3C3179">
        <w:rPr>
          <w:rFonts w:ascii="Verdana" w:hAnsi="Verdana"/>
          <w:b/>
          <w:snapToGrid w:val="0"/>
          <w:sz w:val="18"/>
          <w:szCs w:val="18"/>
          <w:u w:val="single"/>
        </w:rPr>
        <w:t>fakultatywne klauzule ubezpieczenia</w:t>
      </w:r>
      <w:r w:rsidR="0009528B"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tbl>
      <w:tblPr>
        <w:tblW w:w="853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5216"/>
        <w:gridCol w:w="1418"/>
        <w:gridCol w:w="1417"/>
      </w:tblGrid>
      <w:tr w:rsidR="004E65FA" w:rsidRPr="00044237" w14:paraId="7F12744D" w14:textId="77777777" w:rsidTr="003F2704">
        <w:tc>
          <w:tcPr>
            <w:tcW w:w="481" w:type="dxa"/>
            <w:shd w:val="clear" w:color="auto" w:fill="C0C0C0"/>
            <w:vAlign w:val="center"/>
          </w:tcPr>
          <w:p w14:paraId="30B635E0" w14:textId="77777777" w:rsidR="004E65FA" w:rsidRPr="00B75BFE" w:rsidRDefault="004E65FA" w:rsidP="003F270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5216" w:type="dxa"/>
            <w:shd w:val="clear" w:color="auto" w:fill="C0C0C0"/>
            <w:vAlign w:val="center"/>
          </w:tcPr>
          <w:p w14:paraId="593DA7A4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b/>
                <w:sz w:val="14"/>
                <w:szCs w:val="14"/>
              </w:rPr>
              <w:t>Fakultatywne klauzule ubezpieczenia</w:t>
            </w:r>
          </w:p>
        </w:tc>
        <w:tc>
          <w:tcPr>
            <w:tcW w:w="1418" w:type="dxa"/>
            <w:shd w:val="clear" w:color="auto" w:fill="C0C0C0"/>
          </w:tcPr>
          <w:p w14:paraId="2D55338B" w14:textId="77777777" w:rsidR="004E65FA" w:rsidRPr="00F97C4A" w:rsidRDefault="004E65FA" w:rsidP="001D3694">
            <w:pPr>
              <w:pStyle w:val="Tekstpodstawowy"/>
              <w:spacing w:before="120"/>
              <w:jc w:val="center"/>
              <w:rPr>
                <w:rFonts w:ascii="Verdana" w:hAnsi="Verdana"/>
                <w:b/>
                <w:bCs/>
                <w:sz w:val="30"/>
                <w:szCs w:val="30"/>
              </w:rPr>
            </w:pPr>
            <w:r w:rsidRPr="00CE4153">
              <w:rPr>
                <w:rFonts w:ascii="Verdana" w:hAnsi="Verdana"/>
                <w:b/>
                <w:szCs w:val="30"/>
              </w:rPr>
              <w:t>*</w:t>
            </w:r>
          </w:p>
        </w:tc>
        <w:tc>
          <w:tcPr>
            <w:tcW w:w="1417" w:type="dxa"/>
            <w:shd w:val="clear" w:color="auto" w:fill="C0C0C0"/>
            <w:vAlign w:val="center"/>
          </w:tcPr>
          <w:p w14:paraId="38A723BA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b/>
                <w:sz w:val="14"/>
                <w:szCs w:val="14"/>
              </w:rPr>
              <w:t>Liczba punktów</w:t>
            </w:r>
          </w:p>
        </w:tc>
      </w:tr>
      <w:tr w:rsidR="004E65FA" w:rsidRPr="00044237" w14:paraId="776C7FEF" w14:textId="77777777" w:rsidTr="003F2704">
        <w:tc>
          <w:tcPr>
            <w:tcW w:w="481" w:type="dxa"/>
          </w:tcPr>
          <w:p w14:paraId="0204B718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8051" w:type="dxa"/>
            <w:gridSpan w:val="3"/>
            <w:shd w:val="clear" w:color="auto" w:fill="auto"/>
            <w:vAlign w:val="center"/>
          </w:tcPr>
          <w:p w14:paraId="09F0D6C8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UBEZPIECZENIE ODPOWIEDZIALNOŚCI CYWILNEJ</w:t>
            </w:r>
          </w:p>
        </w:tc>
      </w:tr>
      <w:tr w:rsidR="004E65FA" w:rsidRPr="00044237" w14:paraId="436F69F2" w14:textId="77777777" w:rsidTr="003F2704">
        <w:tc>
          <w:tcPr>
            <w:tcW w:w="481" w:type="dxa"/>
            <w:vMerge w:val="restart"/>
            <w:shd w:val="clear" w:color="auto" w:fill="auto"/>
            <w:vAlign w:val="center"/>
          </w:tcPr>
          <w:p w14:paraId="1874FD63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A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B297630" w14:textId="77777777" w:rsidR="004E65FA" w:rsidRPr="00B75BFE" w:rsidRDefault="004E65FA" w:rsidP="001D3694">
            <w:pPr>
              <w:pStyle w:val="Tekstpodstawowy"/>
              <w:ind w:left="284" w:hanging="284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1.</w:t>
            </w:r>
            <w:r w:rsidRPr="00B75BFE">
              <w:rPr>
                <w:rFonts w:ascii="Verdana" w:hAnsi="Verdana"/>
                <w:sz w:val="14"/>
                <w:szCs w:val="14"/>
              </w:rPr>
              <w:tab/>
              <w:t>Podwyższenie sumy gwarancyjne do kwoty 3 000 000,00 zł na jedną szkodę i na wszystkie szkody w rocznym okresie ubezpieczenia</w:t>
            </w:r>
          </w:p>
        </w:tc>
        <w:tc>
          <w:tcPr>
            <w:tcW w:w="1418" w:type="dxa"/>
          </w:tcPr>
          <w:p w14:paraId="60A7E441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EC8322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50</w:t>
            </w:r>
          </w:p>
        </w:tc>
      </w:tr>
      <w:tr w:rsidR="004E65FA" w:rsidRPr="00044237" w14:paraId="7618F761" w14:textId="77777777" w:rsidTr="003F2704">
        <w:tc>
          <w:tcPr>
            <w:tcW w:w="481" w:type="dxa"/>
            <w:vMerge/>
            <w:shd w:val="clear" w:color="auto" w:fill="auto"/>
            <w:vAlign w:val="center"/>
          </w:tcPr>
          <w:p w14:paraId="24404467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216" w:type="dxa"/>
            <w:shd w:val="clear" w:color="auto" w:fill="auto"/>
            <w:vAlign w:val="center"/>
          </w:tcPr>
          <w:p w14:paraId="508CF4F0" w14:textId="77777777" w:rsidR="004E65FA" w:rsidRPr="00B75BFE" w:rsidRDefault="004E65FA" w:rsidP="001D3694">
            <w:pPr>
              <w:pStyle w:val="Tekstpodstawowy"/>
              <w:ind w:left="284" w:hanging="284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2.</w:t>
            </w:r>
            <w:r w:rsidRPr="00B75BFE">
              <w:rPr>
                <w:rFonts w:ascii="Verdana" w:hAnsi="Verdana"/>
                <w:sz w:val="14"/>
                <w:szCs w:val="14"/>
              </w:rPr>
              <w:tab/>
              <w:t>Suma gwarancyjna bez zmian</w:t>
            </w:r>
          </w:p>
        </w:tc>
        <w:tc>
          <w:tcPr>
            <w:tcW w:w="1418" w:type="dxa"/>
          </w:tcPr>
          <w:p w14:paraId="4A9D8D01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93735D5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0</w:t>
            </w:r>
          </w:p>
        </w:tc>
      </w:tr>
      <w:tr w:rsidR="004E65FA" w:rsidRPr="00044237" w14:paraId="0615D71E" w14:textId="77777777" w:rsidTr="003F2704">
        <w:tc>
          <w:tcPr>
            <w:tcW w:w="481" w:type="dxa"/>
            <w:vMerge w:val="restart"/>
            <w:shd w:val="clear" w:color="auto" w:fill="auto"/>
            <w:vAlign w:val="center"/>
          </w:tcPr>
          <w:p w14:paraId="36D73D9F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B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A63E07D" w14:textId="77777777" w:rsidR="004E65FA" w:rsidRPr="00B75BFE" w:rsidRDefault="004E65FA" w:rsidP="001D3694">
            <w:pPr>
              <w:pStyle w:val="Tekstpodstawowy"/>
              <w:ind w:left="284" w:hanging="284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1.</w:t>
            </w:r>
            <w:r w:rsidRPr="00B75BFE">
              <w:rPr>
                <w:rFonts w:ascii="Verdana" w:hAnsi="Verdana"/>
                <w:sz w:val="14"/>
                <w:szCs w:val="14"/>
              </w:rPr>
              <w:tab/>
              <w:t>Podwyższenie limitu odpowiedzialności ubezpieczyciela w zakresie czystych strat finansowych do kwoty 500 000,00 zł na jedną szkodę i na wszystkie szkody w rocznym okresie ubezpieczenia</w:t>
            </w:r>
          </w:p>
        </w:tc>
        <w:tc>
          <w:tcPr>
            <w:tcW w:w="1418" w:type="dxa"/>
          </w:tcPr>
          <w:p w14:paraId="64A8128B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EDC5782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25</w:t>
            </w:r>
          </w:p>
        </w:tc>
      </w:tr>
      <w:tr w:rsidR="004E65FA" w:rsidRPr="00044237" w14:paraId="6B80A90C" w14:textId="77777777" w:rsidTr="003F2704">
        <w:tc>
          <w:tcPr>
            <w:tcW w:w="481" w:type="dxa"/>
            <w:vMerge/>
            <w:shd w:val="clear" w:color="auto" w:fill="auto"/>
            <w:vAlign w:val="center"/>
          </w:tcPr>
          <w:p w14:paraId="0EEA58EB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5216" w:type="dxa"/>
            <w:shd w:val="clear" w:color="auto" w:fill="auto"/>
            <w:vAlign w:val="center"/>
          </w:tcPr>
          <w:p w14:paraId="4F61D9A1" w14:textId="77777777" w:rsidR="004E65FA" w:rsidRPr="00B75BFE" w:rsidRDefault="004E65FA" w:rsidP="001D3694">
            <w:pPr>
              <w:pStyle w:val="Tekstpodstawowy"/>
              <w:ind w:left="284" w:hanging="284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2.</w:t>
            </w:r>
            <w:r w:rsidRPr="00B75BFE">
              <w:rPr>
                <w:rFonts w:ascii="Verdana" w:hAnsi="Verdana"/>
                <w:sz w:val="14"/>
                <w:szCs w:val="14"/>
              </w:rPr>
              <w:tab/>
              <w:t xml:space="preserve"> Limit bez zmian</w:t>
            </w:r>
          </w:p>
        </w:tc>
        <w:tc>
          <w:tcPr>
            <w:tcW w:w="1418" w:type="dxa"/>
          </w:tcPr>
          <w:p w14:paraId="77E6E068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3BFDB3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0</w:t>
            </w:r>
          </w:p>
        </w:tc>
      </w:tr>
      <w:tr w:rsidR="004E65FA" w:rsidRPr="00044237" w14:paraId="7C89CB25" w14:textId="77777777" w:rsidTr="003F2704">
        <w:tc>
          <w:tcPr>
            <w:tcW w:w="481" w:type="dxa"/>
            <w:vMerge w:val="restart"/>
            <w:shd w:val="clear" w:color="auto" w:fill="auto"/>
            <w:vAlign w:val="center"/>
          </w:tcPr>
          <w:p w14:paraId="41E2164A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C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97DE223" w14:textId="77777777" w:rsidR="004E65FA" w:rsidRPr="00B75BFE" w:rsidRDefault="004E65FA" w:rsidP="001D3694">
            <w:pPr>
              <w:pStyle w:val="Tekstpodstawowy"/>
              <w:ind w:left="284" w:hanging="284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1.</w:t>
            </w:r>
            <w:r w:rsidRPr="00B75BFE">
              <w:rPr>
                <w:rFonts w:ascii="Verdana" w:hAnsi="Verdana"/>
                <w:sz w:val="14"/>
                <w:szCs w:val="14"/>
              </w:rPr>
              <w:tab/>
              <w:t xml:space="preserve">Podwyższenie limitu w ramach OC za szkody w mieniu, z którego Ubezpieczający korzysta na podstawie umowy użytkowania, najmu, dzierżawy, użyczenia, przechowania lub na podstawie innego </w:t>
            </w:r>
            <w:r w:rsidRPr="00B75BFE">
              <w:rPr>
                <w:rFonts w:ascii="Verdana" w:hAnsi="Verdana"/>
                <w:sz w:val="14"/>
                <w:szCs w:val="14"/>
              </w:rPr>
              <w:lastRenderedPageBreak/>
              <w:t>stosunku prawnego – limit dla ruchomości (nieruchomości do sumy gwarancyjnej), do kwoty: 150 000,00 zł</w:t>
            </w:r>
          </w:p>
        </w:tc>
        <w:tc>
          <w:tcPr>
            <w:tcW w:w="1418" w:type="dxa"/>
          </w:tcPr>
          <w:p w14:paraId="0D59169C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DC5137F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25</w:t>
            </w:r>
          </w:p>
        </w:tc>
      </w:tr>
      <w:tr w:rsidR="004E65FA" w:rsidRPr="00044237" w14:paraId="235080F1" w14:textId="77777777" w:rsidTr="003F2704">
        <w:trPr>
          <w:trHeight w:val="84"/>
        </w:trPr>
        <w:tc>
          <w:tcPr>
            <w:tcW w:w="481" w:type="dxa"/>
            <w:vMerge/>
            <w:shd w:val="clear" w:color="auto" w:fill="auto"/>
            <w:vAlign w:val="center"/>
          </w:tcPr>
          <w:p w14:paraId="4D434CBE" w14:textId="77777777" w:rsidR="004E65FA" w:rsidRPr="00B75BFE" w:rsidRDefault="004E65FA" w:rsidP="001D3694">
            <w:pPr>
              <w:pStyle w:val="Tekstpodstawowy"/>
              <w:spacing w:before="12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216" w:type="dxa"/>
            <w:shd w:val="clear" w:color="auto" w:fill="auto"/>
            <w:vAlign w:val="center"/>
          </w:tcPr>
          <w:p w14:paraId="29E3EA12" w14:textId="77777777" w:rsidR="004E65FA" w:rsidRPr="00B75BFE" w:rsidRDefault="004E65FA" w:rsidP="001D3694">
            <w:pPr>
              <w:pStyle w:val="Tekstpodstawowy"/>
              <w:ind w:left="284" w:hanging="284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2.</w:t>
            </w:r>
            <w:r w:rsidRPr="00B75BFE">
              <w:rPr>
                <w:rFonts w:ascii="Verdana" w:hAnsi="Verdana"/>
                <w:sz w:val="14"/>
                <w:szCs w:val="14"/>
              </w:rPr>
              <w:tab/>
              <w:t>Limit bez zmian</w:t>
            </w:r>
          </w:p>
        </w:tc>
        <w:tc>
          <w:tcPr>
            <w:tcW w:w="1418" w:type="dxa"/>
          </w:tcPr>
          <w:p w14:paraId="27976E3C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76CC863" w14:textId="77777777" w:rsidR="004E65FA" w:rsidRPr="00B75BFE" w:rsidRDefault="004E65FA" w:rsidP="001D3694">
            <w:pPr>
              <w:pStyle w:val="Tekstpodstawowy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75BFE">
              <w:rPr>
                <w:rFonts w:ascii="Verdana" w:hAnsi="Verdana"/>
                <w:sz w:val="14"/>
                <w:szCs w:val="14"/>
              </w:rPr>
              <w:t>0</w:t>
            </w:r>
          </w:p>
        </w:tc>
      </w:tr>
    </w:tbl>
    <w:p w14:paraId="63DCC9B3" w14:textId="68D1C587" w:rsidR="001C457B" w:rsidRDefault="001C457B" w:rsidP="001C2D81">
      <w:pPr>
        <w:widowControl w:val="0"/>
        <w:spacing w:after="120"/>
        <w:ind w:left="567"/>
        <w:jc w:val="both"/>
        <w:rPr>
          <w:rFonts w:ascii="Verdana" w:hAnsi="Verdana"/>
          <w:bCs/>
          <w:sz w:val="18"/>
          <w:szCs w:val="18"/>
        </w:rPr>
      </w:pPr>
    </w:p>
    <w:p w14:paraId="257E9BFD" w14:textId="77777777" w:rsidR="004E65FA" w:rsidRDefault="004E65FA" w:rsidP="004E65FA">
      <w:pPr>
        <w:tabs>
          <w:tab w:val="left" w:pos="360"/>
        </w:tabs>
        <w:ind w:left="540"/>
        <w:jc w:val="both"/>
        <w:rPr>
          <w:rFonts w:ascii="Verdana" w:hAnsi="Verdana"/>
          <w:b/>
          <w:sz w:val="18"/>
          <w:szCs w:val="18"/>
        </w:rPr>
      </w:pPr>
      <w:r w:rsidRPr="00CE4153">
        <w:rPr>
          <w:rFonts w:ascii="Verdana" w:hAnsi="Verdana"/>
          <w:b/>
          <w:sz w:val="28"/>
          <w:szCs w:val="30"/>
          <w:vertAlign w:val="superscript"/>
        </w:rPr>
        <w:t>*</w:t>
      </w:r>
      <w:r w:rsidRPr="006D3D20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Należy zaznaczyć odpowiednią pozycję</w:t>
      </w:r>
      <w:r w:rsidRPr="00AB6D38">
        <w:rPr>
          <w:rFonts w:ascii="Verdana" w:hAnsi="Verdana"/>
          <w:b/>
          <w:sz w:val="18"/>
          <w:szCs w:val="18"/>
        </w:rPr>
        <w:t xml:space="preserve"> (1 albo 2) w ramach Lp. A, B i C znakiem: </w:t>
      </w:r>
      <w:r w:rsidRPr="00CE4153">
        <w:rPr>
          <w:rFonts w:ascii="Verdana" w:hAnsi="Verdana"/>
          <w:b/>
          <w:sz w:val="16"/>
          <w:szCs w:val="18"/>
        </w:rPr>
        <w:t>„X”</w:t>
      </w:r>
    </w:p>
    <w:p w14:paraId="05330544" w14:textId="77777777" w:rsidR="004E65FA" w:rsidRPr="00AB6D38" w:rsidRDefault="004E65FA" w:rsidP="004E65FA">
      <w:pPr>
        <w:tabs>
          <w:tab w:val="left" w:pos="360"/>
        </w:tabs>
        <w:ind w:left="540"/>
        <w:jc w:val="both"/>
        <w:rPr>
          <w:rFonts w:ascii="Verdana" w:hAnsi="Verdana"/>
          <w:b/>
          <w:sz w:val="18"/>
          <w:szCs w:val="18"/>
        </w:rPr>
      </w:pPr>
    </w:p>
    <w:p w14:paraId="115DB8B4" w14:textId="77777777" w:rsidR="004E65FA" w:rsidRDefault="004E65FA" w:rsidP="004E65FA">
      <w:pPr>
        <w:spacing w:after="120"/>
        <w:ind w:left="5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UWAGA:</w:t>
      </w:r>
    </w:p>
    <w:p w14:paraId="626F6482" w14:textId="5383914E" w:rsidR="004E65FA" w:rsidRDefault="004E65FA" w:rsidP="004E65FA">
      <w:pPr>
        <w:widowControl w:val="0"/>
        <w:spacing w:after="120"/>
        <w:ind w:left="567"/>
        <w:jc w:val="both"/>
        <w:rPr>
          <w:rFonts w:ascii="Verdana" w:hAnsi="Verdana"/>
          <w:bCs/>
          <w:sz w:val="18"/>
          <w:szCs w:val="18"/>
        </w:rPr>
      </w:pPr>
      <w:r w:rsidRPr="00AB6D38">
        <w:rPr>
          <w:rFonts w:ascii="Verdana" w:hAnsi="Verdana"/>
          <w:b/>
          <w:sz w:val="18"/>
          <w:szCs w:val="18"/>
        </w:rPr>
        <w:t>Brak zaznaczenia w sposób jw., będzie traktowany przez Zamawiającego jako Fakultatywna klauzula ubezpieczenia – „bez zmian”, a tym samym zostanie przyznana liczba pkt „0”</w:t>
      </w:r>
    </w:p>
    <w:p w14:paraId="7DCE2071" w14:textId="6B48648C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4E65FA">
        <w:rPr>
          <w:rFonts w:ascii="Verdana" w:hAnsi="Verdana"/>
          <w:b/>
          <w:bCs/>
          <w:sz w:val="18"/>
          <w:szCs w:val="18"/>
        </w:rPr>
        <w:t>12</w:t>
      </w:r>
      <w:r w:rsidR="00EB4490" w:rsidRPr="00EB4490">
        <w:rPr>
          <w:rFonts w:ascii="Verdana" w:hAnsi="Verdana" w:cs="Verdana"/>
          <w:b/>
          <w:bCs/>
          <w:sz w:val="18"/>
          <w:szCs w:val="18"/>
        </w:rPr>
        <w:t xml:space="preserve"> miesięcy od dnia</w:t>
      </w:r>
      <w:r w:rsidR="00421263">
        <w:rPr>
          <w:rFonts w:ascii="Verdana" w:hAnsi="Verdana" w:cs="Verdana"/>
          <w:b/>
          <w:bCs/>
          <w:sz w:val="18"/>
          <w:szCs w:val="18"/>
        </w:rPr>
        <w:t xml:space="preserve"> udzielenia zamówienia</w:t>
      </w:r>
      <w:r w:rsidR="004E65FA">
        <w:rPr>
          <w:rFonts w:ascii="Verdana" w:hAnsi="Verdana" w:cs="Verdana"/>
          <w:b/>
          <w:bCs/>
          <w:sz w:val="18"/>
          <w:szCs w:val="18"/>
        </w:rPr>
        <w:t xml:space="preserve">, </w:t>
      </w:r>
      <w:r w:rsidR="004E65FA" w:rsidRPr="00504B8C">
        <w:rPr>
          <w:rFonts w:ascii="Verdana" w:hAnsi="Verdana"/>
          <w:b/>
          <w:sz w:val="18"/>
          <w:szCs w:val="18"/>
        </w:rPr>
        <w:t>z zastrzeżeniem rozpoczęcia ochrony nie wcześniej niż od 01.10.202</w:t>
      </w:r>
      <w:r w:rsidR="00186D10">
        <w:rPr>
          <w:rFonts w:ascii="Verdana" w:hAnsi="Verdana"/>
          <w:b/>
          <w:sz w:val="18"/>
          <w:szCs w:val="18"/>
        </w:rPr>
        <w:t>4</w:t>
      </w:r>
      <w:r w:rsidR="004E65FA" w:rsidRPr="00504B8C">
        <w:rPr>
          <w:rFonts w:ascii="Verdana" w:hAnsi="Verdana"/>
          <w:b/>
          <w:sz w:val="18"/>
          <w:szCs w:val="18"/>
        </w:rPr>
        <w:t xml:space="preserve"> r</w:t>
      </w:r>
      <w:r w:rsidR="00421263">
        <w:rPr>
          <w:rFonts w:ascii="Verdana" w:hAnsi="Verdana" w:cs="Verdana"/>
          <w:b/>
          <w:bCs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0ABE909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47DB0D1A" w:rsidR="00500D63" w:rsidRPr="00066558" w:rsidRDefault="00A821FF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44BE2770" w:rsidR="00500D63" w:rsidRPr="00066558" w:rsidRDefault="00A821FF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52670A6D" w:rsidR="00500D63" w:rsidRDefault="00A821FF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06D4D206" w:rsidR="00500D63" w:rsidRDefault="00A821FF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1F73843F" w:rsidR="00500D63" w:rsidRPr="004B6810" w:rsidRDefault="006F7BA7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A821FF">
        <w:rPr>
          <w:rFonts w:ascii="Verdana" w:hAnsi="Verdana"/>
          <w:sz w:val="18"/>
          <w:szCs w:val="18"/>
        </w:rPr>
        <w:t>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4CAD8FA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6C71B08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262626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D83BF6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262626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41AA5141" w14:textId="075E0D75" w:rsidR="0083286E" w:rsidRDefault="00D83BF6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12</w:t>
      </w:r>
      <w:r w:rsidR="0083286E">
        <w:rPr>
          <w:rFonts w:ascii="Verdana" w:hAnsi="Verdana" w:cs="Arial"/>
          <w:sz w:val="18"/>
          <w:szCs w:val="18"/>
        </w:rPr>
        <w:t>.</w:t>
      </w:r>
      <w:r w:rsidR="0083286E"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="0083286E"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 w:rsidR="0083286E"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5BA0A70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D83BF6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55B19B09" w:rsidR="00530843" w:rsidRDefault="00530843" w:rsidP="0053084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</w:t>
      </w:r>
      <w:r w:rsidR="001D6B4A">
        <w:rPr>
          <w:rFonts w:ascii="Verdana" w:hAnsi="Verdana" w:cs="Arial"/>
          <w:sz w:val="12"/>
          <w:szCs w:val="12"/>
        </w:rPr>
        <w:t xml:space="preserve"> </w:t>
      </w:r>
      <w:r w:rsidRPr="004259C8">
        <w:rPr>
          <w:rFonts w:ascii="Verdana" w:hAnsi="Verdana" w:cs="Arial"/>
          <w:sz w:val="12"/>
          <w:szCs w:val="12"/>
        </w:rPr>
        <w:t xml:space="preserve">2016), (Dz. Urz. UE. L. z 2018 r. Nr 127), (Dz. Urz. UE L. </w:t>
      </w:r>
      <w:r w:rsidR="001D6B4A">
        <w:rPr>
          <w:rFonts w:ascii="Verdana" w:hAnsi="Verdana" w:cs="Arial"/>
          <w:sz w:val="12"/>
          <w:szCs w:val="12"/>
        </w:rPr>
        <w:t xml:space="preserve">z </w:t>
      </w:r>
      <w:r w:rsidRPr="004259C8">
        <w:rPr>
          <w:rFonts w:ascii="Verdana" w:hAnsi="Verdana" w:cs="Arial"/>
          <w:sz w:val="12"/>
          <w:szCs w:val="12"/>
        </w:rPr>
        <w:t>2021 r. Nr 74).</w:t>
      </w:r>
    </w:p>
    <w:p w14:paraId="7C63631E" w14:textId="77777777" w:rsidR="004A51E9" w:rsidRDefault="004A51E9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</w:p>
    <w:p w14:paraId="1D530381" w14:textId="77777777" w:rsidR="004A51E9" w:rsidRPr="00154A75" w:rsidRDefault="004A51E9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</w:p>
    <w:p w14:paraId="166A61BA" w14:textId="77777777" w:rsidR="00500D63" w:rsidRPr="006C1D26" w:rsidRDefault="00500D63" w:rsidP="006C1D26">
      <w:pPr>
        <w:jc w:val="right"/>
        <w:rPr>
          <w:rFonts w:ascii="Verdana" w:hAnsi="Verdana"/>
          <w:sz w:val="18"/>
          <w:szCs w:val="18"/>
        </w:rPr>
      </w:pPr>
    </w:p>
    <w:sectPr w:rsidR="00500D63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4D0A7" w14:textId="77777777" w:rsidR="00FF7C2A" w:rsidRDefault="00FF7C2A" w:rsidP="00D95A78">
      <w:r>
        <w:separator/>
      </w:r>
    </w:p>
  </w:endnote>
  <w:endnote w:type="continuationSeparator" w:id="0">
    <w:p w14:paraId="2A302A5E" w14:textId="77777777" w:rsidR="00FF7C2A" w:rsidRDefault="00FF7C2A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D83BF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D83BF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3442B" w14:textId="77777777" w:rsidR="00FF7C2A" w:rsidRDefault="00FF7C2A" w:rsidP="00D95A78">
      <w:r>
        <w:separator/>
      </w:r>
    </w:p>
  </w:footnote>
  <w:footnote w:type="continuationSeparator" w:id="0">
    <w:p w14:paraId="701E330E" w14:textId="77777777" w:rsidR="00FF7C2A" w:rsidRDefault="00FF7C2A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D56" w14:textId="73C47C3F" w:rsidR="00FB6438" w:rsidRPr="00E2174D" w:rsidRDefault="00FE0E07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23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P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240528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3715">
    <w:abstractNumId w:val="4"/>
  </w:num>
  <w:num w:numId="2" w16cid:durableId="481240852">
    <w:abstractNumId w:val="0"/>
  </w:num>
  <w:num w:numId="3" w16cid:durableId="995382194">
    <w:abstractNumId w:val="2"/>
  </w:num>
  <w:num w:numId="4" w16cid:durableId="565528366">
    <w:abstractNumId w:val="1"/>
  </w:num>
  <w:num w:numId="5" w16cid:durableId="1647396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9528B"/>
    <w:rsid w:val="000C126C"/>
    <w:rsid w:val="000C21F2"/>
    <w:rsid w:val="000E3E53"/>
    <w:rsid w:val="000E7E15"/>
    <w:rsid w:val="000F3E1F"/>
    <w:rsid w:val="00130480"/>
    <w:rsid w:val="00132326"/>
    <w:rsid w:val="00135DAB"/>
    <w:rsid w:val="00163448"/>
    <w:rsid w:val="001720B7"/>
    <w:rsid w:val="00175250"/>
    <w:rsid w:val="0018243D"/>
    <w:rsid w:val="00186D10"/>
    <w:rsid w:val="00195D7F"/>
    <w:rsid w:val="00197FA0"/>
    <w:rsid w:val="001A242E"/>
    <w:rsid w:val="001B452F"/>
    <w:rsid w:val="001C2D81"/>
    <w:rsid w:val="001C457B"/>
    <w:rsid w:val="001D1888"/>
    <w:rsid w:val="001D6B4A"/>
    <w:rsid w:val="001E3B98"/>
    <w:rsid w:val="002008AE"/>
    <w:rsid w:val="00233109"/>
    <w:rsid w:val="00242233"/>
    <w:rsid w:val="0028493E"/>
    <w:rsid w:val="002B2782"/>
    <w:rsid w:val="002B77AB"/>
    <w:rsid w:val="002E0380"/>
    <w:rsid w:val="002E42E0"/>
    <w:rsid w:val="002E6B1E"/>
    <w:rsid w:val="002F66C2"/>
    <w:rsid w:val="00324171"/>
    <w:rsid w:val="00325505"/>
    <w:rsid w:val="00330E15"/>
    <w:rsid w:val="00333A59"/>
    <w:rsid w:val="0038325E"/>
    <w:rsid w:val="003B7318"/>
    <w:rsid w:val="003C3179"/>
    <w:rsid w:val="003E518A"/>
    <w:rsid w:val="003F2704"/>
    <w:rsid w:val="00421263"/>
    <w:rsid w:val="004562B5"/>
    <w:rsid w:val="0046705D"/>
    <w:rsid w:val="00490B5C"/>
    <w:rsid w:val="004A51E9"/>
    <w:rsid w:val="004B6030"/>
    <w:rsid w:val="004D3DB3"/>
    <w:rsid w:val="004E65FA"/>
    <w:rsid w:val="004F4AA1"/>
    <w:rsid w:val="004F67DC"/>
    <w:rsid w:val="004F7395"/>
    <w:rsid w:val="00500D63"/>
    <w:rsid w:val="00507EC1"/>
    <w:rsid w:val="00510CC6"/>
    <w:rsid w:val="00530843"/>
    <w:rsid w:val="005328C8"/>
    <w:rsid w:val="00547A76"/>
    <w:rsid w:val="00554D04"/>
    <w:rsid w:val="00573662"/>
    <w:rsid w:val="005A6972"/>
    <w:rsid w:val="005E2837"/>
    <w:rsid w:val="00602093"/>
    <w:rsid w:val="006159B6"/>
    <w:rsid w:val="0061646C"/>
    <w:rsid w:val="00624ABA"/>
    <w:rsid w:val="00635D39"/>
    <w:rsid w:val="00652DE6"/>
    <w:rsid w:val="00667EE4"/>
    <w:rsid w:val="006A1544"/>
    <w:rsid w:val="006A3CE2"/>
    <w:rsid w:val="006C1D26"/>
    <w:rsid w:val="006D5AC9"/>
    <w:rsid w:val="006E0FFA"/>
    <w:rsid w:val="006F3497"/>
    <w:rsid w:val="006F7BA7"/>
    <w:rsid w:val="0070025E"/>
    <w:rsid w:val="00732D51"/>
    <w:rsid w:val="00734D64"/>
    <w:rsid w:val="00763E3A"/>
    <w:rsid w:val="00764A8A"/>
    <w:rsid w:val="00766631"/>
    <w:rsid w:val="0076743B"/>
    <w:rsid w:val="007C4A43"/>
    <w:rsid w:val="007F0275"/>
    <w:rsid w:val="0083286E"/>
    <w:rsid w:val="00834E96"/>
    <w:rsid w:val="00835397"/>
    <w:rsid w:val="008771FA"/>
    <w:rsid w:val="008833B5"/>
    <w:rsid w:val="00940652"/>
    <w:rsid w:val="00975011"/>
    <w:rsid w:val="009C3BD9"/>
    <w:rsid w:val="009C4983"/>
    <w:rsid w:val="00A03F31"/>
    <w:rsid w:val="00A36D45"/>
    <w:rsid w:val="00A821FF"/>
    <w:rsid w:val="00A86A27"/>
    <w:rsid w:val="00A92086"/>
    <w:rsid w:val="00B452E9"/>
    <w:rsid w:val="00B5598A"/>
    <w:rsid w:val="00B60CA0"/>
    <w:rsid w:val="00BA4974"/>
    <w:rsid w:val="00BA76AC"/>
    <w:rsid w:val="00BC6B80"/>
    <w:rsid w:val="00BD0ADC"/>
    <w:rsid w:val="00BD29AE"/>
    <w:rsid w:val="00BF1991"/>
    <w:rsid w:val="00C07060"/>
    <w:rsid w:val="00C15FBE"/>
    <w:rsid w:val="00C23D86"/>
    <w:rsid w:val="00C515B5"/>
    <w:rsid w:val="00C54DF2"/>
    <w:rsid w:val="00C67377"/>
    <w:rsid w:val="00C84DFF"/>
    <w:rsid w:val="00C865E2"/>
    <w:rsid w:val="00D12D3C"/>
    <w:rsid w:val="00D45D85"/>
    <w:rsid w:val="00D77197"/>
    <w:rsid w:val="00D810EC"/>
    <w:rsid w:val="00D83BF6"/>
    <w:rsid w:val="00D84D9F"/>
    <w:rsid w:val="00D90ED1"/>
    <w:rsid w:val="00D95A78"/>
    <w:rsid w:val="00DB13B4"/>
    <w:rsid w:val="00DB353D"/>
    <w:rsid w:val="00DB357B"/>
    <w:rsid w:val="00DE12AD"/>
    <w:rsid w:val="00DE144D"/>
    <w:rsid w:val="00E108C9"/>
    <w:rsid w:val="00E10BD6"/>
    <w:rsid w:val="00E1133F"/>
    <w:rsid w:val="00E2174D"/>
    <w:rsid w:val="00E37D18"/>
    <w:rsid w:val="00E53563"/>
    <w:rsid w:val="00E53C54"/>
    <w:rsid w:val="00E71688"/>
    <w:rsid w:val="00E76C75"/>
    <w:rsid w:val="00E775B1"/>
    <w:rsid w:val="00EA0376"/>
    <w:rsid w:val="00EB31F2"/>
    <w:rsid w:val="00EB4490"/>
    <w:rsid w:val="00EC2B26"/>
    <w:rsid w:val="00F15012"/>
    <w:rsid w:val="00F21A3B"/>
    <w:rsid w:val="00F32B84"/>
    <w:rsid w:val="00F55F2E"/>
    <w:rsid w:val="00F82281"/>
    <w:rsid w:val="00F87B8C"/>
    <w:rsid w:val="00FB460C"/>
    <w:rsid w:val="00FB6438"/>
    <w:rsid w:val="00FE0E07"/>
    <w:rsid w:val="00FE5CFD"/>
    <w:rsid w:val="00FF42C7"/>
    <w:rsid w:val="00FF7291"/>
    <w:rsid w:val="00FF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65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65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AC18-3B7C-4C87-A4B2-27509095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1241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35</cp:revision>
  <cp:lastPrinted>2024-05-16T09:45:00Z</cp:lastPrinted>
  <dcterms:created xsi:type="dcterms:W3CDTF">2023-03-09T10:21:00Z</dcterms:created>
  <dcterms:modified xsi:type="dcterms:W3CDTF">2024-06-11T11:48:00Z</dcterms:modified>
</cp:coreProperties>
</file>