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A2020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00BF3F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3F5A21E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15944F2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18B6DA5F" w14:textId="77777777" w:rsidR="00F6181D" w:rsidRDefault="00F6181D">
      <w:pPr>
        <w:pStyle w:val="Tekstpodstawowy"/>
        <w:spacing w:before="1"/>
        <w:ind w:left="0"/>
        <w:jc w:val="left"/>
        <w:rPr>
          <w:b/>
          <w:sz w:val="22"/>
        </w:rPr>
      </w:pPr>
    </w:p>
    <w:p w14:paraId="39E43BEA" w14:textId="77777777" w:rsidR="009936DB" w:rsidRDefault="009B463F" w:rsidP="009936DB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SZCZEGÓŁOWE SPECYFIKACJE TECHNICZNE</w:t>
      </w:r>
    </w:p>
    <w:p w14:paraId="6392C320" w14:textId="77777777" w:rsidR="006B1F59" w:rsidRPr="00610E85" w:rsidRDefault="006B1F59" w:rsidP="006B1F59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dla zadania inwestycyjnego pn.</w:t>
      </w:r>
    </w:p>
    <w:p w14:paraId="10549532" w14:textId="77777777" w:rsidR="006B1F59" w:rsidRPr="00CB0AA6" w:rsidRDefault="006B1F59" w:rsidP="006B1F59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„Poprawa bezpieczeństwa pieszych w ciągu DW 522 w miejscowości Cierpięta"</w:t>
      </w:r>
    </w:p>
    <w:p w14:paraId="0EF923B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6DAF3B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8C3EEEC" w14:textId="0994DFC1" w:rsidR="00F6181D" w:rsidRDefault="009936DB">
      <w:pPr>
        <w:pStyle w:val="Nagwek1"/>
        <w:spacing w:line="243" w:lineRule="exact"/>
        <w:ind w:left="697" w:right="1051" w:firstLine="0"/>
        <w:jc w:val="center"/>
      </w:pPr>
      <w:bookmarkStart w:id="0" w:name="_Toc118446748"/>
      <w:bookmarkStart w:id="1" w:name="_Toc120217154"/>
      <w:r>
        <w:t>D.</w:t>
      </w:r>
      <w:bookmarkEnd w:id="0"/>
      <w:r w:rsidR="0054744B">
        <w:t>07</w:t>
      </w:r>
      <w:r w:rsidR="00626278">
        <w:t>.</w:t>
      </w:r>
      <w:bookmarkEnd w:id="1"/>
      <w:r w:rsidR="00684754">
        <w:t>08.00c</w:t>
      </w:r>
    </w:p>
    <w:p w14:paraId="2FB1A5DB" w14:textId="77777777" w:rsidR="00F6181D" w:rsidRDefault="00F6181D">
      <w:pPr>
        <w:pStyle w:val="Tekstpodstawowy"/>
        <w:spacing w:before="11"/>
        <w:ind w:left="0"/>
        <w:jc w:val="left"/>
        <w:rPr>
          <w:b/>
          <w:sz w:val="19"/>
        </w:rPr>
      </w:pPr>
    </w:p>
    <w:p w14:paraId="4D349F65" w14:textId="25A8E3A0" w:rsidR="00F6181D" w:rsidRDefault="00684754">
      <w:pPr>
        <w:ind w:left="692" w:right="1051"/>
        <w:jc w:val="center"/>
        <w:rPr>
          <w:b/>
          <w:sz w:val="20"/>
        </w:rPr>
      </w:pPr>
      <w:r>
        <w:rPr>
          <w:b/>
          <w:sz w:val="20"/>
        </w:rPr>
        <w:t xml:space="preserve">PREFABRYKOWANE PODWALINY EKRANÓW PRZECIWHAŁASOWYCH </w:t>
      </w:r>
    </w:p>
    <w:p w14:paraId="76D3C1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4B53296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66281C8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C198E9A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6B808595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C918497" w14:textId="77777777" w:rsidR="00F6181D" w:rsidRDefault="00F6181D">
      <w:pPr>
        <w:pStyle w:val="Tekstpodstawowy"/>
        <w:ind w:left="0"/>
        <w:jc w:val="left"/>
        <w:rPr>
          <w:b/>
          <w:sz w:val="18"/>
        </w:rPr>
      </w:pPr>
    </w:p>
    <w:p w14:paraId="3598583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07D1B23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86C96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FEA784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113E95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3EABFDE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FCF494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E3B8B1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53470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ED872F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0BF5A0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7EC9D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72499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A7EC35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C186FD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08679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FF1F4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35FE5E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02783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6CBF9BB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38438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83D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1C277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C2384E7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9AE8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8BE25DF" w14:textId="77777777" w:rsidR="00F6181D" w:rsidRDefault="00F6181D">
      <w:pPr>
        <w:pStyle w:val="Tekstpodstawowy"/>
        <w:spacing w:before="2"/>
        <w:ind w:left="0"/>
        <w:jc w:val="left"/>
        <w:rPr>
          <w:sz w:val="24"/>
        </w:rPr>
      </w:pPr>
    </w:p>
    <w:p w14:paraId="71BF9C13" w14:textId="77777777" w:rsidR="00F6181D" w:rsidRDefault="00F6181D">
      <w:pPr>
        <w:jc w:val="center"/>
        <w:sectPr w:rsidR="00F6181D">
          <w:type w:val="continuous"/>
          <w:pgSz w:w="11910" w:h="16840"/>
          <w:pgMar w:top="1440" w:right="500" w:bottom="280" w:left="1000" w:header="708" w:footer="708" w:gutter="0"/>
          <w:cols w:space="708"/>
        </w:sectPr>
      </w:pPr>
    </w:p>
    <w:p w14:paraId="5ED36A5B" w14:textId="77777777" w:rsidR="00F6181D" w:rsidRDefault="00F6181D">
      <w:pPr>
        <w:pStyle w:val="Tekstpodstawowy"/>
        <w:ind w:left="0"/>
        <w:jc w:val="left"/>
      </w:pPr>
    </w:p>
    <w:p w14:paraId="6FA3FCCC" w14:textId="77777777" w:rsidR="00F6181D" w:rsidRDefault="00F6181D">
      <w:pPr>
        <w:pStyle w:val="Tekstpodstawowy"/>
        <w:ind w:left="0"/>
        <w:jc w:val="left"/>
      </w:pPr>
    </w:p>
    <w:p w14:paraId="012612DA" w14:textId="77777777" w:rsidR="00F6181D" w:rsidRDefault="00F6181D">
      <w:pPr>
        <w:pStyle w:val="Tekstpodstawowy"/>
        <w:ind w:left="0"/>
        <w:jc w:val="left"/>
      </w:pPr>
    </w:p>
    <w:p w14:paraId="2CADE8AC" w14:textId="77777777" w:rsidR="00F6181D" w:rsidRDefault="00F6181D">
      <w:pPr>
        <w:pStyle w:val="Tekstpodstawowy"/>
        <w:ind w:left="0"/>
        <w:jc w:val="left"/>
      </w:pPr>
    </w:p>
    <w:p w14:paraId="26C3E029" w14:textId="77777777" w:rsidR="00F6181D" w:rsidRDefault="00F6181D">
      <w:pPr>
        <w:pStyle w:val="Tekstpodstawowy"/>
        <w:ind w:left="0"/>
        <w:jc w:val="left"/>
      </w:pPr>
    </w:p>
    <w:p w14:paraId="437B436C" w14:textId="77777777" w:rsidR="00F6181D" w:rsidRDefault="00F6181D">
      <w:pPr>
        <w:pStyle w:val="Tekstpodstawowy"/>
        <w:ind w:left="0"/>
        <w:jc w:val="left"/>
      </w:pPr>
    </w:p>
    <w:p w14:paraId="6AD6631B" w14:textId="77777777" w:rsidR="00F6181D" w:rsidRDefault="00F6181D">
      <w:pPr>
        <w:pStyle w:val="Tekstpodstawowy"/>
        <w:ind w:left="0"/>
        <w:jc w:val="left"/>
      </w:pPr>
    </w:p>
    <w:p w14:paraId="3DA4F54D" w14:textId="77777777" w:rsidR="00F6181D" w:rsidRDefault="00F6181D">
      <w:pPr>
        <w:pStyle w:val="Tekstpodstawowy"/>
        <w:ind w:left="0"/>
        <w:jc w:val="left"/>
      </w:pPr>
    </w:p>
    <w:p w14:paraId="7C63536D" w14:textId="77777777" w:rsidR="00F6181D" w:rsidRDefault="00F6181D">
      <w:pPr>
        <w:pStyle w:val="Tekstpodstawowy"/>
        <w:ind w:left="0"/>
        <w:jc w:val="left"/>
      </w:pPr>
    </w:p>
    <w:p w14:paraId="09846F3E" w14:textId="77777777" w:rsidR="00F6181D" w:rsidRDefault="00F6181D">
      <w:pPr>
        <w:pStyle w:val="Tekstpodstawowy"/>
        <w:ind w:left="0"/>
        <w:jc w:val="left"/>
      </w:pPr>
    </w:p>
    <w:p w14:paraId="38AC4DB4" w14:textId="77777777" w:rsidR="00F6181D" w:rsidRDefault="00F6181D">
      <w:pPr>
        <w:pStyle w:val="Tekstpodstawowy"/>
        <w:ind w:left="0"/>
        <w:jc w:val="left"/>
      </w:pPr>
    </w:p>
    <w:p w14:paraId="452DC45D" w14:textId="77777777" w:rsidR="00F6181D" w:rsidRDefault="00F6181D">
      <w:pPr>
        <w:pStyle w:val="Tekstpodstawowy"/>
        <w:ind w:left="0"/>
        <w:jc w:val="left"/>
      </w:pPr>
    </w:p>
    <w:p w14:paraId="07D2F2B0" w14:textId="77777777" w:rsidR="00F6181D" w:rsidRDefault="00F6181D">
      <w:pPr>
        <w:pStyle w:val="Tekstpodstawowy"/>
        <w:ind w:left="0"/>
        <w:jc w:val="left"/>
      </w:pPr>
    </w:p>
    <w:p w14:paraId="42B507AE" w14:textId="77777777" w:rsidR="00F6181D" w:rsidRDefault="00F6181D">
      <w:pPr>
        <w:pStyle w:val="Tekstpodstawowy"/>
        <w:ind w:left="0"/>
        <w:jc w:val="left"/>
      </w:pPr>
    </w:p>
    <w:p w14:paraId="35F46B77" w14:textId="77777777" w:rsidR="00F6181D" w:rsidRDefault="00F6181D">
      <w:pPr>
        <w:pStyle w:val="Tekstpodstawowy"/>
        <w:ind w:left="0"/>
        <w:jc w:val="left"/>
      </w:pPr>
    </w:p>
    <w:p w14:paraId="7CCB721E" w14:textId="77777777" w:rsidR="00F6181D" w:rsidRDefault="00F6181D">
      <w:pPr>
        <w:pStyle w:val="Tekstpodstawowy"/>
        <w:ind w:left="0"/>
        <w:jc w:val="left"/>
      </w:pPr>
    </w:p>
    <w:p w14:paraId="23E5EA74" w14:textId="77777777" w:rsidR="00F6181D" w:rsidRDefault="00F6181D">
      <w:pPr>
        <w:pStyle w:val="Tekstpodstawowy"/>
        <w:ind w:left="0"/>
        <w:jc w:val="left"/>
      </w:pPr>
    </w:p>
    <w:p w14:paraId="466019DD" w14:textId="77777777" w:rsidR="00F6181D" w:rsidRDefault="00F6181D">
      <w:pPr>
        <w:pStyle w:val="Tekstpodstawowy"/>
        <w:ind w:left="0"/>
        <w:jc w:val="left"/>
      </w:pPr>
    </w:p>
    <w:p w14:paraId="6FCD1630" w14:textId="77777777" w:rsidR="00F6181D" w:rsidRDefault="00F6181D">
      <w:pPr>
        <w:pStyle w:val="Tekstpodstawowy"/>
        <w:ind w:left="0"/>
        <w:jc w:val="left"/>
      </w:pPr>
    </w:p>
    <w:p w14:paraId="29D926A6" w14:textId="77777777" w:rsidR="00F6181D" w:rsidRDefault="00F6181D">
      <w:pPr>
        <w:pStyle w:val="Tekstpodstawowy"/>
        <w:ind w:left="0"/>
        <w:jc w:val="left"/>
      </w:pPr>
    </w:p>
    <w:p w14:paraId="0AAC87D9" w14:textId="77777777" w:rsidR="00F6181D" w:rsidRDefault="00F6181D">
      <w:pPr>
        <w:pStyle w:val="Tekstpodstawowy"/>
        <w:ind w:left="0"/>
        <w:jc w:val="left"/>
      </w:pPr>
    </w:p>
    <w:p w14:paraId="17E445A2" w14:textId="77777777" w:rsidR="00F6181D" w:rsidRDefault="00F6181D">
      <w:pPr>
        <w:pStyle w:val="Tekstpodstawowy"/>
        <w:ind w:left="0"/>
        <w:jc w:val="left"/>
      </w:pPr>
    </w:p>
    <w:p w14:paraId="2B501B5D" w14:textId="77777777" w:rsidR="00F6181D" w:rsidRDefault="00F6181D">
      <w:pPr>
        <w:pStyle w:val="Tekstpodstawowy"/>
        <w:ind w:left="0"/>
        <w:jc w:val="left"/>
      </w:pPr>
    </w:p>
    <w:p w14:paraId="3B368B83" w14:textId="77777777" w:rsidR="00F6181D" w:rsidRDefault="00F6181D">
      <w:pPr>
        <w:pStyle w:val="Tekstpodstawowy"/>
        <w:ind w:left="0"/>
        <w:jc w:val="left"/>
      </w:pPr>
    </w:p>
    <w:p w14:paraId="3692FA6E" w14:textId="77777777" w:rsidR="00F6181D" w:rsidRDefault="00F6181D">
      <w:pPr>
        <w:pStyle w:val="Tekstpodstawowy"/>
        <w:ind w:left="0"/>
        <w:jc w:val="left"/>
      </w:pPr>
    </w:p>
    <w:p w14:paraId="3F9E1FA2" w14:textId="77777777" w:rsidR="00F6181D" w:rsidRDefault="00F6181D">
      <w:pPr>
        <w:pStyle w:val="Tekstpodstawowy"/>
        <w:ind w:left="0"/>
        <w:jc w:val="left"/>
      </w:pPr>
    </w:p>
    <w:p w14:paraId="3030633E" w14:textId="77777777" w:rsidR="00F6181D" w:rsidRDefault="00F6181D">
      <w:pPr>
        <w:pStyle w:val="Tekstpodstawowy"/>
        <w:ind w:left="0"/>
        <w:jc w:val="left"/>
      </w:pPr>
    </w:p>
    <w:p w14:paraId="4B5C0FC0" w14:textId="77777777" w:rsidR="00F6181D" w:rsidRDefault="00F6181D">
      <w:pPr>
        <w:pStyle w:val="Tekstpodstawowy"/>
        <w:ind w:left="0"/>
        <w:jc w:val="left"/>
      </w:pPr>
    </w:p>
    <w:p w14:paraId="25D50481" w14:textId="77777777" w:rsidR="00F6181D" w:rsidRDefault="00F6181D">
      <w:pPr>
        <w:pStyle w:val="Tekstpodstawowy"/>
        <w:ind w:left="0"/>
        <w:jc w:val="left"/>
      </w:pPr>
    </w:p>
    <w:p w14:paraId="781A94D6" w14:textId="77777777" w:rsidR="00F6181D" w:rsidRDefault="00F6181D">
      <w:pPr>
        <w:pStyle w:val="Tekstpodstawowy"/>
        <w:ind w:left="0"/>
        <w:jc w:val="left"/>
      </w:pPr>
    </w:p>
    <w:p w14:paraId="2ECCDCFD" w14:textId="77777777" w:rsidR="00F6181D" w:rsidRDefault="00F6181D">
      <w:pPr>
        <w:pStyle w:val="Tekstpodstawowy"/>
        <w:spacing w:before="5"/>
        <w:ind w:left="0"/>
        <w:jc w:val="left"/>
        <w:rPr>
          <w:sz w:val="28"/>
        </w:rPr>
      </w:pPr>
    </w:p>
    <w:p w14:paraId="1DAF8F8B" w14:textId="77777777" w:rsidR="00F6181D" w:rsidRDefault="00F6181D">
      <w:pPr>
        <w:pStyle w:val="Tekstpodstawowy"/>
        <w:ind w:left="0"/>
        <w:jc w:val="left"/>
      </w:pPr>
    </w:p>
    <w:p w14:paraId="73227653" w14:textId="77777777" w:rsidR="00F6181D" w:rsidRDefault="00F6181D">
      <w:pPr>
        <w:pStyle w:val="Tekstpodstawowy"/>
        <w:ind w:left="0"/>
        <w:jc w:val="left"/>
      </w:pPr>
    </w:p>
    <w:p w14:paraId="0C223C27" w14:textId="77777777" w:rsidR="00F6181D" w:rsidRDefault="00F6181D">
      <w:pPr>
        <w:pStyle w:val="Tekstpodstawowy"/>
        <w:ind w:left="0"/>
        <w:jc w:val="left"/>
      </w:pPr>
    </w:p>
    <w:p w14:paraId="186A4A29" w14:textId="77777777" w:rsidR="00F6181D" w:rsidRDefault="00F6181D">
      <w:pPr>
        <w:pStyle w:val="Tekstpodstawowy"/>
        <w:ind w:left="0"/>
        <w:jc w:val="left"/>
      </w:pPr>
    </w:p>
    <w:p w14:paraId="40ABBDE4" w14:textId="77777777" w:rsidR="00F6181D" w:rsidRDefault="00F6181D">
      <w:pPr>
        <w:pStyle w:val="Tekstpodstawowy"/>
        <w:spacing w:before="9"/>
        <w:ind w:left="0"/>
        <w:jc w:val="left"/>
      </w:pPr>
    </w:p>
    <w:p w14:paraId="17A0BA1C" w14:textId="77777777" w:rsidR="00F6181D" w:rsidRDefault="00F6181D">
      <w:pPr>
        <w:spacing w:line="405" w:lineRule="auto"/>
        <w:jc w:val="right"/>
        <w:sectPr w:rsidR="00F6181D">
          <w:headerReference w:type="default" r:id="rId8"/>
          <w:footerReference w:type="default" r:id="rId9"/>
          <w:pgSz w:w="11910" w:h="16840"/>
          <w:pgMar w:top="1320" w:right="500" w:bottom="1000" w:left="1000" w:header="513" w:footer="810" w:gutter="0"/>
          <w:pgNumType w:start="2"/>
          <w:cols w:space="708"/>
        </w:sectPr>
      </w:pPr>
    </w:p>
    <w:p w14:paraId="6E71D0FC" w14:textId="77777777" w:rsidR="00F6181D" w:rsidRDefault="00F6181D">
      <w:pPr>
        <w:sectPr w:rsidR="00F6181D">
          <w:pgSz w:w="11910" w:h="16840"/>
          <w:pgMar w:top="1320" w:right="500" w:bottom="1608" w:left="1000" w:header="513" w:footer="810" w:gutter="0"/>
          <w:cols w:space="708"/>
        </w:sectPr>
      </w:pPr>
    </w:p>
    <w:sdt>
      <w:sdtPr>
        <w:rPr>
          <w:rFonts w:ascii="Verdana" w:eastAsia="Verdana" w:hAnsi="Verdana" w:cs="Verdana"/>
          <w:color w:val="auto"/>
          <w:sz w:val="22"/>
          <w:szCs w:val="22"/>
          <w:lang w:eastAsia="en-US"/>
        </w:rPr>
        <w:id w:val="-2161196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4DCEB82" w14:textId="5935A1E0" w:rsidR="00BE6D78" w:rsidRPr="00BE6D78" w:rsidRDefault="00BE6D78">
          <w:pPr>
            <w:pStyle w:val="Nagwekspisutreci"/>
            <w:rPr>
              <w:rFonts w:ascii="Verdana" w:hAnsi="Verdana"/>
              <w:color w:val="auto"/>
            </w:rPr>
          </w:pPr>
          <w:r w:rsidRPr="00BE6D78">
            <w:rPr>
              <w:rFonts w:ascii="Verdana" w:hAnsi="Verdana"/>
              <w:color w:val="auto"/>
            </w:rPr>
            <w:t>Spis treści</w:t>
          </w:r>
        </w:p>
        <w:p w14:paraId="6517DC56" w14:textId="0A70090B" w:rsidR="0099682D" w:rsidRDefault="00BE6D78">
          <w:pPr>
            <w:pStyle w:val="Spistreci1"/>
            <w:tabs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r w:rsidRPr="00BE6D78">
            <w:rPr>
              <w:b/>
              <w:bCs/>
            </w:rPr>
            <w:fldChar w:fldCharType="begin"/>
          </w:r>
          <w:r w:rsidRPr="00BE6D78">
            <w:rPr>
              <w:b/>
              <w:bCs/>
            </w:rPr>
            <w:instrText xml:space="preserve"> TOC \o "1-3" \h \z \u </w:instrText>
          </w:r>
          <w:r w:rsidRPr="00BE6D78">
            <w:rPr>
              <w:b/>
              <w:bCs/>
            </w:rPr>
            <w:fldChar w:fldCharType="separate"/>
          </w:r>
        </w:p>
        <w:p w14:paraId="5F6CC5A1" w14:textId="77777777" w:rsidR="0099682D" w:rsidRDefault="006B1F59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17155" w:history="1">
            <w:r w:rsidR="0099682D" w:rsidRPr="00407D7A">
              <w:rPr>
                <w:rStyle w:val="Hipercze"/>
                <w:noProof/>
                <w:spacing w:val="-1"/>
                <w:w w:val="99"/>
              </w:rPr>
              <w:t>1.</w:t>
            </w:r>
            <w:r w:rsidR="0099682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99682D" w:rsidRPr="00407D7A">
              <w:rPr>
                <w:rStyle w:val="Hipercze"/>
                <w:noProof/>
              </w:rPr>
              <w:t>WSTĘP</w:t>
            </w:r>
            <w:r w:rsidR="0099682D">
              <w:rPr>
                <w:noProof/>
                <w:webHidden/>
              </w:rPr>
              <w:tab/>
            </w:r>
            <w:r w:rsidR="0099682D">
              <w:rPr>
                <w:noProof/>
                <w:webHidden/>
              </w:rPr>
              <w:fldChar w:fldCharType="begin"/>
            </w:r>
            <w:r w:rsidR="0099682D">
              <w:rPr>
                <w:noProof/>
                <w:webHidden/>
              </w:rPr>
              <w:instrText xml:space="preserve"> PAGEREF _Toc120217155 \h </w:instrText>
            </w:r>
            <w:r w:rsidR="0099682D">
              <w:rPr>
                <w:noProof/>
                <w:webHidden/>
              </w:rPr>
            </w:r>
            <w:r w:rsidR="0099682D">
              <w:rPr>
                <w:noProof/>
                <w:webHidden/>
              </w:rPr>
              <w:fldChar w:fldCharType="separate"/>
            </w:r>
            <w:r w:rsidR="008839B1">
              <w:rPr>
                <w:noProof/>
                <w:webHidden/>
              </w:rPr>
              <w:t>4</w:t>
            </w:r>
            <w:r w:rsidR="0099682D">
              <w:rPr>
                <w:noProof/>
                <w:webHidden/>
              </w:rPr>
              <w:fldChar w:fldCharType="end"/>
            </w:r>
          </w:hyperlink>
        </w:p>
        <w:p w14:paraId="4666596B" w14:textId="77777777" w:rsidR="0099682D" w:rsidRDefault="006B1F59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17163" w:history="1">
            <w:r w:rsidR="0099682D" w:rsidRPr="00407D7A">
              <w:rPr>
                <w:rStyle w:val="Hipercze"/>
                <w:noProof/>
                <w:spacing w:val="-1"/>
                <w:w w:val="99"/>
              </w:rPr>
              <w:t>2.</w:t>
            </w:r>
            <w:r w:rsidR="0099682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99682D" w:rsidRPr="00407D7A">
              <w:rPr>
                <w:rStyle w:val="Hipercze"/>
                <w:noProof/>
              </w:rPr>
              <w:t>MATERIAŁY</w:t>
            </w:r>
            <w:r w:rsidR="0099682D">
              <w:rPr>
                <w:noProof/>
                <w:webHidden/>
              </w:rPr>
              <w:tab/>
            </w:r>
            <w:r w:rsidR="0099682D">
              <w:rPr>
                <w:noProof/>
                <w:webHidden/>
              </w:rPr>
              <w:fldChar w:fldCharType="begin"/>
            </w:r>
            <w:r w:rsidR="0099682D">
              <w:rPr>
                <w:noProof/>
                <w:webHidden/>
              </w:rPr>
              <w:instrText xml:space="preserve"> PAGEREF _Toc120217163 \h </w:instrText>
            </w:r>
            <w:r w:rsidR="0099682D">
              <w:rPr>
                <w:noProof/>
                <w:webHidden/>
              </w:rPr>
            </w:r>
            <w:r w:rsidR="0099682D">
              <w:rPr>
                <w:noProof/>
                <w:webHidden/>
              </w:rPr>
              <w:fldChar w:fldCharType="separate"/>
            </w:r>
            <w:r w:rsidR="008839B1">
              <w:rPr>
                <w:noProof/>
                <w:webHidden/>
              </w:rPr>
              <w:t>4</w:t>
            </w:r>
            <w:r w:rsidR="0099682D">
              <w:rPr>
                <w:noProof/>
                <w:webHidden/>
              </w:rPr>
              <w:fldChar w:fldCharType="end"/>
            </w:r>
          </w:hyperlink>
        </w:p>
        <w:p w14:paraId="185640ED" w14:textId="5B7CB3E4" w:rsidR="0099682D" w:rsidRDefault="006B1F59" w:rsidP="0099682D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17176" w:history="1">
            <w:r w:rsidR="0099682D" w:rsidRPr="00407D7A">
              <w:rPr>
                <w:rStyle w:val="Hipercze"/>
                <w:noProof/>
                <w:spacing w:val="-1"/>
                <w:w w:val="99"/>
              </w:rPr>
              <w:t>3.</w:t>
            </w:r>
            <w:r w:rsidR="0099682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99682D" w:rsidRPr="00407D7A">
              <w:rPr>
                <w:rStyle w:val="Hipercze"/>
                <w:noProof/>
              </w:rPr>
              <w:t>SPRZĘT</w:t>
            </w:r>
            <w:r w:rsidR="0099682D">
              <w:rPr>
                <w:noProof/>
                <w:webHidden/>
              </w:rPr>
              <w:tab/>
            </w:r>
            <w:r w:rsidR="0099682D">
              <w:rPr>
                <w:noProof/>
                <w:webHidden/>
              </w:rPr>
              <w:fldChar w:fldCharType="begin"/>
            </w:r>
            <w:r w:rsidR="0099682D">
              <w:rPr>
                <w:noProof/>
                <w:webHidden/>
              </w:rPr>
              <w:instrText xml:space="preserve"> PAGEREF _Toc120217176 \h </w:instrText>
            </w:r>
            <w:r w:rsidR="0099682D">
              <w:rPr>
                <w:noProof/>
                <w:webHidden/>
              </w:rPr>
            </w:r>
            <w:r w:rsidR="0099682D">
              <w:rPr>
                <w:noProof/>
                <w:webHidden/>
              </w:rPr>
              <w:fldChar w:fldCharType="separate"/>
            </w:r>
            <w:r w:rsidR="008839B1">
              <w:rPr>
                <w:noProof/>
                <w:webHidden/>
              </w:rPr>
              <w:t>12</w:t>
            </w:r>
            <w:r w:rsidR="0099682D">
              <w:rPr>
                <w:noProof/>
                <w:webHidden/>
              </w:rPr>
              <w:fldChar w:fldCharType="end"/>
            </w:r>
          </w:hyperlink>
        </w:p>
        <w:p w14:paraId="2DB1E99A" w14:textId="67FC4FA0" w:rsidR="0099682D" w:rsidRDefault="006B1F59" w:rsidP="0099682D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17178" w:history="1">
            <w:r w:rsidR="0099682D" w:rsidRPr="00407D7A">
              <w:rPr>
                <w:rStyle w:val="Hipercze"/>
                <w:noProof/>
                <w:spacing w:val="-1"/>
                <w:w w:val="99"/>
              </w:rPr>
              <w:t>4.</w:t>
            </w:r>
            <w:r w:rsidR="0099682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99682D" w:rsidRPr="00407D7A">
              <w:rPr>
                <w:rStyle w:val="Hipercze"/>
                <w:noProof/>
              </w:rPr>
              <w:t>TRANSPORT</w:t>
            </w:r>
            <w:r w:rsidR="0099682D">
              <w:rPr>
                <w:noProof/>
                <w:webHidden/>
              </w:rPr>
              <w:tab/>
            </w:r>
            <w:r w:rsidR="0099682D">
              <w:rPr>
                <w:noProof/>
                <w:webHidden/>
              </w:rPr>
              <w:fldChar w:fldCharType="begin"/>
            </w:r>
            <w:r w:rsidR="0099682D">
              <w:rPr>
                <w:noProof/>
                <w:webHidden/>
              </w:rPr>
              <w:instrText xml:space="preserve"> PAGEREF _Toc120217178 \h </w:instrText>
            </w:r>
            <w:r w:rsidR="0099682D">
              <w:rPr>
                <w:noProof/>
                <w:webHidden/>
              </w:rPr>
            </w:r>
            <w:r w:rsidR="0099682D">
              <w:rPr>
                <w:noProof/>
                <w:webHidden/>
              </w:rPr>
              <w:fldChar w:fldCharType="separate"/>
            </w:r>
            <w:r w:rsidR="008839B1">
              <w:rPr>
                <w:noProof/>
                <w:webHidden/>
              </w:rPr>
              <w:t>12</w:t>
            </w:r>
            <w:r w:rsidR="0099682D">
              <w:rPr>
                <w:noProof/>
                <w:webHidden/>
              </w:rPr>
              <w:fldChar w:fldCharType="end"/>
            </w:r>
          </w:hyperlink>
        </w:p>
        <w:p w14:paraId="14E5B1F7" w14:textId="230F4A0C" w:rsidR="0099682D" w:rsidRDefault="006B1F59" w:rsidP="0099682D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17180" w:history="1">
            <w:r w:rsidR="0099682D" w:rsidRPr="00407D7A">
              <w:rPr>
                <w:rStyle w:val="Hipercze"/>
                <w:noProof/>
                <w:spacing w:val="-1"/>
                <w:w w:val="99"/>
              </w:rPr>
              <w:t>5.</w:t>
            </w:r>
            <w:r w:rsidR="0099682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99682D" w:rsidRPr="00407D7A">
              <w:rPr>
                <w:rStyle w:val="Hipercze"/>
                <w:noProof/>
              </w:rPr>
              <w:t>WYKONANIE ROBÓT</w:t>
            </w:r>
            <w:r w:rsidR="0099682D">
              <w:rPr>
                <w:noProof/>
                <w:webHidden/>
              </w:rPr>
              <w:tab/>
            </w:r>
            <w:r w:rsidR="0099682D">
              <w:rPr>
                <w:noProof/>
                <w:webHidden/>
              </w:rPr>
              <w:fldChar w:fldCharType="begin"/>
            </w:r>
            <w:r w:rsidR="0099682D">
              <w:rPr>
                <w:noProof/>
                <w:webHidden/>
              </w:rPr>
              <w:instrText xml:space="preserve"> PAGEREF _Toc120217180 \h </w:instrText>
            </w:r>
            <w:r w:rsidR="0099682D">
              <w:rPr>
                <w:noProof/>
                <w:webHidden/>
              </w:rPr>
            </w:r>
            <w:r w:rsidR="0099682D">
              <w:rPr>
                <w:noProof/>
                <w:webHidden/>
              </w:rPr>
              <w:fldChar w:fldCharType="separate"/>
            </w:r>
            <w:r w:rsidR="008839B1">
              <w:rPr>
                <w:noProof/>
                <w:webHidden/>
              </w:rPr>
              <w:t>13</w:t>
            </w:r>
            <w:r w:rsidR="0099682D">
              <w:rPr>
                <w:noProof/>
                <w:webHidden/>
              </w:rPr>
              <w:fldChar w:fldCharType="end"/>
            </w:r>
          </w:hyperlink>
        </w:p>
        <w:p w14:paraId="2973B3BD" w14:textId="536D51A8" w:rsidR="0099682D" w:rsidRDefault="006B1F59" w:rsidP="0099682D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17188" w:history="1">
            <w:r w:rsidR="0099682D" w:rsidRPr="00407D7A">
              <w:rPr>
                <w:rStyle w:val="Hipercze"/>
                <w:noProof/>
                <w:spacing w:val="-1"/>
                <w:w w:val="99"/>
              </w:rPr>
              <w:t>6.</w:t>
            </w:r>
            <w:r w:rsidR="0099682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99682D" w:rsidRPr="00407D7A">
              <w:rPr>
                <w:rStyle w:val="Hipercze"/>
                <w:noProof/>
              </w:rPr>
              <w:t>KONTROLA JAKOŚCI ROBÓT</w:t>
            </w:r>
            <w:r w:rsidR="0099682D">
              <w:rPr>
                <w:noProof/>
                <w:webHidden/>
              </w:rPr>
              <w:tab/>
            </w:r>
            <w:r w:rsidR="0099682D">
              <w:rPr>
                <w:noProof/>
                <w:webHidden/>
              </w:rPr>
              <w:fldChar w:fldCharType="begin"/>
            </w:r>
            <w:r w:rsidR="0099682D">
              <w:rPr>
                <w:noProof/>
                <w:webHidden/>
              </w:rPr>
              <w:instrText xml:space="preserve"> PAGEREF _Toc120217188 \h </w:instrText>
            </w:r>
            <w:r w:rsidR="0099682D">
              <w:rPr>
                <w:noProof/>
                <w:webHidden/>
              </w:rPr>
            </w:r>
            <w:r w:rsidR="0099682D">
              <w:rPr>
                <w:noProof/>
                <w:webHidden/>
              </w:rPr>
              <w:fldChar w:fldCharType="separate"/>
            </w:r>
            <w:r w:rsidR="008839B1">
              <w:rPr>
                <w:noProof/>
                <w:webHidden/>
              </w:rPr>
              <w:t>15</w:t>
            </w:r>
            <w:r w:rsidR="0099682D">
              <w:rPr>
                <w:noProof/>
                <w:webHidden/>
              </w:rPr>
              <w:fldChar w:fldCharType="end"/>
            </w:r>
          </w:hyperlink>
        </w:p>
        <w:p w14:paraId="56C3318D" w14:textId="77777777" w:rsidR="0099682D" w:rsidRDefault="006B1F59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17193" w:history="1">
            <w:r w:rsidR="0099682D" w:rsidRPr="00407D7A">
              <w:rPr>
                <w:rStyle w:val="Hipercze"/>
                <w:noProof/>
                <w:spacing w:val="-1"/>
                <w:w w:val="99"/>
              </w:rPr>
              <w:t>7.</w:t>
            </w:r>
            <w:r w:rsidR="0099682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99682D" w:rsidRPr="00407D7A">
              <w:rPr>
                <w:rStyle w:val="Hipercze"/>
                <w:noProof/>
              </w:rPr>
              <w:t>OBMIAR ROBÓT</w:t>
            </w:r>
            <w:r w:rsidR="0099682D">
              <w:rPr>
                <w:noProof/>
                <w:webHidden/>
              </w:rPr>
              <w:tab/>
            </w:r>
            <w:r w:rsidR="0099682D">
              <w:rPr>
                <w:noProof/>
                <w:webHidden/>
              </w:rPr>
              <w:fldChar w:fldCharType="begin"/>
            </w:r>
            <w:r w:rsidR="0099682D">
              <w:rPr>
                <w:noProof/>
                <w:webHidden/>
              </w:rPr>
              <w:instrText xml:space="preserve"> PAGEREF _Toc120217193 \h </w:instrText>
            </w:r>
            <w:r w:rsidR="0099682D">
              <w:rPr>
                <w:noProof/>
                <w:webHidden/>
              </w:rPr>
            </w:r>
            <w:r w:rsidR="0099682D">
              <w:rPr>
                <w:noProof/>
                <w:webHidden/>
              </w:rPr>
              <w:fldChar w:fldCharType="separate"/>
            </w:r>
            <w:r w:rsidR="008839B1">
              <w:rPr>
                <w:noProof/>
                <w:webHidden/>
              </w:rPr>
              <w:t>18</w:t>
            </w:r>
            <w:r w:rsidR="0099682D">
              <w:rPr>
                <w:noProof/>
                <w:webHidden/>
              </w:rPr>
              <w:fldChar w:fldCharType="end"/>
            </w:r>
          </w:hyperlink>
        </w:p>
        <w:p w14:paraId="3081D6F0" w14:textId="5223BFB3" w:rsidR="0099682D" w:rsidRDefault="006B1F59" w:rsidP="0099682D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17194" w:history="1">
            <w:r w:rsidR="0099682D" w:rsidRPr="00407D7A">
              <w:rPr>
                <w:rStyle w:val="Hipercze"/>
                <w:noProof/>
                <w:spacing w:val="-1"/>
                <w:w w:val="99"/>
              </w:rPr>
              <w:t>8.</w:t>
            </w:r>
            <w:r w:rsidR="0099682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99682D" w:rsidRPr="00407D7A">
              <w:rPr>
                <w:rStyle w:val="Hipercze"/>
                <w:noProof/>
              </w:rPr>
              <w:t>ODBIÓR ROBÓT</w:t>
            </w:r>
            <w:r w:rsidR="0099682D">
              <w:rPr>
                <w:noProof/>
                <w:webHidden/>
              </w:rPr>
              <w:tab/>
            </w:r>
            <w:r w:rsidR="0099682D">
              <w:rPr>
                <w:noProof/>
                <w:webHidden/>
              </w:rPr>
              <w:fldChar w:fldCharType="begin"/>
            </w:r>
            <w:r w:rsidR="0099682D">
              <w:rPr>
                <w:noProof/>
                <w:webHidden/>
              </w:rPr>
              <w:instrText xml:space="preserve"> PAGEREF _Toc120217194 \h </w:instrText>
            </w:r>
            <w:r w:rsidR="0099682D">
              <w:rPr>
                <w:noProof/>
                <w:webHidden/>
              </w:rPr>
            </w:r>
            <w:r w:rsidR="0099682D">
              <w:rPr>
                <w:noProof/>
                <w:webHidden/>
              </w:rPr>
              <w:fldChar w:fldCharType="separate"/>
            </w:r>
            <w:r w:rsidR="008839B1">
              <w:rPr>
                <w:noProof/>
                <w:webHidden/>
              </w:rPr>
              <w:t>18</w:t>
            </w:r>
            <w:r w:rsidR="0099682D">
              <w:rPr>
                <w:noProof/>
                <w:webHidden/>
              </w:rPr>
              <w:fldChar w:fldCharType="end"/>
            </w:r>
          </w:hyperlink>
        </w:p>
        <w:p w14:paraId="001F8BBC" w14:textId="77777777" w:rsidR="0099682D" w:rsidRDefault="006B1F59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17199" w:history="1">
            <w:r w:rsidR="0099682D" w:rsidRPr="00407D7A">
              <w:rPr>
                <w:rStyle w:val="Hipercze"/>
                <w:noProof/>
                <w:spacing w:val="-1"/>
                <w:w w:val="99"/>
              </w:rPr>
              <w:t>9.</w:t>
            </w:r>
            <w:r w:rsidR="0099682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99682D" w:rsidRPr="00407D7A">
              <w:rPr>
                <w:rStyle w:val="Hipercze"/>
                <w:noProof/>
              </w:rPr>
              <w:t>PODSTAWA PŁATNOŚCI</w:t>
            </w:r>
            <w:r w:rsidR="0099682D">
              <w:rPr>
                <w:noProof/>
                <w:webHidden/>
              </w:rPr>
              <w:tab/>
            </w:r>
            <w:r w:rsidR="0099682D">
              <w:rPr>
                <w:noProof/>
                <w:webHidden/>
              </w:rPr>
              <w:fldChar w:fldCharType="begin"/>
            </w:r>
            <w:r w:rsidR="0099682D">
              <w:rPr>
                <w:noProof/>
                <w:webHidden/>
              </w:rPr>
              <w:instrText xml:space="preserve"> PAGEREF _Toc120217199 \h </w:instrText>
            </w:r>
            <w:r w:rsidR="0099682D">
              <w:rPr>
                <w:noProof/>
                <w:webHidden/>
              </w:rPr>
            </w:r>
            <w:r w:rsidR="0099682D">
              <w:rPr>
                <w:noProof/>
                <w:webHidden/>
              </w:rPr>
              <w:fldChar w:fldCharType="separate"/>
            </w:r>
            <w:r w:rsidR="008839B1">
              <w:rPr>
                <w:noProof/>
                <w:webHidden/>
              </w:rPr>
              <w:t>18</w:t>
            </w:r>
            <w:r w:rsidR="0099682D">
              <w:rPr>
                <w:noProof/>
                <w:webHidden/>
              </w:rPr>
              <w:fldChar w:fldCharType="end"/>
            </w:r>
          </w:hyperlink>
        </w:p>
        <w:p w14:paraId="55406DE8" w14:textId="4CBC2B29" w:rsidR="0099682D" w:rsidRDefault="006B1F59">
          <w:pPr>
            <w:pStyle w:val="Spistreci1"/>
            <w:tabs>
              <w:tab w:val="left" w:pos="1158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17200" w:history="1">
            <w:r w:rsidR="0099682D" w:rsidRPr="00407D7A">
              <w:rPr>
                <w:rStyle w:val="Hipercze"/>
                <w:noProof/>
                <w:spacing w:val="-1"/>
                <w:w w:val="99"/>
              </w:rPr>
              <w:t>10.</w:t>
            </w:r>
            <w:r w:rsidR="0099682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839B1">
              <w:rPr>
                <w:rStyle w:val="Hipercze"/>
                <w:noProof/>
              </w:rPr>
              <w:t>PRZEPISY ZWIĄZANE</w:t>
            </w:r>
            <w:r w:rsidR="0099682D">
              <w:rPr>
                <w:noProof/>
                <w:webHidden/>
              </w:rPr>
              <w:tab/>
            </w:r>
            <w:r w:rsidR="0099682D">
              <w:rPr>
                <w:noProof/>
                <w:webHidden/>
              </w:rPr>
              <w:fldChar w:fldCharType="begin"/>
            </w:r>
            <w:r w:rsidR="0099682D">
              <w:rPr>
                <w:noProof/>
                <w:webHidden/>
              </w:rPr>
              <w:instrText xml:space="preserve"> PAGEREF _Toc120217200 \h </w:instrText>
            </w:r>
            <w:r w:rsidR="0099682D">
              <w:rPr>
                <w:noProof/>
                <w:webHidden/>
              </w:rPr>
            </w:r>
            <w:r w:rsidR="0099682D">
              <w:rPr>
                <w:noProof/>
                <w:webHidden/>
              </w:rPr>
              <w:fldChar w:fldCharType="separate"/>
            </w:r>
            <w:r w:rsidR="008839B1">
              <w:rPr>
                <w:noProof/>
                <w:webHidden/>
              </w:rPr>
              <w:t>18</w:t>
            </w:r>
            <w:r w:rsidR="0099682D">
              <w:rPr>
                <w:noProof/>
                <w:webHidden/>
              </w:rPr>
              <w:fldChar w:fldCharType="end"/>
            </w:r>
          </w:hyperlink>
        </w:p>
        <w:p w14:paraId="62A0C0A2" w14:textId="2AC5A6F1" w:rsidR="0099682D" w:rsidRDefault="0099682D" w:rsidP="0099682D">
          <w:pPr>
            <w:pStyle w:val="Spistreci2"/>
            <w:tabs>
              <w:tab w:val="left" w:pos="1400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</w:p>
        <w:p w14:paraId="7A43A261" w14:textId="70827E56" w:rsidR="00BE6D78" w:rsidRDefault="00BE6D78">
          <w:r w:rsidRPr="00BE6D78">
            <w:rPr>
              <w:b/>
              <w:bCs/>
            </w:rPr>
            <w:fldChar w:fldCharType="end"/>
          </w:r>
        </w:p>
      </w:sdtContent>
    </w:sdt>
    <w:p w14:paraId="127EE709" w14:textId="77777777" w:rsidR="00F6181D" w:rsidRDefault="00F6181D">
      <w:pPr>
        <w:sectPr w:rsidR="00F6181D">
          <w:type w:val="continuous"/>
          <w:pgSz w:w="11910" w:h="16840"/>
          <w:pgMar w:top="1331" w:right="500" w:bottom="1608" w:left="1000" w:header="708" w:footer="708" w:gutter="0"/>
          <w:cols w:space="708"/>
        </w:sectPr>
      </w:pPr>
    </w:p>
    <w:p w14:paraId="2971FBCB" w14:textId="77777777" w:rsidR="00F6181D" w:rsidRDefault="00F0173A" w:rsidP="00455A23">
      <w:pPr>
        <w:pStyle w:val="Nagwek1"/>
        <w:numPr>
          <w:ilvl w:val="0"/>
          <w:numId w:val="1"/>
        </w:numPr>
        <w:tabs>
          <w:tab w:val="left" w:pos="1129"/>
          <w:tab w:val="left" w:pos="1130"/>
        </w:tabs>
        <w:spacing w:before="89"/>
        <w:ind w:hanging="854"/>
      </w:pPr>
      <w:bookmarkStart w:id="2" w:name="_Toc120217155"/>
      <w:r>
        <w:lastRenderedPageBreak/>
        <w:t>WSTĘP</w:t>
      </w:r>
      <w:bookmarkEnd w:id="2"/>
    </w:p>
    <w:p w14:paraId="14D56514" w14:textId="77777777" w:rsidR="00F6181D" w:rsidRDefault="00F0173A" w:rsidP="00455A23">
      <w:pPr>
        <w:pStyle w:val="Nagwek1"/>
        <w:numPr>
          <w:ilvl w:val="1"/>
          <w:numId w:val="1"/>
        </w:numPr>
        <w:tabs>
          <w:tab w:val="left" w:pos="1129"/>
          <w:tab w:val="left" w:pos="1130"/>
        </w:tabs>
        <w:spacing w:before="156"/>
        <w:ind w:hanging="854"/>
      </w:pPr>
      <w:bookmarkStart w:id="3" w:name="_Toc118446750"/>
      <w:bookmarkStart w:id="4" w:name="_Toc120217156"/>
      <w:r>
        <w:t>Nazwa</w:t>
      </w:r>
      <w:r>
        <w:rPr>
          <w:spacing w:val="-2"/>
        </w:rPr>
        <w:t xml:space="preserve"> </w:t>
      </w:r>
      <w:r>
        <w:t>zadania</w:t>
      </w:r>
      <w:bookmarkEnd w:id="3"/>
      <w:bookmarkEnd w:id="4"/>
    </w:p>
    <w:p w14:paraId="48926D4C" w14:textId="77777777" w:rsidR="006B1F59" w:rsidRPr="006B1F59" w:rsidRDefault="006B1F59" w:rsidP="006B1F59">
      <w:pPr>
        <w:pStyle w:val="Nagwek1"/>
        <w:tabs>
          <w:tab w:val="left" w:pos="1129"/>
          <w:tab w:val="left" w:pos="1130"/>
        </w:tabs>
        <w:spacing w:before="156"/>
        <w:ind w:left="275" w:firstLine="0"/>
      </w:pPr>
      <w:bookmarkStart w:id="5" w:name="_Toc118446751"/>
      <w:bookmarkStart w:id="6" w:name="_Toc120217157"/>
      <w:r w:rsidRPr="006B1F59">
        <w:rPr>
          <w:b w:val="0"/>
          <w:bCs w:val="0"/>
          <w:szCs w:val="22"/>
        </w:rPr>
        <w:t>„Poprawa bezpieczeństwa pieszych w ciągu DW 522 w miejscowości Cierpięta"</w:t>
      </w:r>
    </w:p>
    <w:p w14:paraId="077A3549" w14:textId="207877A3" w:rsidR="00F6181D" w:rsidRDefault="00F0173A" w:rsidP="00455A23">
      <w:pPr>
        <w:pStyle w:val="Nagwek1"/>
        <w:numPr>
          <w:ilvl w:val="1"/>
          <w:numId w:val="1"/>
        </w:numPr>
        <w:tabs>
          <w:tab w:val="left" w:pos="1129"/>
          <w:tab w:val="left" w:pos="1130"/>
        </w:tabs>
        <w:spacing w:before="156"/>
        <w:ind w:hanging="854"/>
      </w:pPr>
      <w:r>
        <w:t>Przedmiot</w:t>
      </w:r>
      <w:r>
        <w:rPr>
          <w:spacing w:val="-2"/>
        </w:rPr>
        <w:t xml:space="preserve"> </w:t>
      </w:r>
      <w:r w:rsidR="009B463F">
        <w:t>SST</w:t>
      </w:r>
      <w:bookmarkEnd w:id="5"/>
      <w:bookmarkEnd w:id="6"/>
    </w:p>
    <w:p w14:paraId="765AD88E" w14:textId="7947EB28" w:rsidR="00F6181D" w:rsidRDefault="00F0173A">
      <w:pPr>
        <w:pStyle w:val="Tekstpodstawowy"/>
        <w:spacing w:before="157" w:line="276" w:lineRule="auto"/>
        <w:ind w:left="276" w:right="628"/>
      </w:pPr>
      <w:r>
        <w:t>Przedmiotem niniejsz</w:t>
      </w:r>
      <w:r w:rsidR="00234C85">
        <w:t>ej</w:t>
      </w:r>
      <w:r>
        <w:t xml:space="preserve"> </w:t>
      </w:r>
      <w:r w:rsidR="009B463F">
        <w:t>Szczegółowej Specyfikacji Technicznej</w:t>
      </w:r>
      <w:r>
        <w:t xml:space="preserve"> (</w:t>
      </w:r>
      <w:r w:rsidR="00234C85">
        <w:t>S</w:t>
      </w:r>
      <w:r w:rsidR="009B463F">
        <w:t>ST</w:t>
      </w:r>
      <w:r>
        <w:t xml:space="preserve">) </w:t>
      </w:r>
      <w:r w:rsidR="009B463F">
        <w:t xml:space="preserve">są szczegółowe wymagania dotyczące wykonania i odbioru </w:t>
      </w:r>
      <w:r w:rsidR="00684754">
        <w:t xml:space="preserve">robót związanych z wykonaniem i montażem podwalin pod wypełnienie drogowych ekranów przeciwhałasowych. </w:t>
      </w:r>
      <w:r w:rsidR="0054744B">
        <w:t xml:space="preserve"> </w:t>
      </w:r>
      <w:r w:rsidR="00626278">
        <w:t xml:space="preserve">  </w:t>
      </w:r>
    </w:p>
    <w:p w14:paraId="1632B1C8" w14:textId="77777777" w:rsidR="00F6181D" w:rsidRDefault="00F0173A" w:rsidP="00455A23">
      <w:pPr>
        <w:pStyle w:val="Nagwek1"/>
        <w:numPr>
          <w:ilvl w:val="1"/>
          <w:numId w:val="1"/>
        </w:numPr>
        <w:tabs>
          <w:tab w:val="left" w:pos="1129"/>
          <w:tab w:val="left" w:pos="1130"/>
        </w:tabs>
        <w:spacing w:before="121"/>
        <w:ind w:hanging="854"/>
      </w:pPr>
      <w:bookmarkStart w:id="7" w:name="_Toc118446752"/>
      <w:bookmarkStart w:id="8" w:name="_Toc120217158"/>
      <w:r>
        <w:t xml:space="preserve">Zakres stosowania </w:t>
      </w:r>
      <w:r w:rsidR="009B463F">
        <w:t>SST</w:t>
      </w:r>
      <w:bookmarkEnd w:id="7"/>
      <w:bookmarkEnd w:id="8"/>
    </w:p>
    <w:p w14:paraId="31DAF23D" w14:textId="77777777" w:rsidR="009B463F" w:rsidRPr="004B74C4" w:rsidRDefault="009B463F" w:rsidP="004B74C4">
      <w:pPr>
        <w:pStyle w:val="Tekstpodstawowy"/>
        <w:spacing w:before="155" w:line="276" w:lineRule="auto"/>
        <w:ind w:left="275" w:right="632"/>
      </w:pPr>
      <w:r w:rsidRPr="004B74C4">
        <w:t xml:space="preserve">SST jest stosowany jako dokument przetargowy i kontraktowy przy zlecaniu i realizacji robót na drogach wojewódzkich. </w:t>
      </w:r>
    </w:p>
    <w:p w14:paraId="378BEAEC" w14:textId="77777777" w:rsidR="00F6181D" w:rsidRPr="004B74C4" w:rsidRDefault="009B463F" w:rsidP="004B74C4">
      <w:pPr>
        <w:pStyle w:val="Nagwek1"/>
        <w:numPr>
          <w:ilvl w:val="1"/>
          <w:numId w:val="1"/>
        </w:numPr>
        <w:tabs>
          <w:tab w:val="left" w:pos="1130"/>
        </w:tabs>
        <w:spacing w:before="121" w:after="240"/>
        <w:ind w:left="275" w:right="632" w:firstLine="0"/>
        <w:jc w:val="both"/>
      </w:pPr>
      <w:bookmarkStart w:id="9" w:name="_Toc118446753"/>
      <w:bookmarkStart w:id="10" w:name="_Toc120217159"/>
      <w:r w:rsidRPr="004B74C4">
        <w:t>Zakres robót objętych SST</w:t>
      </w:r>
      <w:bookmarkEnd w:id="9"/>
      <w:bookmarkEnd w:id="10"/>
      <w:r w:rsidRPr="004B74C4">
        <w:t xml:space="preserve"> </w:t>
      </w:r>
    </w:p>
    <w:p w14:paraId="6B4C34F0" w14:textId="77777777" w:rsidR="00684754" w:rsidRPr="004B74C4" w:rsidRDefault="00684754" w:rsidP="004B74C4">
      <w:pPr>
        <w:pStyle w:val="Tekstpodstawowy"/>
        <w:ind w:left="275" w:right="632"/>
      </w:pPr>
      <w:bookmarkStart w:id="11" w:name="_Toc118446759"/>
      <w:bookmarkStart w:id="12" w:name="_Toc120217161"/>
      <w:r w:rsidRPr="004B74C4">
        <w:t xml:space="preserve">Ustalenia zawarte w niniejszej specyfikacji  dotyczą zasad prowadzenia robót związanych z wykonaniem i odbiorem prefabrykowanych, żelbetowych podwalin, wykonywanych dla podparcia paneli wypełniających w drogowych ekranach przeciwhałasowych. </w:t>
      </w:r>
    </w:p>
    <w:p w14:paraId="1655FF09" w14:textId="2F5E36DF" w:rsidR="00F6181D" w:rsidRPr="004B74C4" w:rsidRDefault="00F0173A" w:rsidP="004B74C4">
      <w:pPr>
        <w:pStyle w:val="Nagwek1"/>
        <w:numPr>
          <w:ilvl w:val="1"/>
          <w:numId w:val="1"/>
        </w:numPr>
        <w:tabs>
          <w:tab w:val="left" w:pos="1134"/>
        </w:tabs>
        <w:spacing w:before="156" w:after="240"/>
        <w:ind w:left="275" w:right="632" w:firstLine="0"/>
        <w:jc w:val="both"/>
      </w:pPr>
      <w:r w:rsidRPr="004B74C4">
        <w:t>Określenia</w:t>
      </w:r>
      <w:r w:rsidRPr="004B74C4">
        <w:rPr>
          <w:spacing w:val="-2"/>
        </w:rPr>
        <w:t xml:space="preserve"> </w:t>
      </w:r>
      <w:r w:rsidRPr="004B74C4">
        <w:t>podstawowe</w:t>
      </w:r>
      <w:bookmarkEnd w:id="11"/>
      <w:bookmarkEnd w:id="12"/>
    </w:p>
    <w:p w14:paraId="08C936B4" w14:textId="1AC5E160" w:rsidR="00684754" w:rsidRPr="004B74C4" w:rsidRDefault="004B74C4" w:rsidP="004B74C4">
      <w:pPr>
        <w:spacing w:after="120"/>
        <w:ind w:left="275" w:right="632"/>
        <w:jc w:val="both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1.5</w:t>
      </w:r>
      <w:r w:rsidR="00684754" w:rsidRPr="004B74C4">
        <w:rPr>
          <w:b/>
          <w:bCs/>
          <w:sz w:val="20"/>
          <w:szCs w:val="20"/>
        </w:rPr>
        <w:t xml:space="preserve">.1. </w:t>
      </w:r>
      <w:r w:rsidR="00684754" w:rsidRPr="004B74C4">
        <w:rPr>
          <w:bCs/>
          <w:sz w:val="20"/>
          <w:szCs w:val="20"/>
        </w:rPr>
        <w:t>Element prefabrykowany  – element z betonu formowany i dojrzewający poza miejscem ostatecznego wbudowania.</w:t>
      </w:r>
    </w:p>
    <w:p w14:paraId="4F7D4568" w14:textId="77777777" w:rsidR="00CB0844" w:rsidRPr="004B74C4" w:rsidRDefault="00CB0844" w:rsidP="004B74C4">
      <w:pPr>
        <w:spacing w:before="119"/>
        <w:ind w:left="275" w:right="632"/>
        <w:jc w:val="both"/>
        <w:rPr>
          <w:sz w:val="20"/>
          <w:szCs w:val="20"/>
        </w:rPr>
      </w:pPr>
      <w:r w:rsidRPr="004B74C4">
        <w:rPr>
          <w:sz w:val="20"/>
          <w:szCs w:val="20"/>
        </w:rPr>
        <w:t>Pozostałe określenia podstawowe są zgodne z obowiązującymi, odpowiednimi polskimi normami i z definicjami podanymi w SST D-M-00.00.00 „Wymagania ogólne” pkt 1.5.</w:t>
      </w:r>
    </w:p>
    <w:p w14:paraId="13DC9501" w14:textId="6A440682" w:rsidR="00F6181D" w:rsidRPr="004B74C4" w:rsidRDefault="00811008" w:rsidP="004B74C4">
      <w:pPr>
        <w:pStyle w:val="Nagwek1"/>
        <w:numPr>
          <w:ilvl w:val="1"/>
          <w:numId w:val="1"/>
        </w:numPr>
        <w:tabs>
          <w:tab w:val="left" w:pos="1134"/>
        </w:tabs>
        <w:spacing w:before="121"/>
        <w:ind w:left="275" w:right="632" w:firstLine="0"/>
        <w:jc w:val="both"/>
      </w:pPr>
      <w:bookmarkStart w:id="13" w:name="_Toc118446760"/>
      <w:bookmarkStart w:id="14" w:name="_Toc120217162"/>
      <w:r w:rsidRPr="004B74C4">
        <w:t>Szczegółowe</w:t>
      </w:r>
      <w:r w:rsidR="00F0173A" w:rsidRPr="004B74C4">
        <w:t xml:space="preserve"> wymagania dotyczące</w:t>
      </w:r>
      <w:r w:rsidR="00F0173A" w:rsidRPr="004B74C4">
        <w:rPr>
          <w:spacing w:val="2"/>
        </w:rPr>
        <w:t xml:space="preserve"> </w:t>
      </w:r>
      <w:r w:rsidR="00F0173A" w:rsidRPr="004B74C4">
        <w:t>robót</w:t>
      </w:r>
      <w:bookmarkEnd w:id="13"/>
      <w:bookmarkEnd w:id="14"/>
    </w:p>
    <w:p w14:paraId="104D0243" w14:textId="66793B5E" w:rsidR="00F6181D" w:rsidRPr="004B74C4" w:rsidRDefault="00811008" w:rsidP="004B74C4">
      <w:pPr>
        <w:pStyle w:val="Tekstpodstawowy"/>
        <w:spacing w:before="155"/>
        <w:ind w:left="275" w:right="632"/>
      </w:pPr>
      <w:r w:rsidRPr="004B74C4">
        <w:t xml:space="preserve">Szczegółowe </w:t>
      </w:r>
      <w:r w:rsidR="00CB0844" w:rsidRPr="004B74C4">
        <w:t>wymagania dotyczące robót podano w SST D-M-00.00.00 „Wymagania ogólne” pkt 1.6.</w:t>
      </w:r>
    </w:p>
    <w:p w14:paraId="755C6EF9" w14:textId="77777777" w:rsidR="00F6181D" w:rsidRPr="004B74C4" w:rsidRDefault="00F6181D" w:rsidP="004B74C4">
      <w:pPr>
        <w:pStyle w:val="Tekstpodstawowy"/>
        <w:spacing w:before="10"/>
        <w:ind w:left="275" w:right="632"/>
      </w:pPr>
    </w:p>
    <w:p w14:paraId="761A2DDB" w14:textId="77777777" w:rsidR="00F6181D" w:rsidRPr="004B74C4" w:rsidRDefault="00F0173A" w:rsidP="004B74C4">
      <w:pPr>
        <w:pStyle w:val="Nagwek1"/>
        <w:numPr>
          <w:ilvl w:val="0"/>
          <w:numId w:val="1"/>
        </w:numPr>
        <w:tabs>
          <w:tab w:val="left" w:pos="1134"/>
        </w:tabs>
        <w:ind w:left="275" w:right="632" w:firstLine="0"/>
        <w:jc w:val="both"/>
      </w:pPr>
      <w:bookmarkStart w:id="15" w:name="_Toc120217163"/>
      <w:r w:rsidRPr="004B74C4">
        <w:t>MATERIAŁY</w:t>
      </w:r>
      <w:bookmarkEnd w:id="15"/>
    </w:p>
    <w:p w14:paraId="655E1DDF" w14:textId="332614AE" w:rsidR="00F6181D" w:rsidRPr="004B74C4" w:rsidRDefault="00A15B4F" w:rsidP="004B74C4">
      <w:pPr>
        <w:pStyle w:val="Nagwek1"/>
        <w:numPr>
          <w:ilvl w:val="1"/>
          <w:numId w:val="1"/>
        </w:numPr>
        <w:tabs>
          <w:tab w:val="left" w:pos="1134"/>
        </w:tabs>
        <w:spacing w:before="156"/>
        <w:ind w:left="275" w:right="632" w:firstLine="0"/>
        <w:jc w:val="both"/>
      </w:pPr>
      <w:bookmarkStart w:id="16" w:name="_Toc118446762"/>
      <w:bookmarkStart w:id="17" w:name="_Toc120217164"/>
      <w:r w:rsidRPr="004B74C4">
        <w:t xml:space="preserve">Szczegółowe </w:t>
      </w:r>
      <w:r w:rsidR="00F0173A" w:rsidRPr="004B74C4">
        <w:t>wymagania dotyczące</w:t>
      </w:r>
      <w:r w:rsidR="00F0173A" w:rsidRPr="004B74C4">
        <w:rPr>
          <w:spacing w:val="-1"/>
        </w:rPr>
        <w:t xml:space="preserve"> </w:t>
      </w:r>
      <w:r w:rsidR="00F0173A" w:rsidRPr="004B74C4">
        <w:t>materiałów</w:t>
      </w:r>
      <w:bookmarkEnd w:id="16"/>
      <w:bookmarkEnd w:id="17"/>
    </w:p>
    <w:p w14:paraId="66ACE2D4" w14:textId="75F4E584" w:rsidR="00CB0844" w:rsidRPr="004B74C4" w:rsidRDefault="00A15B4F" w:rsidP="004B74C4">
      <w:pPr>
        <w:pStyle w:val="Nagwek1"/>
        <w:spacing w:before="120"/>
        <w:ind w:left="275" w:right="632" w:firstLine="0"/>
        <w:jc w:val="both"/>
        <w:rPr>
          <w:b w:val="0"/>
        </w:rPr>
      </w:pPr>
      <w:bookmarkStart w:id="18" w:name="_Toc118446763"/>
      <w:bookmarkStart w:id="19" w:name="_Toc120217165"/>
      <w:r w:rsidRPr="004B74C4">
        <w:rPr>
          <w:b w:val="0"/>
        </w:rPr>
        <w:t>Szczegółowe</w:t>
      </w:r>
      <w:r w:rsidR="00CB0844" w:rsidRPr="004B74C4">
        <w:rPr>
          <w:b w:val="0"/>
        </w:rPr>
        <w:t xml:space="preserve"> wymagania dotyczące materiałów, ich pozyskiwania i składowania podano w SST D-M-00.00.00 „Wymagania ogólne” pkt 2.</w:t>
      </w:r>
      <w:bookmarkEnd w:id="18"/>
      <w:bookmarkEnd w:id="19"/>
    </w:p>
    <w:p w14:paraId="128C7F2D" w14:textId="77777777" w:rsidR="003155E7" w:rsidRPr="004B74C4" w:rsidRDefault="003155E7" w:rsidP="004B74C4">
      <w:pPr>
        <w:pStyle w:val="Nagwek1"/>
        <w:spacing w:before="120"/>
        <w:ind w:left="275" w:right="632" w:firstLine="0"/>
        <w:jc w:val="both"/>
        <w:rPr>
          <w:b w:val="0"/>
        </w:rPr>
      </w:pPr>
    </w:p>
    <w:p w14:paraId="4A202AD2" w14:textId="3463E855" w:rsidR="00684754" w:rsidRPr="004B74C4" w:rsidRDefault="00684754" w:rsidP="004B74C4">
      <w:pPr>
        <w:pStyle w:val="Nagwek1"/>
        <w:spacing w:after="240"/>
      </w:pPr>
      <w:r w:rsidRPr="004B74C4">
        <w:t xml:space="preserve">2.2. </w:t>
      </w:r>
      <w:r w:rsidR="004B74C4">
        <w:tab/>
      </w:r>
      <w:r w:rsidRPr="004B74C4">
        <w:t xml:space="preserve">Prefabrykaty belek </w:t>
      </w:r>
      <w:proofErr w:type="spellStart"/>
      <w:r w:rsidRPr="004B74C4">
        <w:t>podwalinowych</w:t>
      </w:r>
      <w:proofErr w:type="spellEnd"/>
    </w:p>
    <w:p w14:paraId="4F178B23" w14:textId="5FE46535" w:rsidR="00684754" w:rsidRPr="004B74C4" w:rsidRDefault="00684754" w:rsidP="004B74C4">
      <w:pPr>
        <w:tabs>
          <w:tab w:val="left" w:pos="1134"/>
        </w:tabs>
        <w:spacing w:after="120"/>
        <w:ind w:left="275" w:right="632"/>
        <w:jc w:val="both"/>
        <w:rPr>
          <w:sz w:val="20"/>
          <w:szCs w:val="20"/>
        </w:rPr>
      </w:pPr>
      <w:r w:rsidRPr="004B74C4">
        <w:rPr>
          <w:sz w:val="20"/>
          <w:szCs w:val="20"/>
        </w:rPr>
        <w:t xml:space="preserve">2.2.1. </w:t>
      </w:r>
      <w:r w:rsidR="004B74C4">
        <w:rPr>
          <w:sz w:val="20"/>
          <w:szCs w:val="20"/>
        </w:rPr>
        <w:tab/>
      </w:r>
      <w:r w:rsidRPr="004B74C4">
        <w:rPr>
          <w:sz w:val="20"/>
          <w:szCs w:val="20"/>
        </w:rPr>
        <w:t>Wymagania dla prefabrykatów</w:t>
      </w:r>
    </w:p>
    <w:p w14:paraId="5541972E" w14:textId="4C484F05" w:rsidR="00684754" w:rsidRPr="004B74C4" w:rsidRDefault="00684754" w:rsidP="004B74C4">
      <w:pPr>
        <w:pStyle w:val="StylIwony"/>
        <w:spacing w:before="0" w:after="0"/>
        <w:ind w:left="275" w:right="632"/>
        <w:rPr>
          <w:rFonts w:ascii="Verdana" w:hAnsi="Verdana"/>
          <w:strike/>
          <w:sz w:val="20"/>
        </w:rPr>
      </w:pPr>
      <w:r w:rsidRPr="004B74C4">
        <w:rPr>
          <w:rFonts w:ascii="Verdana" w:hAnsi="Verdana"/>
          <w:sz w:val="20"/>
        </w:rPr>
        <w:t>Można stosować prefabrykaty, dla których Wykonawca przedstawi deklarację właściwości użytkowych, z której będzie wynikać zgodność cech prefabrykatu z wymaganiami podanymi w dokumentacji projektowej i S</w:t>
      </w:r>
      <w:r w:rsidR="004B74C4">
        <w:rPr>
          <w:rFonts w:ascii="Verdana" w:hAnsi="Verdana"/>
          <w:sz w:val="20"/>
        </w:rPr>
        <w:t>S</w:t>
      </w:r>
      <w:r w:rsidRPr="004B74C4">
        <w:rPr>
          <w:rFonts w:ascii="Verdana" w:hAnsi="Verdana"/>
          <w:sz w:val="20"/>
        </w:rPr>
        <w:t xml:space="preserve">T lub prefabrykaty produkowane wg indywidualnej dokumentacji technicznej (projektu wykonawczego i </w:t>
      </w:r>
      <w:r w:rsidR="004B74C4">
        <w:rPr>
          <w:rFonts w:ascii="Verdana" w:hAnsi="Verdana"/>
          <w:sz w:val="20"/>
        </w:rPr>
        <w:t>S</w:t>
      </w:r>
      <w:r w:rsidRPr="004B74C4">
        <w:rPr>
          <w:rFonts w:ascii="Verdana" w:hAnsi="Verdana"/>
          <w:sz w:val="20"/>
        </w:rPr>
        <w:t>ST) dostarczonej przez Producenta lub Wykonawcę.</w:t>
      </w:r>
    </w:p>
    <w:p w14:paraId="505194E7" w14:textId="77777777" w:rsidR="00684754" w:rsidRPr="004B74C4" w:rsidRDefault="00684754" w:rsidP="004B74C4">
      <w:pPr>
        <w:ind w:left="275" w:right="632"/>
        <w:jc w:val="both"/>
        <w:rPr>
          <w:sz w:val="20"/>
          <w:szCs w:val="20"/>
        </w:rPr>
      </w:pPr>
      <w:r w:rsidRPr="004B74C4">
        <w:rPr>
          <w:sz w:val="20"/>
          <w:szCs w:val="20"/>
        </w:rPr>
        <w:t xml:space="preserve">Prefabrykaty powinny mieć kształt umożliwiający takie oparcie ich na fundamencie (głowicy lub oczepie pala), aby mimo różnic w rzędnych wierzchu sąsiednich pali możliwe było wypoziomowanie belki. W tym celu element podwaliny powinien być odpowiednio zaprojektowany, tzn. z odpowiednimi gotowymi podcięciami lub z możliwością wykonania takich podcięć na budowie.   </w:t>
      </w:r>
    </w:p>
    <w:p w14:paraId="64CA4FE9" w14:textId="0D0C477D" w:rsidR="00684754" w:rsidRPr="004B74C4" w:rsidRDefault="00684754" w:rsidP="004B74C4">
      <w:pPr>
        <w:ind w:left="275" w:right="632"/>
        <w:jc w:val="both"/>
        <w:rPr>
          <w:sz w:val="20"/>
          <w:szCs w:val="20"/>
        </w:rPr>
      </w:pPr>
      <w:r w:rsidRPr="004B74C4">
        <w:rPr>
          <w:sz w:val="20"/>
          <w:szCs w:val="20"/>
        </w:rPr>
        <w:t>W przypadku, gdy dokumentacja projektowa lub S</w:t>
      </w:r>
      <w:r w:rsidR="004B74C4">
        <w:rPr>
          <w:sz w:val="20"/>
          <w:szCs w:val="20"/>
        </w:rPr>
        <w:t>S</w:t>
      </w:r>
      <w:r w:rsidRPr="004B74C4">
        <w:rPr>
          <w:sz w:val="20"/>
          <w:szCs w:val="20"/>
        </w:rPr>
        <w:t xml:space="preserve">T zakładają szczególne wymagania dla jakości wykończonej powierzchni prefabrykatów, spełnianie tych wymagań powinno wynikać z dostarczonej przez wykonawcę deklaracji właściwości użytkowych lub oświadczenia producenta. </w:t>
      </w:r>
    </w:p>
    <w:p w14:paraId="4068905C" w14:textId="77777777" w:rsidR="00684754" w:rsidRPr="004B74C4" w:rsidRDefault="00684754" w:rsidP="004B74C4">
      <w:pPr>
        <w:ind w:left="275" w:right="632"/>
        <w:jc w:val="both"/>
        <w:rPr>
          <w:sz w:val="20"/>
          <w:szCs w:val="20"/>
        </w:rPr>
      </w:pPr>
      <w:r w:rsidRPr="004B74C4">
        <w:rPr>
          <w:sz w:val="20"/>
          <w:szCs w:val="20"/>
        </w:rPr>
        <w:t xml:space="preserve">Warunki dopuszczenia prefabrykatów produkowanych wg normy lub oceny technicznej podano w pkt. 2.2.2, a wg indywidualnej dokumentacji technicznej w pkt. 2.2.3. </w:t>
      </w:r>
    </w:p>
    <w:p w14:paraId="0676F6C9" w14:textId="2B1F43A1" w:rsidR="00684754" w:rsidRPr="004B74C4" w:rsidRDefault="00684754" w:rsidP="004B74C4">
      <w:pPr>
        <w:tabs>
          <w:tab w:val="left" w:pos="1134"/>
        </w:tabs>
        <w:spacing w:before="120" w:after="120"/>
        <w:ind w:left="275" w:right="632"/>
        <w:jc w:val="both"/>
        <w:rPr>
          <w:bCs/>
          <w:sz w:val="20"/>
          <w:szCs w:val="20"/>
        </w:rPr>
      </w:pPr>
      <w:r w:rsidRPr="004B74C4">
        <w:rPr>
          <w:sz w:val="20"/>
          <w:szCs w:val="20"/>
        </w:rPr>
        <w:t xml:space="preserve">2.2.2. </w:t>
      </w:r>
      <w:r w:rsidR="004B74C4">
        <w:rPr>
          <w:sz w:val="20"/>
          <w:szCs w:val="20"/>
        </w:rPr>
        <w:tab/>
      </w:r>
      <w:r w:rsidRPr="004B74C4">
        <w:rPr>
          <w:bCs/>
          <w:sz w:val="20"/>
          <w:szCs w:val="20"/>
        </w:rPr>
        <w:t xml:space="preserve">Prefabrykaty produkowane wg normy lub oceny technicznej </w:t>
      </w:r>
    </w:p>
    <w:p w14:paraId="1CE63CF0" w14:textId="76FF39FE" w:rsidR="00684754" w:rsidRPr="004B74C4" w:rsidRDefault="00684754" w:rsidP="004B74C4">
      <w:pPr>
        <w:ind w:left="275" w:right="632"/>
        <w:jc w:val="both"/>
        <w:rPr>
          <w:sz w:val="20"/>
          <w:szCs w:val="20"/>
        </w:rPr>
      </w:pPr>
      <w:r w:rsidRPr="004B74C4">
        <w:rPr>
          <w:sz w:val="20"/>
          <w:szCs w:val="20"/>
        </w:rPr>
        <w:lastRenderedPageBreak/>
        <w:t>Prefabrykaty produkowane wg Polskiej Normy (np. PN-EN 13369) bądź krajowej oceny technicznej lub normy zharmonizowanej (np. PN-EN 13225 ) bądź europejskiej oceny technicznej powinny posiadać odpowiednio oznakowanie znakiem budowlanym B lub CE oraz wystawioną przez producenta deklarację właściwości użytkowych zgodnie z us</w:t>
      </w:r>
      <w:r w:rsidR="004B74C4">
        <w:rPr>
          <w:sz w:val="20"/>
          <w:szCs w:val="20"/>
        </w:rPr>
        <w:t>tawą o wyrobach budowlanych</w:t>
      </w:r>
      <w:r w:rsidRPr="004B74C4">
        <w:rPr>
          <w:sz w:val="20"/>
          <w:szCs w:val="20"/>
        </w:rPr>
        <w:t xml:space="preserve">. </w:t>
      </w:r>
    </w:p>
    <w:p w14:paraId="47BC7457" w14:textId="77777777" w:rsidR="00684754" w:rsidRPr="004B74C4" w:rsidRDefault="00684754" w:rsidP="004B74C4">
      <w:pPr>
        <w:keepNext/>
        <w:spacing w:before="120" w:after="120"/>
        <w:ind w:left="275" w:right="632"/>
        <w:jc w:val="both"/>
        <w:rPr>
          <w:b/>
          <w:sz w:val="20"/>
          <w:szCs w:val="20"/>
        </w:rPr>
      </w:pPr>
      <w:r w:rsidRPr="004B74C4">
        <w:rPr>
          <w:b/>
          <w:sz w:val="20"/>
          <w:szCs w:val="20"/>
        </w:rPr>
        <w:t xml:space="preserve">2.2.3. </w:t>
      </w:r>
      <w:r w:rsidRPr="004B74C4">
        <w:rPr>
          <w:bCs/>
          <w:sz w:val="20"/>
          <w:szCs w:val="20"/>
        </w:rPr>
        <w:t>Prefabrykaty produkowane wg indywidualnej dokumentacji technicznej</w:t>
      </w:r>
    </w:p>
    <w:p w14:paraId="23C80D71" w14:textId="3F91C4AF" w:rsidR="00684754" w:rsidRPr="004B74C4" w:rsidRDefault="00684754" w:rsidP="004B74C4">
      <w:pPr>
        <w:ind w:left="275" w:right="632"/>
        <w:jc w:val="both"/>
        <w:rPr>
          <w:sz w:val="20"/>
          <w:szCs w:val="20"/>
        </w:rPr>
      </w:pPr>
      <w:r w:rsidRPr="004B74C4">
        <w:rPr>
          <w:sz w:val="20"/>
          <w:szCs w:val="20"/>
        </w:rPr>
        <w:t>Prefabrykat określonego typu  produkowany  wg indywidualnej dokumentacji technicznej i przeznaczony na określoną budowę może być dopuszczony do jednostkowego stosowania w obiekcie budowlanym w trybie i na zasadach określonych w art. 10. ustaw</w:t>
      </w:r>
      <w:r w:rsidR="004B74C4">
        <w:rPr>
          <w:sz w:val="20"/>
          <w:szCs w:val="20"/>
        </w:rPr>
        <w:t>y z o wyrobach budowlanych</w:t>
      </w:r>
      <w:r w:rsidRPr="004B74C4">
        <w:rPr>
          <w:sz w:val="20"/>
          <w:szCs w:val="20"/>
        </w:rPr>
        <w:t>.</w:t>
      </w:r>
    </w:p>
    <w:p w14:paraId="4CB867BD" w14:textId="77777777" w:rsidR="00684754" w:rsidRPr="004B74C4" w:rsidRDefault="00684754" w:rsidP="004B74C4">
      <w:pPr>
        <w:ind w:left="275" w:right="632"/>
        <w:jc w:val="both"/>
        <w:rPr>
          <w:sz w:val="20"/>
          <w:szCs w:val="20"/>
        </w:rPr>
      </w:pPr>
      <w:r w:rsidRPr="004B74C4">
        <w:rPr>
          <w:sz w:val="20"/>
          <w:szCs w:val="20"/>
        </w:rPr>
        <w:t xml:space="preserve">Dokumentem dopuszczającym w tym trybie wyrób do stosowania jest oświadczenie producenta o zgodności wyrobu z indywidualną dokumentacją techniczną (zawierającą opis rozwiązania konstrukcyjnego, charakterystykę materiałową i informację dotyczącą projektowanych właściwości użytkowych wyrobu budowlanego oraz określające warunki jego zastosowania w danym obiekcie budowlanym, a także, w miarę potrzeb, instrukcję obsługi i eksploatacji) sporządzoną lub uzgodnioną przez  projektanta oraz o zgodności z przepisami. Oświadczenie powinno zawierać nazwę i adres wydającego oświadczenie, nazwę wyrobu i miejsce jego wytwarzania, identyfikację dokumentacji technicznej, stwierdzenie zgodności wyrobu z tą dokumentacją, adres budowy, dla której wyrób jest przeznaczony, miejsce i datę wydania i podpis wydającego oświadczenie. </w:t>
      </w:r>
    </w:p>
    <w:p w14:paraId="5970A6A2" w14:textId="77777777" w:rsidR="00684754" w:rsidRPr="004B74C4" w:rsidRDefault="00684754" w:rsidP="004B74C4">
      <w:pPr>
        <w:ind w:left="275" w:right="632"/>
        <w:jc w:val="both"/>
        <w:rPr>
          <w:sz w:val="20"/>
          <w:szCs w:val="20"/>
        </w:rPr>
      </w:pPr>
      <w:r w:rsidRPr="004B74C4">
        <w:rPr>
          <w:sz w:val="20"/>
          <w:szCs w:val="20"/>
        </w:rPr>
        <w:t xml:space="preserve">Indywidualną dokumentacje techniczną wyrobu oraz oświadczenie producenta należy dołączyć do dokumentacji budowy. </w:t>
      </w:r>
    </w:p>
    <w:p w14:paraId="51B5810C" w14:textId="77777777" w:rsidR="00684754" w:rsidRPr="004B74C4" w:rsidRDefault="00684754" w:rsidP="004B74C4">
      <w:pPr>
        <w:ind w:left="275" w:right="632"/>
        <w:jc w:val="both"/>
        <w:rPr>
          <w:sz w:val="20"/>
          <w:szCs w:val="20"/>
        </w:rPr>
      </w:pPr>
      <w:r w:rsidRPr="004B74C4">
        <w:rPr>
          <w:sz w:val="20"/>
          <w:szCs w:val="20"/>
        </w:rPr>
        <w:t>Wytwórnia w której wykonywane są żelbetowe elementy podwalinowe musi dysponować prawem do wykonywania prefabrykatów danego typu oraz posiadać wymagane odrębnymi przepisami certyfikaty i zezwolenia i nie powinna być zmieniana bez uprzedniego powiadomienia Inżyniera. Źródła dostaw materiałów do wykonania prefabrykatów powinny być uzgodnione przed rozpoczęciem robót i udokumentowane.</w:t>
      </w:r>
    </w:p>
    <w:p w14:paraId="3B248E4A" w14:textId="7BB4A968" w:rsidR="00684754" w:rsidRDefault="00684754" w:rsidP="004B74C4">
      <w:pPr>
        <w:ind w:left="275" w:right="632"/>
        <w:jc w:val="both"/>
        <w:rPr>
          <w:sz w:val="20"/>
          <w:szCs w:val="20"/>
        </w:rPr>
      </w:pPr>
      <w:r w:rsidRPr="004B74C4">
        <w:rPr>
          <w:sz w:val="20"/>
          <w:szCs w:val="20"/>
        </w:rPr>
        <w:t xml:space="preserve">Materiały do wykonania żelbetowych prefabrykatów </w:t>
      </w:r>
      <w:proofErr w:type="spellStart"/>
      <w:r w:rsidRPr="004B74C4">
        <w:rPr>
          <w:sz w:val="20"/>
          <w:szCs w:val="20"/>
        </w:rPr>
        <w:t>podwalinowych</w:t>
      </w:r>
      <w:proofErr w:type="spellEnd"/>
      <w:r w:rsidRPr="004B74C4">
        <w:rPr>
          <w:sz w:val="20"/>
          <w:szCs w:val="20"/>
        </w:rPr>
        <w:t xml:space="preserve">  powinny spełniać wymagania podane w PN-EN 13225</w:t>
      </w:r>
      <w:r w:rsidR="004B74C4">
        <w:rPr>
          <w:sz w:val="20"/>
          <w:szCs w:val="20"/>
        </w:rPr>
        <w:t xml:space="preserve"> </w:t>
      </w:r>
      <w:r w:rsidRPr="004B74C4">
        <w:rPr>
          <w:sz w:val="20"/>
          <w:szCs w:val="20"/>
        </w:rPr>
        <w:t>ze szczególnym  uwzględnieniem warunków podanych poniżej w pkt. 2.3. – 2.5.</w:t>
      </w:r>
    </w:p>
    <w:p w14:paraId="5CD3E541" w14:textId="77777777" w:rsidR="004B74C4" w:rsidRPr="004B74C4" w:rsidRDefault="004B74C4" w:rsidP="004B74C4">
      <w:pPr>
        <w:ind w:left="275" w:right="632"/>
        <w:jc w:val="both"/>
        <w:rPr>
          <w:sz w:val="20"/>
          <w:szCs w:val="20"/>
        </w:rPr>
      </w:pPr>
    </w:p>
    <w:p w14:paraId="04737A10" w14:textId="480ECCCC" w:rsidR="00684754" w:rsidRPr="004B74C4" w:rsidRDefault="00684754" w:rsidP="004B74C4">
      <w:pPr>
        <w:pStyle w:val="Nagwek1"/>
        <w:spacing w:after="240"/>
      </w:pPr>
      <w:r w:rsidRPr="004B74C4">
        <w:t xml:space="preserve">2.3. </w:t>
      </w:r>
      <w:r w:rsidR="004B74C4">
        <w:tab/>
      </w:r>
      <w:r w:rsidRPr="004B74C4">
        <w:t xml:space="preserve">Materiały do wykonania żelbetowych prefabrykatów belek </w:t>
      </w:r>
      <w:proofErr w:type="spellStart"/>
      <w:r w:rsidRPr="004B74C4">
        <w:t>podwalinowych</w:t>
      </w:r>
      <w:proofErr w:type="spellEnd"/>
    </w:p>
    <w:p w14:paraId="5D1E6EBC" w14:textId="77777777" w:rsidR="00684754" w:rsidRPr="004B74C4" w:rsidRDefault="00684754" w:rsidP="004B74C4">
      <w:pPr>
        <w:ind w:left="275" w:right="632"/>
        <w:jc w:val="both"/>
        <w:rPr>
          <w:sz w:val="20"/>
          <w:szCs w:val="20"/>
        </w:rPr>
      </w:pPr>
      <w:r w:rsidRPr="004B74C4">
        <w:rPr>
          <w:sz w:val="20"/>
          <w:szCs w:val="20"/>
        </w:rPr>
        <w:t xml:space="preserve">Do wykonania żelbetowych belek </w:t>
      </w:r>
      <w:proofErr w:type="spellStart"/>
      <w:r w:rsidRPr="004B74C4">
        <w:rPr>
          <w:sz w:val="20"/>
          <w:szCs w:val="20"/>
        </w:rPr>
        <w:t>podwalinowych</w:t>
      </w:r>
      <w:proofErr w:type="spellEnd"/>
      <w:r w:rsidRPr="004B74C4">
        <w:rPr>
          <w:sz w:val="20"/>
          <w:szCs w:val="20"/>
        </w:rPr>
        <w:t xml:space="preserve"> należy stosować następujące materiały:</w:t>
      </w:r>
    </w:p>
    <w:p w14:paraId="738B019A" w14:textId="77777777" w:rsidR="00684754" w:rsidRPr="004B74C4" w:rsidRDefault="00684754" w:rsidP="004B74C4">
      <w:pPr>
        <w:pStyle w:val="Akapitzlist"/>
        <w:widowControl/>
        <w:numPr>
          <w:ilvl w:val="0"/>
          <w:numId w:val="22"/>
        </w:numPr>
        <w:overflowPunct w:val="0"/>
        <w:adjustRightInd w:val="0"/>
        <w:spacing w:before="0"/>
        <w:ind w:left="275" w:right="632" w:firstLine="0"/>
        <w:contextualSpacing/>
        <w:textAlignment w:val="baseline"/>
        <w:rPr>
          <w:sz w:val="20"/>
          <w:szCs w:val="20"/>
        </w:rPr>
      </w:pPr>
      <w:r w:rsidRPr="004B74C4">
        <w:rPr>
          <w:sz w:val="20"/>
          <w:szCs w:val="20"/>
        </w:rPr>
        <w:t>beton,</w:t>
      </w:r>
    </w:p>
    <w:p w14:paraId="36C972F2" w14:textId="77777777" w:rsidR="00684754" w:rsidRPr="004B74C4" w:rsidRDefault="00684754" w:rsidP="004B74C4">
      <w:pPr>
        <w:pStyle w:val="Akapitzlist"/>
        <w:widowControl/>
        <w:numPr>
          <w:ilvl w:val="0"/>
          <w:numId w:val="22"/>
        </w:numPr>
        <w:overflowPunct w:val="0"/>
        <w:adjustRightInd w:val="0"/>
        <w:spacing w:before="0"/>
        <w:ind w:left="275" w:right="632" w:firstLine="0"/>
        <w:contextualSpacing/>
        <w:textAlignment w:val="baseline"/>
        <w:rPr>
          <w:sz w:val="20"/>
          <w:szCs w:val="20"/>
        </w:rPr>
      </w:pPr>
      <w:r w:rsidRPr="004B74C4">
        <w:rPr>
          <w:sz w:val="20"/>
          <w:szCs w:val="20"/>
        </w:rPr>
        <w:t xml:space="preserve">stal zbrojeniową, </w:t>
      </w:r>
    </w:p>
    <w:p w14:paraId="694B8D72" w14:textId="77777777" w:rsidR="00684754" w:rsidRPr="004B74C4" w:rsidRDefault="00684754" w:rsidP="004B74C4">
      <w:pPr>
        <w:pStyle w:val="Akapitzlist"/>
        <w:widowControl/>
        <w:numPr>
          <w:ilvl w:val="0"/>
          <w:numId w:val="22"/>
        </w:numPr>
        <w:overflowPunct w:val="0"/>
        <w:adjustRightInd w:val="0"/>
        <w:spacing w:before="0"/>
        <w:ind w:left="275" w:right="632" w:firstLine="0"/>
        <w:contextualSpacing/>
        <w:textAlignment w:val="baseline"/>
        <w:rPr>
          <w:sz w:val="20"/>
          <w:szCs w:val="20"/>
        </w:rPr>
      </w:pPr>
      <w:r w:rsidRPr="004B74C4">
        <w:rPr>
          <w:sz w:val="20"/>
          <w:szCs w:val="20"/>
        </w:rPr>
        <w:t>stal do wykonania haków transportowych.</w:t>
      </w:r>
    </w:p>
    <w:p w14:paraId="127E3EF6" w14:textId="77777777" w:rsidR="00684754" w:rsidRPr="004B74C4" w:rsidRDefault="00684754" w:rsidP="004B74C4">
      <w:pPr>
        <w:ind w:left="275" w:right="632"/>
        <w:jc w:val="both"/>
        <w:rPr>
          <w:sz w:val="20"/>
          <w:szCs w:val="20"/>
        </w:rPr>
      </w:pPr>
      <w:r w:rsidRPr="004B74C4">
        <w:rPr>
          <w:sz w:val="20"/>
          <w:szCs w:val="20"/>
        </w:rPr>
        <w:t xml:space="preserve">Do zabezpieczenia powierzchni podwalin stykających się z gruntem można stosować system izolacyjny aplikowany na zimno. Do zabezpieczenia powierzchni widocznych w trakcie eksploatacji można stosować system powłokowy do ochrony antykorozyjnej betonu oraz/lub system ochrony przed graffiti. </w:t>
      </w:r>
    </w:p>
    <w:p w14:paraId="0738290C" w14:textId="77777777" w:rsidR="004B74C4" w:rsidRDefault="004B74C4" w:rsidP="004B74C4">
      <w:pPr>
        <w:pStyle w:val="Nagwek1"/>
      </w:pPr>
    </w:p>
    <w:p w14:paraId="1042101A" w14:textId="108B75B2" w:rsidR="00684754" w:rsidRPr="004B74C4" w:rsidRDefault="00684754" w:rsidP="004B74C4">
      <w:pPr>
        <w:pStyle w:val="Nagwek1"/>
      </w:pPr>
      <w:r w:rsidRPr="004B74C4">
        <w:t xml:space="preserve">2.4. </w:t>
      </w:r>
      <w:r w:rsidR="004B74C4">
        <w:tab/>
      </w:r>
      <w:r w:rsidRPr="004B74C4">
        <w:t>Beton</w:t>
      </w:r>
    </w:p>
    <w:p w14:paraId="517079C7" w14:textId="23C8A3E6" w:rsidR="00684754" w:rsidRPr="004B74C4" w:rsidRDefault="00684754" w:rsidP="004B74C4">
      <w:pPr>
        <w:pStyle w:val="Nagwek3"/>
        <w:tabs>
          <w:tab w:val="left" w:pos="1134"/>
        </w:tabs>
        <w:spacing w:after="240"/>
        <w:ind w:left="275" w:right="632"/>
        <w:jc w:val="both"/>
        <w:rPr>
          <w:rFonts w:ascii="Verdana" w:hAnsi="Verdana"/>
          <w:sz w:val="20"/>
          <w:szCs w:val="20"/>
        </w:rPr>
      </w:pPr>
      <w:r w:rsidRPr="004B74C4">
        <w:rPr>
          <w:rFonts w:ascii="Verdana" w:hAnsi="Verdana"/>
          <w:bCs/>
          <w:color w:val="auto"/>
          <w:sz w:val="20"/>
          <w:szCs w:val="20"/>
        </w:rPr>
        <w:t>2.4.1.</w:t>
      </w:r>
      <w:r w:rsidRPr="004B74C4">
        <w:rPr>
          <w:rFonts w:ascii="Verdana" w:hAnsi="Verdana"/>
          <w:color w:val="auto"/>
          <w:sz w:val="20"/>
          <w:szCs w:val="20"/>
        </w:rPr>
        <w:t xml:space="preserve"> </w:t>
      </w:r>
      <w:r w:rsidR="004B74C4">
        <w:rPr>
          <w:rFonts w:ascii="Verdana" w:hAnsi="Verdana"/>
          <w:color w:val="auto"/>
          <w:sz w:val="20"/>
          <w:szCs w:val="20"/>
        </w:rPr>
        <w:tab/>
      </w:r>
      <w:r w:rsidRPr="004B74C4">
        <w:rPr>
          <w:rFonts w:ascii="Verdana" w:hAnsi="Verdana"/>
          <w:color w:val="auto"/>
          <w:sz w:val="20"/>
          <w:szCs w:val="20"/>
        </w:rPr>
        <w:t>Wymagania wytrzymałościowe</w:t>
      </w:r>
    </w:p>
    <w:p w14:paraId="62FCBA4E" w14:textId="0557A0AB" w:rsidR="00684754" w:rsidRPr="004B74C4" w:rsidRDefault="00684754" w:rsidP="004B74C4">
      <w:pPr>
        <w:ind w:left="275" w:right="632"/>
        <w:jc w:val="both"/>
        <w:rPr>
          <w:sz w:val="20"/>
          <w:szCs w:val="20"/>
        </w:rPr>
      </w:pPr>
      <w:r w:rsidRPr="004B74C4">
        <w:rPr>
          <w:sz w:val="20"/>
          <w:szCs w:val="20"/>
        </w:rPr>
        <w:t xml:space="preserve">Beton do wykonania prefabrykatów powinien mieć klasę wytrzymałości  zgodną z dokumentacją projektową, ale minimum C30/37 w klasie ekspozycji zgodnej z PN-EN 206. </w:t>
      </w:r>
    </w:p>
    <w:p w14:paraId="14843B93" w14:textId="0DBB8429" w:rsidR="00684754" w:rsidRPr="004B74C4" w:rsidRDefault="00684754" w:rsidP="004B74C4">
      <w:pPr>
        <w:ind w:left="275" w:right="632"/>
        <w:jc w:val="both"/>
        <w:rPr>
          <w:sz w:val="20"/>
          <w:szCs w:val="20"/>
        </w:rPr>
      </w:pPr>
      <w:r w:rsidRPr="004B74C4">
        <w:rPr>
          <w:sz w:val="20"/>
          <w:szCs w:val="20"/>
        </w:rPr>
        <w:t>Jeśli dokumentacja projektowa, ani S</w:t>
      </w:r>
      <w:r w:rsidR="004B74C4">
        <w:rPr>
          <w:sz w:val="20"/>
          <w:szCs w:val="20"/>
        </w:rPr>
        <w:t>S</w:t>
      </w:r>
      <w:r w:rsidRPr="004B74C4">
        <w:rPr>
          <w:sz w:val="20"/>
          <w:szCs w:val="20"/>
        </w:rPr>
        <w:t>T nie podają inaczej, w przypadku lokalizacji ekranów w normalnych warunkach środowiskowych można stosować beton:</w:t>
      </w:r>
    </w:p>
    <w:p w14:paraId="2FEE25D5" w14:textId="6DC9C9AC" w:rsidR="00684754" w:rsidRPr="004B74C4" w:rsidRDefault="00684754" w:rsidP="004B74C4">
      <w:pPr>
        <w:pStyle w:val="Akapitzlist"/>
        <w:widowControl/>
        <w:numPr>
          <w:ilvl w:val="0"/>
          <w:numId w:val="23"/>
        </w:numPr>
        <w:overflowPunct w:val="0"/>
        <w:adjustRightInd w:val="0"/>
        <w:spacing w:before="0"/>
        <w:ind w:left="275" w:right="632" w:firstLine="0"/>
        <w:contextualSpacing/>
        <w:textAlignment w:val="baseline"/>
        <w:rPr>
          <w:sz w:val="20"/>
          <w:szCs w:val="20"/>
        </w:rPr>
      </w:pPr>
      <w:r w:rsidRPr="004B74C4">
        <w:rPr>
          <w:sz w:val="20"/>
          <w:szCs w:val="20"/>
        </w:rPr>
        <w:t>o klasie ekspozycji wg PN-EN 206: XC2+XF2+XD2,</w:t>
      </w:r>
    </w:p>
    <w:p w14:paraId="5E2E3564" w14:textId="714AAED6" w:rsidR="00684754" w:rsidRPr="004B74C4" w:rsidRDefault="00684754" w:rsidP="004B74C4">
      <w:pPr>
        <w:pStyle w:val="Akapitzlist"/>
        <w:widowControl/>
        <w:numPr>
          <w:ilvl w:val="0"/>
          <w:numId w:val="23"/>
        </w:numPr>
        <w:overflowPunct w:val="0"/>
        <w:adjustRightInd w:val="0"/>
        <w:spacing w:before="0"/>
        <w:ind w:left="275" w:right="632" w:firstLine="0"/>
        <w:contextualSpacing/>
        <w:textAlignment w:val="baseline"/>
        <w:rPr>
          <w:sz w:val="20"/>
          <w:szCs w:val="20"/>
        </w:rPr>
      </w:pPr>
      <w:r w:rsidRPr="004B74C4">
        <w:rPr>
          <w:sz w:val="20"/>
          <w:szCs w:val="20"/>
        </w:rPr>
        <w:t>stopniu mrozoodporności wg PN-B-06250: ≥ F150,</w:t>
      </w:r>
    </w:p>
    <w:p w14:paraId="2DC33571" w14:textId="5922428C" w:rsidR="00684754" w:rsidRPr="004B74C4" w:rsidRDefault="00684754" w:rsidP="004B74C4">
      <w:pPr>
        <w:pStyle w:val="Akapitzlist"/>
        <w:widowControl/>
        <w:numPr>
          <w:ilvl w:val="0"/>
          <w:numId w:val="23"/>
        </w:numPr>
        <w:overflowPunct w:val="0"/>
        <w:adjustRightInd w:val="0"/>
        <w:spacing w:before="0"/>
        <w:ind w:left="275" w:right="632" w:firstLine="0"/>
        <w:contextualSpacing/>
        <w:textAlignment w:val="baseline"/>
        <w:rPr>
          <w:sz w:val="20"/>
          <w:szCs w:val="20"/>
        </w:rPr>
      </w:pPr>
      <w:r w:rsidRPr="004B74C4">
        <w:rPr>
          <w:sz w:val="20"/>
          <w:szCs w:val="20"/>
        </w:rPr>
        <w:t>stopniu wodoprzepuszczalności wg PN-B-06250: ≥W8,</w:t>
      </w:r>
    </w:p>
    <w:p w14:paraId="34E5EA0C" w14:textId="125FE9FA" w:rsidR="00684754" w:rsidRPr="004B74C4" w:rsidRDefault="00684754" w:rsidP="004B74C4">
      <w:pPr>
        <w:pStyle w:val="Akapitzlist"/>
        <w:widowControl/>
        <w:numPr>
          <w:ilvl w:val="0"/>
          <w:numId w:val="23"/>
        </w:numPr>
        <w:overflowPunct w:val="0"/>
        <w:adjustRightInd w:val="0"/>
        <w:spacing w:before="0"/>
        <w:ind w:left="275" w:right="632" w:firstLine="0"/>
        <w:contextualSpacing/>
        <w:textAlignment w:val="baseline"/>
        <w:rPr>
          <w:sz w:val="20"/>
          <w:szCs w:val="20"/>
        </w:rPr>
      </w:pPr>
      <w:r w:rsidRPr="004B74C4">
        <w:rPr>
          <w:sz w:val="20"/>
          <w:szCs w:val="20"/>
        </w:rPr>
        <w:t>nasiąkliwości wg PN-B-06250: ≤5%.</w:t>
      </w:r>
    </w:p>
    <w:p w14:paraId="73509876" w14:textId="77777777" w:rsidR="00684754" w:rsidRPr="004B74C4" w:rsidRDefault="00684754" w:rsidP="004B74C4">
      <w:pPr>
        <w:ind w:left="275" w:right="632"/>
        <w:jc w:val="both"/>
        <w:rPr>
          <w:sz w:val="20"/>
          <w:szCs w:val="20"/>
        </w:rPr>
      </w:pPr>
      <w:r w:rsidRPr="004B74C4">
        <w:rPr>
          <w:sz w:val="20"/>
          <w:szCs w:val="20"/>
        </w:rPr>
        <w:t xml:space="preserve">W przypadku  bezpośredniego narażenia prefabrykatu na działanie aerozoli zawierających środki odladzające i podlegającego zamarzaniu zaleca się zastosowanie betonu w klasie ekspozycji XF4, o mrozoodporności F200.  </w:t>
      </w:r>
    </w:p>
    <w:p w14:paraId="049FCBA1" w14:textId="77777777" w:rsidR="004B74C4" w:rsidRDefault="004B74C4" w:rsidP="004B74C4">
      <w:pPr>
        <w:pStyle w:val="Nagwek3"/>
        <w:ind w:left="275" w:right="632"/>
        <w:jc w:val="both"/>
        <w:rPr>
          <w:rFonts w:ascii="Verdana" w:hAnsi="Verdana"/>
          <w:b/>
          <w:sz w:val="20"/>
          <w:szCs w:val="20"/>
        </w:rPr>
      </w:pPr>
    </w:p>
    <w:p w14:paraId="75F5D95B" w14:textId="01538E9F" w:rsidR="00684754" w:rsidRPr="004B74C4" w:rsidRDefault="00684754" w:rsidP="004B74C4">
      <w:pPr>
        <w:pStyle w:val="Nagwek3"/>
        <w:tabs>
          <w:tab w:val="left" w:pos="1134"/>
        </w:tabs>
        <w:spacing w:after="240"/>
        <w:ind w:left="275" w:right="632"/>
        <w:jc w:val="both"/>
        <w:rPr>
          <w:rFonts w:ascii="Verdana" w:hAnsi="Verdana"/>
          <w:color w:val="auto"/>
          <w:sz w:val="20"/>
          <w:szCs w:val="20"/>
        </w:rPr>
      </w:pPr>
      <w:r w:rsidRPr="004B74C4">
        <w:rPr>
          <w:rFonts w:ascii="Verdana" w:hAnsi="Verdana"/>
          <w:color w:val="auto"/>
          <w:sz w:val="20"/>
          <w:szCs w:val="20"/>
        </w:rPr>
        <w:t xml:space="preserve">2.4.2. </w:t>
      </w:r>
      <w:r w:rsidR="004B74C4">
        <w:rPr>
          <w:rFonts w:ascii="Verdana" w:hAnsi="Verdana"/>
          <w:color w:val="auto"/>
          <w:sz w:val="20"/>
          <w:szCs w:val="20"/>
        </w:rPr>
        <w:tab/>
      </w:r>
      <w:r w:rsidRPr="004B74C4">
        <w:rPr>
          <w:rFonts w:ascii="Verdana" w:hAnsi="Verdana"/>
          <w:color w:val="auto"/>
          <w:sz w:val="20"/>
          <w:szCs w:val="20"/>
        </w:rPr>
        <w:t>Cement</w:t>
      </w:r>
    </w:p>
    <w:p w14:paraId="73A066E0" w14:textId="15CD9A2B" w:rsidR="00684754" w:rsidRPr="004B74C4" w:rsidRDefault="00684754" w:rsidP="004B74C4">
      <w:pPr>
        <w:ind w:left="275" w:right="632"/>
        <w:jc w:val="both"/>
        <w:rPr>
          <w:sz w:val="20"/>
          <w:szCs w:val="20"/>
        </w:rPr>
      </w:pPr>
      <w:r w:rsidRPr="004B74C4">
        <w:rPr>
          <w:sz w:val="20"/>
          <w:szCs w:val="20"/>
        </w:rPr>
        <w:t>Do wykonania betonu w prefabrykatach powinien być stosowany cement spełniaj</w:t>
      </w:r>
      <w:r w:rsidR="004B74C4">
        <w:rPr>
          <w:sz w:val="20"/>
          <w:szCs w:val="20"/>
        </w:rPr>
        <w:t xml:space="preserve">ący wymagania normy PN-EN 197-1 </w:t>
      </w:r>
      <w:r w:rsidRPr="004B74C4">
        <w:rPr>
          <w:sz w:val="20"/>
          <w:szCs w:val="20"/>
        </w:rPr>
        <w:t>lub PN-B-19707. Przy doborze cementu należy uwzględnić poniższe warunki:</w:t>
      </w:r>
    </w:p>
    <w:p w14:paraId="6B979216" w14:textId="77777777" w:rsidR="00684754" w:rsidRPr="004B74C4" w:rsidRDefault="00684754" w:rsidP="004B74C4">
      <w:pPr>
        <w:pStyle w:val="Default"/>
        <w:numPr>
          <w:ilvl w:val="0"/>
          <w:numId w:val="24"/>
        </w:numPr>
        <w:ind w:left="275" w:right="632" w:firstLine="0"/>
        <w:jc w:val="both"/>
        <w:rPr>
          <w:rFonts w:ascii="Verdana" w:hAnsi="Verdana" w:cs="Times New Roman"/>
          <w:sz w:val="20"/>
          <w:szCs w:val="20"/>
        </w:rPr>
      </w:pPr>
      <w:r w:rsidRPr="004B74C4">
        <w:rPr>
          <w:rFonts w:ascii="Verdana" w:hAnsi="Verdana" w:cs="Times New Roman"/>
          <w:sz w:val="20"/>
          <w:szCs w:val="20"/>
        </w:rPr>
        <w:t xml:space="preserve">rodzaj, wymiary i technologię wykonania prefabrykatu, </w:t>
      </w:r>
    </w:p>
    <w:p w14:paraId="30CC59CB" w14:textId="77777777" w:rsidR="00684754" w:rsidRPr="004B74C4" w:rsidRDefault="00684754" w:rsidP="004B74C4">
      <w:pPr>
        <w:pStyle w:val="Default"/>
        <w:numPr>
          <w:ilvl w:val="0"/>
          <w:numId w:val="24"/>
        </w:numPr>
        <w:ind w:left="275" w:right="632" w:firstLine="0"/>
        <w:jc w:val="both"/>
        <w:rPr>
          <w:rFonts w:ascii="Verdana" w:hAnsi="Verdana" w:cs="Times New Roman"/>
          <w:sz w:val="20"/>
          <w:szCs w:val="20"/>
        </w:rPr>
      </w:pPr>
      <w:r w:rsidRPr="004B74C4">
        <w:rPr>
          <w:rFonts w:ascii="Verdana" w:hAnsi="Verdana" w:cs="Times New Roman"/>
          <w:sz w:val="20"/>
          <w:szCs w:val="20"/>
        </w:rPr>
        <w:t xml:space="preserve">warunki wykonania, pielęgnacji i dojrzewania betonu, </w:t>
      </w:r>
    </w:p>
    <w:p w14:paraId="2A9D87B4" w14:textId="77777777" w:rsidR="00684754" w:rsidRPr="004B74C4" w:rsidRDefault="00684754" w:rsidP="004B74C4">
      <w:pPr>
        <w:pStyle w:val="Default"/>
        <w:numPr>
          <w:ilvl w:val="0"/>
          <w:numId w:val="24"/>
        </w:numPr>
        <w:ind w:left="275" w:right="632" w:firstLine="0"/>
        <w:jc w:val="both"/>
        <w:rPr>
          <w:rFonts w:ascii="Verdana" w:hAnsi="Verdana" w:cs="Times New Roman"/>
          <w:sz w:val="20"/>
          <w:szCs w:val="20"/>
        </w:rPr>
      </w:pPr>
      <w:r w:rsidRPr="004B74C4">
        <w:rPr>
          <w:rFonts w:ascii="Verdana" w:hAnsi="Verdana" w:cs="Times New Roman"/>
          <w:sz w:val="20"/>
          <w:szCs w:val="20"/>
        </w:rPr>
        <w:t xml:space="preserve">agresywność środowiska, na które będzie narażona konstrukcja ekranu, </w:t>
      </w:r>
    </w:p>
    <w:p w14:paraId="786BDEC0" w14:textId="77777777" w:rsidR="00684754" w:rsidRPr="004B74C4" w:rsidRDefault="00684754" w:rsidP="004B74C4">
      <w:pPr>
        <w:ind w:left="275" w:right="632"/>
        <w:jc w:val="both"/>
        <w:rPr>
          <w:sz w:val="20"/>
          <w:szCs w:val="20"/>
        </w:rPr>
      </w:pPr>
      <w:r w:rsidRPr="004B74C4">
        <w:rPr>
          <w:sz w:val="20"/>
          <w:szCs w:val="20"/>
        </w:rPr>
        <w:t>W szczególnych przypadkach powinny być przestrzegane dodatkowe warunki:</w:t>
      </w:r>
    </w:p>
    <w:p w14:paraId="5D4D6E33" w14:textId="77777777" w:rsidR="00684754" w:rsidRPr="004B74C4" w:rsidRDefault="00684754" w:rsidP="004B74C4">
      <w:pPr>
        <w:pStyle w:val="Akapitzlist"/>
        <w:widowControl/>
        <w:numPr>
          <w:ilvl w:val="0"/>
          <w:numId w:val="25"/>
        </w:numPr>
        <w:overflowPunct w:val="0"/>
        <w:adjustRightInd w:val="0"/>
        <w:spacing w:before="0"/>
        <w:ind w:left="275" w:right="632" w:firstLine="0"/>
        <w:contextualSpacing/>
        <w:textAlignment w:val="baseline"/>
        <w:rPr>
          <w:sz w:val="20"/>
          <w:szCs w:val="20"/>
        </w:rPr>
      </w:pPr>
      <w:r w:rsidRPr="004B74C4">
        <w:rPr>
          <w:sz w:val="20"/>
          <w:szCs w:val="20"/>
        </w:rPr>
        <w:t>do betonu klasy wytrzymałości na ściskanie wyższej niż C30/37 powinien być stosowany cement klasy nie niższej niż 42,5,</w:t>
      </w:r>
    </w:p>
    <w:p w14:paraId="7E897D81" w14:textId="0BA02B42" w:rsidR="00684754" w:rsidRPr="004B74C4" w:rsidRDefault="00684754" w:rsidP="004B74C4">
      <w:pPr>
        <w:pStyle w:val="Akapitzlist"/>
        <w:widowControl/>
        <w:numPr>
          <w:ilvl w:val="0"/>
          <w:numId w:val="25"/>
        </w:numPr>
        <w:overflowPunct w:val="0"/>
        <w:adjustRightInd w:val="0"/>
        <w:spacing w:before="0"/>
        <w:ind w:left="275" w:right="632" w:firstLine="0"/>
        <w:contextualSpacing/>
        <w:textAlignment w:val="baseline"/>
        <w:rPr>
          <w:sz w:val="20"/>
          <w:szCs w:val="20"/>
        </w:rPr>
      </w:pPr>
      <w:r w:rsidRPr="004B74C4">
        <w:rPr>
          <w:sz w:val="20"/>
          <w:szCs w:val="20"/>
        </w:rPr>
        <w:t>w przypadkach niejednoznacznych wyników badań reaktywności kruszywa (wartości wyników w górnej granicy kategorii R0 lub w kategorii R1) należy stosować cementy specjalne niskoalkaliczne NA spełniające wymagania normy PN-B 19707.</w:t>
      </w:r>
    </w:p>
    <w:p w14:paraId="45F4875E" w14:textId="77777777" w:rsidR="004B74C4" w:rsidRDefault="004B74C4" w:rsidP="004B74C4">
      <w:pPr>
        <w:pStyle w:val="Nagwek3"/>
        <w:tabs>
          <w:tab w:val="left" w:pos="1134"/>
        </w:tabs>
        <w:spacing w:after="240"/>
        <w:ind w:left="275" w:right="632"/>
        <w:jc w:val="both"/>
        <w:rPr>
          <w:rFonts w:ascii="Verdana" w:hAnsi="Verdana"/>
          <w:color w:val="auto"/>
          <w:sz w:val="20"/>
          <w:szCs w:val="20"/>
        </w:rPr>
      </w:pPr>
    </w:p>
    <w:p w14:paraId="7BA0BC0A" w14:textId="1AA828F8" w:rsidR="00684754" w:rsidRPr="004B74C4" w:rsidRDefault="00684754" w:rsidP="004B74C4">
      <w:pPr>
        <w:pStyle w:val="Nagwek3"/>
        <w:tabs>
          <w:tab w:val="left" w:pos="1134"/>
        </w:tabs>
        <w:spacing w:after="240"/>
        <w:ind w:left="275" w:right="632"/>
        <w:jc w:val="both"/>
        <w:rPr>
          <w:rFonts w:ascii="Verdana" w:hAnsi="Verdana"/>
          <w:color w:val="auto"/>
          <w:sz w:val="20"/>
          <w:szCs w:val="20"/>
        </w:rPr>
      </w:pPr>
      <w:r w:rsidRPr="004B74C4">
        <w:rPr>
          <w:rFonts w:ascii="Verdana" w:hAnsi="Verdana"/>
          <w:color w:val="auto"/>
          <w:sz w:val="20"/>
          <w:szCs w:val="20"/>
        </w:rPr>
        <w:t xml:space="preserve">2.4.3. </w:t>
      </w:r>
      <w:r w:rsidR="004B74C4">
        <w:rPr>
          <w:rFonts w:ascii="Verdana" w:hAnsi="Verdana"/>
          <w:color w:val="auto"/>
          <w:sz w:val="20"/>
          <w:szCs w:val="20"/>
        </w:rPr>
        <w:tab/>
      </w:r>
      <w:r w:rsidRPr="004B74C4">
        <w:rPr>
          <w:rFonts w:ascii="Verdana" w:hAnsi="Verdana"/>
          <w:color w:val="auto"/>
          <w:sz w:val="20"/>
          <w:szCs w:val="20"/>
        </w:rPr>
        <w:t xml:space="preserve">Kruszywo </w:t>
      </w:r>
    </w:p>
    <w:p w14:paraId="605AC756" w14:textId="50FA00FB" w:rsidR="00684754" w:rsidRPr="004B74C4" w:rsidRDefault="00684754" w:rsidP="004B74C4">
      <w:pPr>
        <w:ind w:left="275" w:right="632"/>
        <w:jc w:val="both"/>
        <w:rPr>
          <w:sz w:val="20"/>
          <w:szCs w:val="20"/>
        </w:rPr>
      </w:pPr>
      <w:r w:rsidRPr="004B74C4">
        <w:rPr>
          <w:sz w:val="20"/>
          <w:szCs w:val="20"/>
        </w:rPr>
        <w:t>Do wykonania betonów należy stosować kruszywa naturalne pochodzenia mineralnego, które poza obróbką mechaniczną nie zostały poddane żadnej innej obróbce, których właściwości spełniają wymagania określone w normie PN-EN 12620. Nie dopuszcza się stosowania kruszywa z recyklingu i z odzysku.</w:t>
      </w:r>
    </w:p>
    <w:p w14:paraId="159E2A40" w14:textId="77777777" w:rsidR="00684754" w:rsidRPr="004B74C4" w:rsidRDefault="00684754" w:rsidP="004B74C4">
      <w:pPr>
        <w:pStyle w:val="Legenda"/>
        <w:spacing w:before="0"/>
        <w:ind w:left="275" w:right="632"/>
        <w:rPr>
          <w:rFonts w:ascii="Verdana" w:hAnsi="Verdana"/>
          <w:sz w:val="20"/>
        </w:rPr>
      </w:pPr>
      <w:r w:rsidRPr="004B74C4">
        <w:rPr>
          <w:rFonts w:ascii="Verdana" w:hAnsi="Verdana"/>
          <w:sz w:val="20"/>
        </w:rPr>
        <w:t>Jeśli dokumentacja projektowa, ani ST nie przewidują inaczej do betonu klasy C30/37 i wyższej można stosować kruszywa naturalne o maksymalnym wymiarze ziarna nie większym niż 16 mm, spełniające następujące wymagania podane w tabelach 1 i 2.</w:t>
      </w:r>
    </w:p>
    <w:p w14:paraId="6FC7A453" w14:textId="77777777" w:rsidR="00684754" w:rsidRPr="004B74C4" w:rsidRDefault="00684754" w:rsidP="004B74C4">
      <w:pPr>
        <w:pStyle w:val="Legenda"/>
        <w:ind w:left="275" w:right="632"/>
        <w:rPr>
          <w:rFonts w:ascii="Verdana" w:hAnsi="Verdana"/>
          <w:sz w:val="20"/>
        </w:rPr>
      </w:pPr>
      <w:bookmarkStart w:id="20" w:name="_Toc35163194"/>
      <w:bookmarkStart w:id="21" w:name="_Toc35163360"/>
      <w:bookmarkStart w:id="22" w:name="_Toc35163998"/>
    </w:p>
    <w:p w14:paraId="58F80481" w14:textId="77777777" w:rsidR="00684754" w:rsidRPr="004B74C4" w:rsidRDefault="00684754" w:rsidP="004B74C4">
      <w:pPr>
        <w:pStyle w:val="Legenda"/>
        <w:ind w:left="275" w:right="632"/>
        <w:rPr>
          <w:rFonts w:ascii="Verdana" w:hAnsi="Verdana"/>
          <w:sz w:val="20"/>
        </w:rPr>
      </w:pPr>
      <w:r w:rsidRPr="004B74C4">
        <w:rPr>
          <w:rFonts w:ascii="Verdana" w:hAnsi="Verdana"/>
          <w:sz w:val="20"/>
        </w:rPr>
        <w:t>Tabela 1. Wymagania dla kruszywa grubego</w:t>
      </w:r>
      <w:bookmarkEnd w:id="20"/>
      <w:bookmarkEnd w:id="21"/>
      <w:bookmarkEnd w:id="22"/>
    </w:p>
    <w:p w14:paraId="6998E604" w14:textId="77777777" w:rsidR="00684754" w:rsidRPr="004B74C4" w:rsidRDefault="00684754" w:rsidP="004B74C4">
      <w:pPr>
        <w:pStyle w:val="Legenda"/>
        <w:ind w:left="275" w:right="632"/>
        <w:rPr>
          <w:rFonts w:ascii="Verdana" w:hAnsi="Verdana"/>
          <w:sz w:val="20"/>
        </w:rPr>
      </w:pPr>
    </w:p>
    <w:tbl>
      <w:tblPr>
        <w:tblW w:w="0" w:type="auto"/>
        <w:tblInd w:w="27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0"/>
        <w:gridCol w:w="6073"/>
        <w:gridCol w:w="2409"/>
      </w:tblGrid>
      <w:tr w:rsidR="00684754" w:rsidRPr="009E4322" w14:paraId="26F1E4B4" w14:textId="77777777" w:rsidTr="004B74C4">
        <w:trPr>
          <w:tblHeader/>
        </w:trPr>
        <w:tc>
          <w:tcPr>
            <w:tcW w:w="59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9BD22C9" w14:textId="77777777" w:rsidR="00684754" w:rsidRPr="004B74C4" w:rsidRDefault="00684754" w:rsidP="004B74C4">
            <w:pPr>
              <w:pStyle w:val="Style17"/>
              <w:widowControl/>
              <w:spacing w:before="120" w:after="120" w:line="240" w:lineRule="auto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Lp.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7EC521C" w14:textId="77777777" w:rsidR="00684754" w:rsidRPr="004B74C4" w:rsidRDefault="00684754" w:rsidP="004B74C4">
            <w:pPr>
              <w:pStyle w:val="Style17"/>
              <w:widowControl/>
              <w:spacing w:before="120" w:after="120" w:line="240" w:lineRule="auto"/>
              <w:ind w:left="917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Właściwości kruszywa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016D4E4" w14:textId="77777777" w:rsidR="00684754" w:rsidRPr="004B74C4" w:rsidRDefault="00684754" w:rsidP="004B74C4">
            <w:pPr>
              <w:pStyle w:val="Style17"/>
              <w:widowControl/>
              <w:spacing w:before="120" w:after="120" w:line="240" w:lineRule="auto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Wymagania</w:t>
            </w:r>
          </w:p>
        </w:tc>
      </w:tr>
      <w:tr w:rsidR="00684754" w:rsidRPr="009E4322" w14:paraId="52B65E2F" w14:textId="77777777" w:rsidTr="004B74C4"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8DF97DF" w14:textId="77777777" w:rsidR="00684754" w:rsidRPr="004B74C4" w:rsidRDefault="00684754" w:rsidP="004B74C4">
            <w:pPr>
              <w:pStyle w:val="Style17"/>
              <w:widowControl/>
              <w:spacing w:line="240" w:lineRule="auto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20E9F" w14:textId="1AB18FF6" w:rsidR="00684754" w:rsidRPr="004B74C4" w:rsidRDefault="00684754" w:rsidP="004B74C4">
            <w:pPr>
              <w:pStyle w:val="Style17"/>
              <w:widowControl/>
              <w:spacing w:line="240" w:lineRule="auto"/>
              <w:ind w:left="5" w:hanging="5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Uziarnienie według PN-EN 933-1 w zależności od wymiaru kruszywa, kategoria nie niższa niż: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79D9D" w14:textId="77777777" w:rsidR="00684754" w:rsidRPr="004B74C4" w:rsidRDefault="00684754" w:rsidP="004B74C4">
            <w:pPr>
              <w:pStyle w:val="Style18"/>
              <w:widowControl/>
              <w:rPr>
                <w:rFonts w:ascii="Verdana" w:hAnsi="Verdana"/>
                <w:sz w:val="20"/>
                <w:szCs w:val="20"/>
              </w:rPr>
            </w:pPr>
          </w:p>
        </w:tc>
      </w:tr>
      <w:tr w:rsidR="00684754" w:rsidRPr="009E4322" w14:paraId="2DD6A103" w14:textId="77777777" w:rsidTr="004B74C4">
        <w:tc>
          <w:tcPr>
            <w:tcW w:w="59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481C39" w14:textId="77777777" w:rsidR="00684754" w:rsidRPr="004B74C4" w:rsidRDefault="00684754" w:rsidP="004B74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F86CF" w14:textId="77777777" w:rsidR="00684754" w:rsidRPr="004B74C4" w:rsidRDefault="00684754" w:rsidP="004B74C4">
            <w:pPr>
              <w:pStyle w:val="Style17"/>
              <w:widowControl/>
              <w:spacing w:line="240" w:lineRule="auto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32"/>
                <w:rFonts w:ascii="Verdana" w:hAnsi="Verdana"/>
                <w:sz w:val="20"/>
                <w:szCs w:val="20"/>
              </w:rPr>
              <w:t xml:space="preserve">D/d ≤ </w:t>
            </w: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 xml:space="preserve">2 lub </w:t>
            </w:r>
            <w:r w:rsidRPr="004B74C4">
              <w:rPr>
                <w:rStyle w:val="FontStyle32"/>
                <w:rFonts w:ascii="Verdana" w:hAnsi="Verdana"/>
                <w:spacing w:val="30"/>
                <w:sz w:val="20"/>
                <w:szCs w:val="20"/>
              </w:rPr>
              <w:t>D≤</w:t>
            </w:r>
            <w:r w:rsidRPr="004B74C4">
              <w:rPr>
                <w:rStyle w:val="FontStyle32"/>
                <w:rFonts w:ascii="Verdana" w:hAnsi="Verdana"/>
                <w:sz w:val="20"/>
                <w:szCs w:val="20"/>
              </w:rPr>
              <w:t xml:space="preserve"> </w:t>
            </w: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11,2 mm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36D58" w14:textId="77777777" w:rsidR="00684754" w:rsidRPr="004B74C4" w:rsidRDefault="00684754" w:rsidP="004B74C4">
            <w:pPr>
              <w:pStyle w:val="Style17"/>
              <w:widowControl/>
              <w:spacing w:line="240" w:lineRule="auto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proofErr w:type="spellStart"/>
            <w:r w:rsidRPr="004B74C4">
              <w:rPr>
                <w:rStyle w:val="FontStyle32"/>
                <w:rFonts w:ascii="Verdana" w:hAnsi="Verdana"/>
                <w:sz w:val="20"/>
                <w:szCs w:val="20"/>
              </w:rPr>
              <w:t>G</w:t>
            </w:r>
            <w:r w:rsidRPr="004B74C4">
              <w:rPr>
                <w:rStyle w:val="FontStyle32"/>
                <w:rFonts w:ascii="Verdana" w:hAnsi="Verdana"/>
                <w:sz w:val="20"/>
                <w:szCs w:val="20"/>
                <w:vertAlign w:val="subscript"/>
              </w:rPr>
              <w:t>c</w:t>
            </w:r>
            <w:proofErr w:type="spellEnd"/>
            <w:r w:rsidRPr="004B74C4">
              <w:rPr>
                <w:rStyle w:val="FontStyle32"/>
                <w:rFonts w:ascii="Verdana" w:hAnsi="Verdana"/>
                <w:sz w:val="20"/>
                <w:szCs w:val="20"/>
              </w:rPr>
              <w:t xml:space="preserve"> </w:t>
            </w: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85/20</w:t>
            </w:r>
          </w:p>
        </w:tc>
      </w:tr>
      <w:tr w:rsidR="00684754" w:rsidRPr="009E4322" w14:paraId="725C51D6" w14:textId="77777777" w:rsidTr="004B74C4"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BB3FA" w14:textId="77777777" w:rsidR="00684754" w:rsidRPr="004B74C4" w:rsidRDefault="00684754" w:rsidP="004B74C4">
            <w:pPr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</w:p>
        </w:tc>
        <w:tc>
          <w:tcPr>
            <w:tcW w:w="60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644706" w14:textId="77777777" w:rsidR="00684754" w:rsidRPr="004B74C4" w:rsidRDefault="00684754" w:rsidP="004B74C4">
            <w:pPr>
              <w:pStyle w:val="Style20"/>
              <w:widowControl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32"/>
                <w:rFonts w:ascii="Verdana" w:hAnsi="Verdana"/>
                <w:spacing w:val="30"/>
                <w:sz w:val="20"/>
                <w:szCs w:val="20"/>
              </w:rPr>
              <w:t>D/d&gt;2iD&gt;</w:t>
            </w:r>
            <w:r w:rsidRPr="004B74C4">
              <w:rPr>
                <w:rStyle w:val="FontStyle32"/>
                <w:rFonts w:ascii="Verdana" w:hAnsi="Verdana"/>
                <w:sz w:val="20"/>
                <w:szCs w:val="20"/>
              </w:rPr>
              <w:t xml:space="preserve"> </w:t>
            </w: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11,2 mm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59CC8" w14:textId="28ECA0FE" w:rsidR="00684754" w:rsidRPr="004B74C4" w:rsidRDefault="004B74C4" w:rsidP="004B74C4">
            <w:pPr>
              <w:pStyle w:val="Style17"/>
              <w:widowControl/>
              <w:tabs>
                <w:tab w:val="right" w:leader="dot" w:pos="7371"/>
              </w:tabs>
              <w:spacing w:line="240" w:lineRule="auto"/>
              <w:ind w:left="600"/>
              <w:rPr>
                <w:rStyle w:val="FontStyle40"/>
                <w:rFonts w:ascii="Verdana" w:hAnsi="Verdana"/>
                <w:sz w:val="20"/>
                <w:szCs w:val="20"/>
              </w:rPr>
            </w:pPr>
            <w:r>
              <w:rPr>
                <w:rStyle w:val="FontStyle32"/>
                <w:rFonts w:ascii="Verdana" w:hAnsi="Verdana"/>
                <w:sz w:val="20"/>
                <w:szCs w:val="20"/>
              </w:rPr>
              <w:t xml:space="preserve">  </w:t>
            </w:r>
            <w:proofErr w:type="spellStart"/>
            <w:r w:rsidR="00684754" w:rsidRPr="004B74C4">
              <w:rPr>
                <w:rStyle w:val="FontStyle32"/>
                <w:rFonts w:ascii="Verdana" w:hAnsi="Verdana"/>
                <w:sz w:val="20"/>
                <w:szCs w:val="20"/>
              </w:rPr>
              <w:t>G</w:t>
            </w:r>
            <w:r w:rsidR="00684754" w:rsidRPr="004B74C4">
              <w:rPr>
                <w:rStyle w:val="FontStyle32"/>
                <w:rFonts w:ascii="Verdana" w:hAnsi="Verdana"/>
                <w:sz w:val="20"/>
                <w:szCs w:val="20"/>
                <w:vertAlign w:val="subscript"/>
              </w:rPr>
              <w:t>c</w:t>
            </w:r>
            <w:proofErr w:type="spellEnd"/>
            <w:r w:rsidR="00684754" w:rsidRPr="004B74C4">
              <w:rPr>
                <w:rStyle w:val="FontStyle32"/>
                <w:rFonts w:ascii="Verdana" w:hAnsi="Verdana"/>
                <w:sz w:val="20"/>
                <w:szCs w:val="20"/>
              </w:rPr>
              <w:t xml:space="preserve"> </w:t>
            </w:r>
            <w:r w:rsidR="00684754" w:rsidRPr="004B74C4">
              <w:rPr>
                <w:rStyle w:val="FontStyle40"/>
                <w:rFonts w:ascii="Verdana" w:hAnsi="Verdana"/>
                <w:sz w:val="20"/>
                <w:szCs w:val="20"/>
              </w:rPr>
              <w:t>90/15</w:t>
            </w:r>
          </w:p>
        </w:tc>
      </w:tr>
      <w:tr w:rsidR="00684754" w:rsidRPr="009E4322" w14:paraId="5CD0351F" w14:textId="77777777" w:rsidTr="004B74C4"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ABC6CE3" w14:textId="77777777" w:rsidR="00684754" w:rsidRPr="004B74C4" w:rsidRDefault="00684754" w:rsidP="004B74C4">
            <w:pPr>
              <w:pStyle w:val="Style17"/>
              <w:widowControl/>
              <w:spacing w:line="240" w:lineRule="auto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A28B2" w14:textId="77777777" w:rsidR="00684754" w:rsidRPr="004B74C4" w:rsidRDefault="00684754" w:rsidP="004B74C4">
            <w:pPr>
              <w:pStyle w:val="Style17"/>
              <w:widowControl/>
              <w:spacing w:line="240" w:lineRule="auto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Tolerancja uziarnienia w zależności od wymiaru kruszywa, kategorie: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7DB2D" w14:textId="77777777" w:rsidR="00684754" w:rsidRPr="004B74C4" w:rsidRDefault="00684754" w:rsidP="004B74C4">
            <w:pPr>
              <w:pStyle w:val="Style18"/>
              <w:widowControl/>
              <w:rPr>
                <w:rFonts w:ascii="Verdana" w:hAnsi="Verdana"/>
                <w:sz w:val="20"/>
                <w:szCs w:val="20"/>
              </w:rPr>
            </w:pPr>
          </w:p>
        </w:tc>
      </w:tr>
      <w:tr w:rsidR="00684754" w:rsidRPr="009E4322" w14:paraId="74E51784" w14:textId="77777777" w:rsidTr="004B74C4">
        <w:tc>
          <w:tcPr>
            <w:tcW w:w="5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2D60E" w14:textId="77777777" w:rsidR="00684754" w:rsidRPr="004B74C4" w:rsidRDefault="00684754" w:rsidP="004B74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AB13A" w14:textId="77777777" w:rsidR="00684754" w:rsidRPr="004B74C4" w:rsidRDefault="00684754" w:rsidP="004B74C4">
            <w:pPr>
              <w:pStyle w:val="Style20"/>
              <w:widowControl/>
              <w:jc w:val="center"/>
              <w:rPr>
                <w:rStyle w:val="FontStyle32"/>
                <w:rFonts w:ascii="Verdana" w:hAnsi="Verdana"/>
                <w:spacing w:val="30"/>
                <w:sz w:val="20"/>
                <w:szCs w:val="20"/>
              </w:rPr>
            </w:pPr>
            <w:r w:rsidRPr="004B74C4">
              <w:rPr>
                <w:rStyle w:val="FontStyle32"/>
                <w:rFonts w:ascii="Verdana" w:hAnsi="Verdana"/>
                <w:spacing w:val="30"/>
                <w:sz w:val="20"/>
                <w:szCs w:val="20"/>
              </w:rPr>
              <w:t>D/d&lt;4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DC541" w14:textId="77777777" w:rsidR="00684754" w:rsidRPr="004B74C4" w:rsidRDefault="00684754" w:rsidP="004B74C4">
            <w:pPr>
              <w:pStyle w:val="Style20"/>
              <w:widowControl/>
              <w:jc w:val="center"/>
              <w:rPr>
                <w:rStyle w:val="FontStyle32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32"/>
                <w:rFonts w:ascii="Verdana" w:hAnsi="Verdana"/>
                <w:sz w:val="20"/>
                <w:szCs w:val="20"/>
              </w:rPr>
              <w:t>G</w:t>
            </w:r>
            <w:r w:rsidRPr="004B74C4">
              <w:rPr>
                <w:rStyle w:val="FontStyle32"/>
                <w:rFonts w:ascii="Verdana" w:hAnsi="Verdana"/>
                <w:sz w:val="20"/>
                <w:szCs w:val="20"/>
                <w:vertAlign w:val="subscript"/>
              </w:rPr>
              <w:t>T</w:t>
            </w:r>
            <w:r w:rsidRPr="004B74C4">
              <w:rPr>
                <w:rStyle w:val="FontStyle32"/>
                <w:rFonts w:ascii="Verdana" w:hAnsi="Verdana"/>
                <w:sz w:val="20"/>
                <w:szCs w:val="20"/>
              </w:rPr>
              <w:t xml:space="preserve"> 15</w:t>
            </w:r>
          </w:p>
        </w:tc>
      </w:tr>
      <w:tr w:rsidR="00684754" w:rsidRPr="009E4322" w14:paraId="1132E003" w14:textId="77777777" w:rsidTr="004B74C4">
        <w:tc>
          <w:tcPr>
            <w:tcW w:w="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4190B" w14:textId="77777777" w:rsidR="00684754" w:rsidRPr="004B74C4" w:rsidRDefault="00684754" w:rsidP="004B74C4">
            <w:pPr>
              <w:jc w:val="center"/>
              <w:rPr>
                <w:rStyle w:val="FontStyle32"/>
                <w:rFonts w:ascii="Verdana" w:hAnsi="Verdana"/>
                <w:sz w:val="20"/>
                <w:szCs w:val="20"/>
              </w:rPr>
            </w:pPr>
          </w:p>
        </w:tc>
        <w:tc>
          <w:tcPr>
            <w:tcW w:w="60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0178A9" w14:textId="77777777" w:rsidR="00684754" w:rsidRPr="004B74C4" w:rsidRDefault="00684754" w:rsidP="004B74C4">
            <w:pPr>
              <w:pStyle w:val="Style20"/>
              <w:widowControl/>
              <w:jc w:val="center"/>
              <w:rPr>
                <w:rStyle w:val="FontStyle32"/>
                <w:rFonts w:ascii="Verdana" w:hAnsi="Verdana"/>
                <w:spacing w:val="30"/>
                <w:sz w:val="20"/>
                <w:szCs w:val="20"/>
              </w:rPr>
            </w:pPr>
            <w:r w:rsidRPr="004B74C4">
              <w:rPr>
                <w:rStyle w:val="FontStyle32"/>
                <w:rFonts w:ascii="Verdana" w:hAnsi="Verdana"/>
                <w:spacing w:val="30"/>
                <w:sz w:val="20"/>
                <w:szCs w:val="20"/>
              </w:rPr>
              <w:t>D/d≥4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ED80B" w14:textId="77777777" w:rsidR="00684754" w:rsidRPr="004B74C4" w:rsidRDefault="00684754" w:rsidP="004B74C4">
            <w:pPr>
              <w:pStyle w:val="Style20"/>
              <w:widowControl/>
              <w:jc w:val="center"/>
              <w:rPr>
                <w:rStyle w:val="FontStyle32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32"/>
                <w:rFonts w:ascii="Verdana" w:hAnsi="Verdana"/>
                <w:sz w:val="20"/>
                <w:szCs w:val="20"/>
              </w:rPr>
              <w:t>G</w:t>
            </w:r>
            <w:r w:rsidRPr="004B74C4">
              <w:rPr>
                <w:rStyle w:val="FontStyle32"/>
                <w:rFonts w:ascii="Verdana" w:hAnsi="Verdana"/>
                <w:sz w:val="20"/>
                <w:szCs w:val="20"/>
                <w:vertAlign w:val="subscript"/>
              </w:rPr>
              <w:t>T</w:t>
            </w:r>
            <w:r w:rsidRPr="004B74C4">
              <w:rPr>
                <w:rStyle w:val="FontStyle32"/>
                <w:rFonts w:ascii="Verdana" w:hAnsi="Verdana"/>
                <w:sz w:val="20"/>
                <w:szCs w:val="20"/>
              </w:rPr>
              <w:t>17,5</w:t>
            </w:r>
          </w:p>
        </w:tc>
      </w:tr>
      <w:tr w:rsidR="00684754" w:rsidRPr="009E4322" w14:paraId="669C3711" w14:textId="77777777" w:rsidTr="004B74C4"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8878A" w14:textId="77777777" w:rsidR="00684754" w:rsidRPr="004B74C4" w:rsidRDefault="00684754" w:rsidP="004B74C4">
            <w:pPr>
              <w:pStyle w:val="Style17"/>
              <w:widowControl/>
              <w:spacing w:line="240" w:lineRule="auto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0498AB" w14:textId="3C0570F0" w:rsidR="00684754" w:rsidRPr="004B74C4" w:rsidRDefault="00684754" w:rsidP="004B74C4">
            <w:pPr>
              <w:pStyle w:val="Style17"/>
              <w:widowControl/>
              <w:spacing w:line="240" w:lineRule="auto"/>
              <w:ind w:left="5" w:hanging="5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Zawartość pyłów według PN-EN 933-1; kategoria nie wyższa niż: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61A24D" w14:textId="77777777" w:rsidR="00684754" w:rsidRPr="004B74C4" w:rsidRDefault="00684754" w:rsidP="004B74C4">
            <w:pPr>
              <w:pStyle w:val="Style21"/>
              <w:widowControl/>
              <w:jc w:val="center"/>
              <w:rPr>
                <w:rStyle w:val="FontStyle35"/>
                <w:rFonts w:ascii="Verdana" w:hAnsi="Verdana"/>
                <w:sz w:val="20"/>
                <w:szCs w:val="20"/>
                <w:vertAlign w:val="superscript"/>
              </w:rPr>
            </w:pPr>
            <w:r w:rsidRPr="004B74C4">
              <w:rPr>
                <w:rStyle w:val="FontStyle35"/>
                <w:rFonts w:ascii="Verdana" w:hAnsi="Verdana"/>
                <w:sz w:val="20"/>
                <w:szCs w:val="20"/>
              </w:rPr>
              <w:t>f</w:t>
            </w:r>
            <w:r w:rsidRPr="004B74C4">
              <w:rPr>
                <w:rStyle w:val="FontStyle35"/>
                <w:rFonts w:ascii="Verdana" w:hAnsi="Verdana"/>
                <w:sz w:val="20"/>
                <w:szCs w:val="20"/>
                <w:vertAlign w:val="subscript"/>
              </w:rPr>
              <w:t>l,5</w:t>
            </w:r>
            <w:r w:rsidRPr="004B74C4">
              <w:rPr>
                <w:rStyle w:val="FontStyle35"/>
                <w:rFonts w:ascii="Verdana" w:hAnsi="Verdana"/>
                <w:sz w:val="20"/>
                <w:szCs w:val="20"/>
                <w:vertAlign w:val="superscript"/>
              </w:rPr>
              <w:t>1)</w:t>
            </w:r>
          </w:p>
        </w:tc>
      </w:tr>
      <w:tr w:rsidR="00684754" w:rsidRPr="009E4322" w14:paraId="1035BE4E" w14:textId="77777777" w:rsidTr="004B74C4"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971E0" w14:textId="77777777" w:rsidR="00684754" w:rsidRPr="004B74C4" w:rsidRDefault="00684754" w:rsidP="004B74C4">
            <w:pPr>
              <w:pStyle w:val="Style17"/>
              <w:widowControl/>
              <w:spacing w:line="240" w:lineRule="auto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26B07" w14:textId="7BCB647F" w:rsidR="00684754" w:rsidRPr="004B74C4" w:rsidRDefault="00684754" w:rsidP="004B74C4">
            <w:pPr>
              <w:pStyle w:val="Style17"/>
              <w:widowControl/>
              <w:spacing w:line="240" w:lineRule="auto"/>
              <w:ind w:left="5" w:hanging="5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Kształt kruszywa grubego według PN-EN 933-3</w:t>
            </w: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br/>
            </w:r>
            <w:r w:rsidR="004B74C4">
              <w:rPr>
                <w:rStyle w:val="FontStyle40"/>
                <w:rFonts w:ascii="Verdana" w:hAnsi="Verdana"/>
                <w:sz w:val="20"/>
                <w:szCs w:val="20"/>
              </w:rPr>
              <w:t>lub według PN-EN 933-4</w:t>
            </w: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; kategoria nie wyższa niż: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20BE69" w14:textId="77777777" w:rsidR="00684754" w:rsidRPr="004B74C4" w:rsidRDefault="00684754" w:rsidP="004B74C4">
            <w:pPr>
              <w:pStyle w:val="Style20"/>
              <w:widowControl/>
              <w:jc w:val="center"/>
              <w:rPr>
                <w:rStyle w:val="FontStyle34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32"/>
                <w:rFonts w:ascii="Verdana" w:hAnsi="Verdana"/>
                <w:sz w:val="20"/>
                <w:szCs w:val="20"/>
              </w:rPr>
              <w:t>FI</w:t>
            </w:r>
            <w:r w:rsidRPr="004B74C4">
              <w:rPr>
                <w:rStyle w:val="FontStyle32"/>
                <w:rFonts w:ascii="Verdana" w:hAnsi="Verdana"/>
                <w:sz w:val="20"/>
                <w:szCs w:val="20"/>
                <w:vertAlign w:val="subscript"/>
              </w:rPr>
              <w:t>20</w:t>
            </w:r>
            <w:r w:rsidRPr="004B74C4">
              <w:rPr>
                <w:rStyle w:val="FontStyle32"/>
                <w:rFonts w:ascii="Verdana" w:hAnsi="Verdana"/>
                <w:sz w:val="20"/>
                <w:szCs w:val="20"/>
              </w:rPr>
              <w:t xml:space="preserve"> </w:t>
            </w: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 xml:space="preserve">lub </w:t>
            </w:r>
            <w:r w:rsidRPr="004B74C4">
              <w:rPr>
                <w:rStyle w:val="FontStyle32"/>
                <w:rFonts w:ascii="Verdana" w:hAnsi="Verdana"/>
                <w:sz w:val="20"/>
                <w:szCs w:val="20"/>
              </w:rPr>
              <w:t>SI</w:t>
            </w:r>
            <w:r w:rsidRPr="004B74C4">
              <w:rPr>
                <w:rStyle w:val="FontStyle34"/>
                <w:rFonts w:ascii="Verdana" w:hAnsi="Verdana"/>
                <w:sz w:val="20"/>
                <w:szCs w:val="20"/>
                <w:vertAlign w:val="subscript"/>
              </w:rPr>
              <w:t>20</w:t>
            </w:r>
          </w:p>
        </w:tc>
      </w:tr>
      <w:tr w:rsidR="00684754" w:rsidRPr="009E4322" w14:paraId="6A68AAA2" w14:textId="77777777" w:rsidTr="004B74C4"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2690F" w14:textId="77777777" w:rsidR="00684754" w:rsidRPr="004B74C4" w:rsidRDefault="00684754" w:rsidP="004B74C4">
            <w:pPr>
              <w:pStyle w:val="Style17"/>
              <w:widowControl/>
              <w:spacing w:line="240" w:lineRule="auto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60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156387" w14:textId="2B8F88AA" w:rsidR="00684754" w:rsidRPr="004B74C4" w:rsidRDefault="00684754" w:rsidP="004B74C4">
            <w:pPr>
              <w:pStyle w:val="Style17"/>
              <w:widowControl/>
              <w:spacing w:line="240" w:lineRule="auto"/>
              <w:ind w:left="5" w:hanging="5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 xml:space="preserve">Procentowa zawartość ziaren o powierzchni </w:t>
            </w:r>
            <w:proofErr w:type="spellStart"/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przekruszonej</w:t>
            </w:r>
            <w:proofErr w:type="spellEnd"/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 xml:space="preserve"> i łamanej w kruszywie grubym według PN-EN 933-5, kategoria nie niższa: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980E48" w14:textId="77777777" w:rsidR="00684754" w:rsidRPr="004B74C4" w:rsidRDefault="00684754" w:rsidP="004B74C4">
            <w:pPr>
              <w:pStyle w:val="Style21"/>
              <w:widowControl/>
              <w:tabs>
                <w:tab w:val="right" w:leader="dot" w:pos="7371"/>
              </w:tabs>
              <w:ind w:left="600"/>
              <w:jc w:val="center"/>
              <w:rPr>
                <w:rStyle w:val="FontStyle35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33"/>
                <w:rFonts w:ascii="Verdana" w:hAnsi="Verdana"/>
                <w:sz w:val="20"/>
                <w:szCs w:val="20"/>
              </w:rPr>
              <w:t xml:space="preserve">C </w:t>
            </w:r>
            <w:r w:rsidRPr="004B74C4">
              <w:rPr>
                <w:rStyle w:val="FontStyle35"/>
                <w:rFonts w:ascii="Verdana" w:hAnsi="Verdana"/>
                <w:sz w:val="20"/>
                <w:szCs w:val="20"/>
                <w:vertAlign w:val="subscript"/>
              </w:rPr>
              <w:t>100/0.</w:t>
            </w:r>
          </w:p>
        </w:tc>
      </w:tr>
      <w:tr w:rsidR="00684754" w:rsidRPr="009E4322" w14:paraId="7B3D4A3C" w14:textId="77777777" w:rsidTr="004B74C4"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66F7D2" w14:textId="77777777" w:rsidR="00684754" w:rsidRPr="004B74C4" w:rsidRDefault="00684754" w:rsidP="004B74C4">
            <w:pPr>
              <w:pStyle w:val="Style17"/>
              <w:widowControl/>
              <w:spacing w:line="240" w:lineRule="auto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3E0D81" w14:textId="4B3F50F8" w:rsidR="00684754" w:rsidRPr="004B74C4" w:rsidRDefault="00684754" w:rsidP="004B74C4">
            <w:pPr>
              <w:pStyle w:val="Style17"/>
              <w:keepLines/>
              <w:widowControl/>
              <w:spacing w:line="240" w:lineRule="auto"/>
              <w:jc w:val="left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Mrozoodp</w:t>
            </w:r>
            <w:r w:rsidR="004B74C4">
              <w:rPr>
                <w:rStyle w:val="FontStyle40"/>
                <w:rFonts w:ascii="Verdana" w:hAnsi="Verdana"/>
                <w:sz w:val="20"/>
                <w:szCs w:val="20"/>
              </w:rPr>
              <w:t xml:space="preserve">orność według PN-EN 1367-6 </w:t>
            </w: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 xml:space="preserve">w 1 % NaCl, badana na kruszywie o wymiarze 8/16; wartość nie wyższa niż w %: oraz 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98DC03" w14:textId="77777777" w:rsidR="00684754" w:rsidRPr="004B74C4" w:rsidRDefault="00684754" w:rsidP="004B74C4">
            <w:pPr>
              <w:pStyle w:val="Style22"/>
              <w:widowControl/>
              <w:ind w:left="408"/>
              <w:jc w:val="center"/>
              <w:rPr>
                <w:rStyle w:val="FontStyle34"/>
                <w:rFonts w:ascii="Verdana" w:hAnsi="Verdana"/>
                <w:i w:val="0"/>
                <w:sz w:val="20"/>
                <w:szCs w:val="20"/>
              </w:rPr>
            </w:pPr>
            <w:r w:rsidRPr="004B74C4">
              <w:rPr>
                <w:rStyle w:val="FontStyle34"/>
                <w:rFonts w:ascii="Verdana" w:hAnsi="Verdana"/>
                <w:sz w:val="20"/>
                <w:szCs w:val="20"/>
              </w:rPr>
              <w:t>2</w:t>
            </w:r>
          </w:p>
        </w:tc>
      </w:tr>
      <w:tr w:rsidR="00684754" w:rsidRPr="009E4322" w14:paraId="2D632B14" w14:textId="77777777" w:rsidTr="004B74C4"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5D641" w14:textId="77777777" w:rsidR="00684754" w:rsidRPr="004B74C4" w:rsidRDefault="00684754" w:rsidP="004B74C4">
            <w:pPr>
              <w:pStyle w:val="Style17"/>
              <w:widowControl/>
              <w:spacing w:line="240" w:lineRule="auto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60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09828F" w14:textId="675A80C3" w:rsidR="00684754" w:rsidRPr="004B74C4" w:rsidRDefault="00684754" w:rsidP="004B74C4">
            <w:pPr>
              <w:pStyle w:val="Style17"/>
              <w:widowControl/>
              <w:spacing w:line="240" w:lineRule="auto"/>
              <w:ind w:right="72" w:firstLine="5"/>
              <w:jc w:val="left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odporność krus</w:t>
            </w:r>
            <w:r w:rsidR="004B74C4">
              <w:rPr>
                <w:rStyle w:val="FontStyle40"/>
                <w:rFonts w:ascii="Verdana" w:hAnsi="Verdana"/>
                <w:sz w:val="20"/>
                <w:szCs w:val="20"/>
              </w:rPr>
              <w:t xml:space="preserve">zywa na rozdrabnianie według PN-EN 1097-2 </w:t>
            </w: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badana na kruszywie   o   wymiarze   10/14, rozdz.5; kategoria nie wyższa niż: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28709" w14:textId="77777777" w:rsidR="00684754" w:rsidRPr="004B74C4" w:rsidRDefault="00684754" w:rsidP="004B74C4">
            <w:pPr>
              <w:pStyle w:val="Style17"/>
              <w:widowControl/>
              <w:spacing w:line="240" w:lineRule="auto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34"/>
                <w:rFonts w:ascii="Verdana" w:hAnsi="Verdana"/>
                <w:sz w:val="20"/>
                <w:szCs w:val="20"/>
              </w:rPr>
              <w:t xml:space="preserve">  LA35</w:t>
            </w:r>
          </w:p>
        </w:tc>
      </w:tr>
      <w:tr w:rsidR="00684754" w:rsidRPr="009E4322" w14:paraId="7A4197D4" w14:textId="77777777" w:rsidTr="004B74C4"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86AB1" w14:textId="77777777" w:rsidR="00684754" w:rsidRPr="004B74C4" w:rsidRDefault="00684754" w:rsidP="004B74C4">
            <w:pPr>
              <w:pStyle w:val="Style17"/>
              <w:widowControl/>
              <w:spacing w:line="240" w:lineRule="auto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A1ECA1" w14:textId="31AC4C3A" w:rsidR="00684754" w:rsidRPr="004B74C4" w:rsidRDefault="00684754" w:rsidP="004B74C4">
            <w:pPr>
              <w:pStyle w:val="Style17"/>
              <w:widowControl/>
              <w:spacing w:line="240" w:lineRule="auto"/>
              <w:ind w:right="72" w:firstLine="5"/>
              <w:jc w:val="left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 xml:space="preserve">„ Zgorzel słoneczna” </w:t>
            </w:r>
            <w:r w:rsidR="004B74C4">
              <w:rPr>
                <w:rStyle w:val="FontStyle40"/>
                <w:rFonts w:ascii="Verdana" w:hAnsi="Verdana"/>
                <w:sz w:val="20"/>
                <w:szCs w:val="20"/>
              </w:rPr>
              <w:t>bazaltu według PN-EN 1367-3</w:t>
            </w: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, badana na kruszywie o wymiarze 10/14; kategoria: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FBEA4" w14:textId="77777777" w:rsidR="00684754" w:rsidRPr="004B74C4" w:rsidRDefault="00684754" w:rsidP="004B74C4">
            <w:pPr>
              <w:pStyle w:val="Style17"/>
              <w:widowControl/>
              <w:spacing w:line="240" w:lineRule="auto"/>
              <w:jc w:val="center"/>
              <w:rPr>
                <w:rStyle w:val="FontStyle40"/>
                <w:rFonts w:ascii="Verdana" w:hAnsi="Verdana"/>
                <w:sz w:val="20"/>
                <w:szCs w:val="20"/>
                <w:vertAlign w:val="subscript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SB</w:t>
            </w:r>
            <w:r w:rsidRPr="004B74C4">
              <w:rPr>
                <w:rStyle w:val="FontStyle40"/>
                <w:rFonts w:ascii="Verdana" w:hAnsi="Verdana"/>
                <w:sz w:val="20"/>
                <w:szCs w:val="20"/>
                <w:vertAlign w:val="subscript"/>
              </w:rPr>
              <w:t>LA</w:t>
            </w:r>
          </w:p>
        </w:tc>
      </w:tr>
      <w:tr w:rsidR="00684754" w:rsidRPr="009E4322" w14:paraId="76FF2D7A" w14:textId="77777777" w:rsidTr="004B74C4"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AA2C4" w14:textId="77777777" w:rsidR="00684754" w:rsidRPr="004B74C4" w:rsidRDefault="00684754" w:rsidP="004B74C4">
            <w:pPr>
              <w:pStyle w:val="Style17"/>
              <w:widowControl/>
              <w:spacing w:line="240" w:lineRule="auto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F311B2" w14:textId="0847FF58" w:rsidR="00684754" w:rsidRPr="004B74C4" w:rsidRDefault="00684754" w:rsidP="004B74C4">
            <w:pPr>
              <w:pStyle w:val="Style17"/>
              <w:widowControl/>
              <w:spacing w:line="240" w:lineRule="auto"/>
              <w:ind w:right="125" w:firstLine="5"/>
              <w:jc w:val="left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Gęstość</w:t>
            </w:r>
            <w:r w:rsidR="004B74C4">
              <w:rPr>
                <w:rStyle w:val="FontStyle40"/>
                <w:rFonts w:ascii="Verdana" w:hAnsi="Verdana"/>
                <w:sz w:val="20"/>
                <w:szCs w:val="20"/>
              </w:rPr>
              <w:t xml:space="preserve"> ziaren według PN-EN 1097-6</w:t>
            </w: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, rozdz. 7,8 lub 9: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AA0FF" w14:textId="77777777" w:rsidR="00684754" w:rsidRPr="004B74C4" w:rsidRDefault="00684754" w:rsidP="004B74C4">
            <w:pPr>
              <w:pStyle w:val="Style17"/>
              <w:widowControl/>
              <w:spacing w:line="240" w:lineRule="auto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deklarowana przez producenta</w:t>
            </w:r>
          </w:p>
        </w:tc>
      </w:tr>
      <w:tr w:rsidR="00684754" w:rsidRPr="009E4322" w14:paraId="02D7257A" w14:textId="77777777" w:rsidTr="004B74C4"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08F2B" w14:textId="77777777" w:rsidR="00684754" w:rsidRPr="004B74C4" w:rsidRDefault="00684754" w:rsidP="004B74C4">
            <w:pPr>
              <w:pStyle w:val="Style17"/>
              <w:widowControl/>
              <w:spacing w:line="240" w:lineRule="auto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lastRenderedPageBreak/>
              <w:t>10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01232F" w14:textId="342F9305" w:rsidR="00684754" w:rsidRPr="004B74C4" w:rsidRDefault="00684754" w:rsidP="004B74C4">
            <w:pPr>
              <w:pStyle w:val="Style17"/>
              <w:widowControl/>
              <w:spacing w:line="240" w:lineRule="auto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 xml:space="preserve">Gęstość nasypowa według </w:t>
            </w:r>
            <w:r w:rsidR="004B74C4">
              <w:rPr>
                <w:rStyle w:val="FontStyle40"/>
                <w:rFonts w:ascii="Verdana" w:hAnsi="Verdana"/>
                <w:sz w:val="20"/>
                <w:szCs w:val="20"/>
              </w:rPr>
              <w:t>PN-EN 1097-3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FB59D" w14:textId="77777777" w:rsidR="00684754" w:rsidRPr="004B74C4" w:rsidRDefault="00684754" w:rsidP="004B74C4">
            <w:pPr>
              <w:pStyle w:val="Style17"/>
              <w:widowControl/>
              <w:spacing w:line="240" w:lineRule="auto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deklarowana przez producenta</w:t>
            </w:r>
          </w:p>
        </w:tc>
      </w:tr>
      <w:tr w:rsidR="00684754" w:rsidRPr="009E4322" w14:paraId="6E32F094" w14:textId="77777777" w:rsidTr="004B74C4"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559D8" w14:textId="77777777" w:rsidR="00684754" w:rsidRPr="004B74C4" w:rsidRDefault="00684754" w:rsidP="004B74C4">
            <w:pPr>
              <w:pStyle w:val="Style17"/>
              <w:widowControl/>
              <w:spacing w:line="240" w:lineRule="auto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146081" w14:textId="357AEF12" w:rsidR="00684754" w:rsidRPr="004B74C4" w:rsidRDefault="00684754" w:rsidP="004B74C4">
            <w:pPr>
              <w:pStyle w:val="Style17"/>
              <w:widowControl/>
              <w:spacing w:line="240" w:lineRule="auto"/>
              <w:ind w:right="168"/>
              <w:jc w:val="left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Nasią</w:t>
            </w:r>
            <w:r w:rsidR="004B74C4">
              <w:rPr>
                <w:rStyle w:val="FontStyle40"/>
                <w:rFonts w:ascii="Verdana" w:hAnsi="Verdana"/>
                <w:sz w:val="20"/>
                <w:szCs w:val="20"/>
              </w:rPr>
              <w:t>kliwość według PN-EN 1097-6</w:t>
            </w: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, rozdz. 7,8 lub 9: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C705B7" w14:textId="77777777" w:rsidR="00684754" w:rsidRPr="004B74C4" w:rsidRDefault="00684754" w:rsidP="004B74C4">
            <w:pPr>
              <w:pStyle w:val="Style16"/>
              <w:widowControl/>
              <w:spacing w:line="240" w:lineRule="auto"/>
              <w:ind w:left="331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34"/>
                <w:rFonts w:ascii="Verdana" w:hAnsi="Verdana"/>
                <w:sz w:val="20"/>
                <w:szCs w:val="20"/>
              </w:rPr>
              <w:t>WA</w:t>
            </w:r>
            <w:r w:rsidRPr="004B74C4">
              <w:rPr>
                <w:rStyle w:val="FontStyle34"/>
                <w:rFonts w:ascii="Verdana" w:hAnsi="Verdana"/>
                <w:sz w:val="20"/>
                <w:szCs w:val="20"/>
                <w:vertAlign w:val="subscript"/>
              </w:rPr>
              <w:t>24</w:t>
            </w:r>
            <w:r w:rsidRPr="004B74C4">
              <w:rPr>
                <w:rStyle w:val="FontStyle34"/>
                <w:rFonts w:ascii="Verdana" w:hAnsi="Verdana"/>
                <w:sz w:val="20"/>
                <w:szCs w:val="20"/>
              </w:rPr>
              <w:t xml:space="preserve">1,2 </w:t>
            </w:r>
          </w:p>
        </w:tc>
      </w:tr>
      <w:tr w:rsidR="00684754" w:rsidRPr="009E4322" w14:paraId="4B7B81ED" w14:textId="77777777" w:rsidTr="004B74C4"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45953" w14:textId="77777777" w:rsidR="00684754" w:rsidRPr="004B74C4" w:rsidRDefault="00684754" w:rsidP="004B74C4">
            <w:pPr>
              <w:pStyle w:val="Style17"/>
              <w:widowControl/>
              <w:spacing w:line="240" w:lineRule="auto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60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239865" w14:textId="5073530C" w:rsidR="00684754" w:rsidRPr="004B74C4" w:rsidRDefault="00684754" w:rsidP="004B74C4">
            <w:pPr>
              <w:pStyle w:val="Style17"/>
              <w:widowControl/>
              <w:spacing w:line="240" w:lineRule="auto"/>
              <w:ind w:firstLine="10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Skład chemiczny – uproszczony opis petr</w:t>
            </w:r>
            <w:r w:rsidR="004B74C4">
              <w:rPr>
                <w:rStyle w:val="FontStyle40"/>
                <w:rFonts w:ascii="Verdana" w:hAnsi="Verdana"/>
                <w:sz w:val="20"/>
                <w:szCs w:val="20"/>
              </w:rPr>
              <w:t>ograficzny według PN-EN 932-3</w:t>
            </w: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A5353" w14:textId="77777777" w:rsidR="00684754" w:rsidRPr="004B74C4" w:rsidRDefault="00684754" w:rsidP="004B74C4">
            <w:pPr>
              <w:pStyle w:val="Style17"/>
              <w:widowControl/>
              <w:spacing w:line="240" w:lineRule="auto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deklarowany przez producenta</w:t>
            </w:r>
          </w:p>
        </w:tc>
      </w:tr>
      <w:tr w:rsidR="00684754" w:rsidRPr="009E4322" w14:paraId="334FE176" w14:textId="77777777" w:rsidTr="004B74C4"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434B7" w14:textId="77777777" w:rsidR="00684754" w:rsidRPr="004B74C4" w:rsidRDefault="00684754" w:rsidP="004B74C4">
            <w:pPr>
              <w:pStyle w:val="Style17"/>
              <w:widowControl/>
              <w:spacing w:line="240" w:lineRule="auto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13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D74598" w14:textId="57AA3187" w:rsidR="00684754" w:rsidRPr="004B74C4" w:rsidRDefault="00684754" w:rsidP="004B74C4">
            <w:pPr>
              <w:pStyle w:val="Style17"/>
              <w:widowControl/>
              <w:spacing w:line="240" w:lineRule="auto"/>
              <w:ind w:left="5" w:hanging="5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Reaktywność alkaliczno – krzemionkowa; stopień potencjalnej reakty</w:t>
            </w:r>
            <w:r w:rsidR="004B74C4">
              <w:rPr>
                <w:rStyle w:val="FontStyle40"/>
                <w:rFonts w:ascii="Verdana" w:hAnsi="Verdana"/>
                <w:sz w:val="20"/>
                <w:szCs w:val="20"/>
              </w:rPr>
              <w:t>wności według PN-B-06714-46</w:t>
            </w: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5AE63" w14:textId="77777777" w:rsidR="00684754" w:rsidRPr="004B74C4" w:rsidRDefault="00684754" w:rsidP="004B74C4">
            <w:pPr>
              <w:pStyle w:val="Style21"/>
              <w:widowControl/>
              <w:jc w:val="center"/>
              <w:rPr>
                <w:rStyle w:val="FontStyle35"/>
                <w:rFonts w:ascii="Verdana" w:hAnsi="Verdana"/>
                <w:sz w:val="20"/>
                <w:szCs w:val="20"/>
                <w:vertAlign w:val="superscript"/>
              </w:rPr>
            </w:pPr>
            <w:r w:rsidRPr="004B74C4">
              <w:rPr>
                <w:rStyle w:val="FontStyle35"/>
                <w:rFonts w:ascii="Verdana" w:hAnsi="Verdana"/>
                <w:sz w:val="20"/>
                <w:szCs w:val="20"/>
              </w:rPr>
              <w:t xml:space="preserve">stopień potencjalnej reaktywności 0 </w:t>
            </w:r>
            <w:r w:rsidRPr="004B74C4">
              <w:rPr>
                <w:rStyle w:val="FontStyle35"/>
                <w:rFonts w:ascii="Verdana" w:hAnsi="Verdana"/>
                <w:sz w:val="20"/>
                <w:szCs w:val="20"/>
                <w:vertAlign w:val="superscript"/>
              </w:rPr>
              <w:t>2)</w:t>
            </w:r>
          </w:p>
        </w:tc>
      </w:tr>
      <w:tr w:rsidR="00684754" w:rsidRPr="009E4322" w14:paraId="1A54027A" w14:textId="77777777" w:rsidTr="004B74C4"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92903" w14:textId="77777777" w:rsidR="00684754" w:rsidRPr="004B74C4" w:rsidRDefault="00684754" w:rsidP="004B74C4">
            <w:pPr>
              <w:pStyle w:val="Style17"/>
              <w:widowControl/>
              <w:spacing w:line="240" w:lineRule="auto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13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F713F6" w14:textId="688571F2" w:rsidR="00684754" w:rsidRPr="004B74C4" w:rsidRDefault="00684754" w:rsidP="004B74C4">
            <w:pPr>
              <w:pStyle w:val="Style17"/>
              <w:widowControl/>
              <w:spacing w:line="240" w:lineRule="auto"/>
              <w:ind w:left="5" w:hanging="5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Zawartość siarczanów rozpuszczalnych w</w:t>
            </w:r>
            <w:r w:rsidR="004B74C4">
              <w:rPr>
                <w:rStyle w:val="FontStyle40"/>
                <w:rFonts w:ascii="Verdana" w:hAnsi="Verdana"/>
                <w:sz w:val="20"/>
                <w:szCs w:val="20"/>
              </w:rPr>
              <w:t xml:space="preserve"> kwasie według PN-EN 1744-1</w:t>
            </w: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, rozdz. 12, nie wyższa niż kategoria: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57CDE" w14:textId="77777777" w:rsidR="00684754" w:rsidRPr="004B74C4" w:rsidRDefault="00684754" w:rsidP="004B74C4">
            <w:pPr>
              <w:pStyle w:val="Style18"/>
              <w:widowControl/>
              <w:jc w:val="center"/>
              <w:rPr>
                <w:rFonts w:ascii="Verdana" w:hAnsi="Verdana"/>
                <w:sz w:val="20"/>
                <w:szCs w:val="20"/>
                <w:vertAlign w:val="subscript"/>
              </w:rPr>
            </w:pPr>
            <w:r w:rsidRPr="004B74C4">
              <w:rPr>
                <w:rFonts w:ascii="Verdana" w:hAnsi="Verdana"/>
                <w:sz w:val="20"/>
                <w:szCs w:val="20"/>
              </w:rPr>
              <w:t>AS</w:t>
            </w:r>
            <w:r w:rsidRPr="004B74C4">
              <w:rPr>
                <w:rFonts w:ascii="Verdana" w:hAnsi="Verdana"/>
                <w:sz w:val="20"/>
                <w:szCs w:val="20"/>
                <w:vertAlign w:val="subscript"/>
              </w:rPr>
              <w:t>0,2</w:t>
            </w:r>
          </w:p>
        </w:tc>
      </w:tr>
      <w:tr w:rsidR="00684754" w:rsidRPr="009E4322" w14:paraId="6EC20AB4" w14:textId="77777777" w:rsidTr="004B74C4"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FD425" w14:textId="77777777" w:rsidR="00684754" w:rsidRPr="004B74C4" w:rsidRDefault="00684754" w:rsidP="004B74C4">
            <w:pPr>
              <w:pStyle w:val="Style17"/>
              <w:widowControl/>
              <w:spacing w:line="240" w:lineRule="auto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14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AA5068" w14:textId="2C25ACE8" w:rsidR="00684754" w:rsidRPr="004B74C4" w:rsidRDefault="00684754" w:rsidP="004B74C4">
            <w:pPr>
              <w:pStyle w:val="Style17"/>
              <w:widowControl/>
              <w:spacing w:line="240" w:lineRule="auto"/>
              <w:ind w:left="5" w:hanging="5"/>
              <w:rPr>
                <w:rStyle w:val="FontStyle40"/>
                <w:rFonts w:ascii="Verdana" w:hAnsi="Verdana"/>
                <w:spacing w:val="30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Zawartość siarki cał</w:t>
            </w:r>
            <w:r w:rsidR="004B74C4">
              <w:rPr>
                <w:rStyle w:val="FontStyle40"/>
                <w:rFonts w:ascii="Verdana" w:hAnsi="Verdana"/>
                <w:sz w:val="20"/>
                <w:szCs w:val="20"/>
              </w:rPr>
              <w:t>kowitej według PN-EN 1744-1</w:t>
            </w: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 xml:space="preserve">, rozdz. 11; wartość nie wyższa niż </w:t>
            </w:r>
            <w:r w:rsidRPr="004B74C4">
              <w:rPr>
                <w:rStyle w:val="FontStyle40"/>
                <w:rFonts w:ascii="Verdana" w:hAnsi="Verdana"/>
                <w:spacing w:val="30"/>
                <w:sz w:val="20"/>
                <w:szCs w:val="20"/>
              </w:rPr>
              <w:t>w%: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B6BC4" w14:textId="77777777" w:rsidR="00684754" w:rsidRPr="004B74C4" w:rsidRDefault="00684754" w:rsidP="004B74C4">
            <w:pPr>
              <w:pStyle w:val="Style17"/>
              <w:widowControl/>
              <w:spacing w:line="240" w:lineRule="auto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1</w:t>
            </w:r>
          </w:p>
        </w:tc>
      </w:tr>
      <w:tr w:rsidR="00684754" w:rsidRPr="009E4322" w14:paraId="17809D00" w14:textId="77777777" w:rsidTr="004B74C4"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186B1" w14:textId="77777777" w:rsidR="00684754" w:rsidRPr="004B74C4" w:rsidRDefault="00684754" w:rsidP="004B74C4">
            <w:pPr>
              <w:pStyle w:val="Style17"/>
              <w:spacing w:line="240" w:lineRule="auto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8EBFA" w14:textId="566296F9" w:rsidR="00684754" w:rsidRPr="004B74C4" w:rsidRDefault="00684754" w:rsidP="004B74C4">
            <w:pPr>
              <w:pStyle w:val="Style17"/>
              <w:spacing w:line="240" w:lineRule="auto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Zawartość   chlorków   rozpuszczalnych w</w:t>
            </w:r>
            <w:r w:rsidR="004B74C4">
              <w:rPr>
                <w:rStyle w:val="FontStyle40"/>
                <w:rFonts w:ascii="Verdana" w:hAnsi="Verdana"/>
                <w:sz w:val="20"/>
                <w:szCs w:val="20"/>
              </w:rPr>
              <w:t xml:space="preserve"> wodzie według PN-EN 1744-1</w:t>
            </w: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, rodz.7; wartość nie wyższa niż w %: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C187B9" w14:textId="77777777" w:rsidR="00684754" w:rsidRPr="004B74C4" w:rsidRDefault="00684754" w:rsidP="004B74C4">
            <w:pPr>
              <w:pStyle w:val="Style17"/>
              <w:spacing w:line="240" w:lineRule="auto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0,02</w:t>
            </w:r>
          </w:p>
        </w:tc>
      </w:tr>
      <w:tr w:rsidR="00684754" w:rsidRPr="009E4322" w14:paraId="1AA06355" w14:textId="77777777" w:rsidTr="004B74C4"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3C5D8" w14:textId="77777777" w:rsidR="00684754" w:rsidRPr="004B74C4" w:rsidRDefault="00684754" w:rsidP="004B74C4">
            <w:pPr>
              <w:pStyle w:val="Style17"/>
              <w:spacing w:line="240" w:lineRule="auto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6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9B5D3" w14:textId="76066E05" w:rsidR="00684754" w:rsidRPr="004B74C4" w:rsidRDefault="00684754" w:rsidP="004B74C4">
            <w:pPr>
              <w:pStyle w:val="Style17"/>
              <w:spacing w:line="240" w:lineRule="auto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 xml:space="preserve">Zanieczyszczenia lekkie według PN-EN </w:t>
            </w:r>
            <w:r w:rsidR="004B74C4">
              <w:rPr>
                <w:rStyle w:val="FontStyle40"/>
                <w:rFonts w:ascii="Verdana" w:hAnsi="Verdana"/>
                <w:sz w:val="20"/>
                <w:szCs w:val="20"/>
              </w:rPr>
              <w:t>1774-1</w:t>
            </w: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 xml:space="preserve">  p. 14.2; wartość nie wyższa niż w %: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14EFE" w14:textId="77777777" w:rsidR="00684754" w:rsidRPr="004B74C4" w:rsidRDefault="00684754" w:rsidP="004B74C4">
            <w:pPr>
              <w:pStyle w:val="Style17"/>
              <w:spacing w:line="240" w:lineRule="auto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0,1</w:t>
            </w:r>
          </w:p>
        </w:tc>
      </w:tr>
    </w:tbl>
    <w:p w14:paraId="160F6D80" w14:textId="77777777" w:rsidR="00684754" w:rsidRPr="004B74C4" w:rsidRDefault="00684754" w:rsidP="004B74C4">
      <w:pPr>
        <w:pStyle w:val="Akapitzlist"/>
        <w:numPr>
          <w:ilvl w:val="0"/>
          <w:numId w:val="29"/>
        </w:numPr>
        <w:overflowPunct w:val="0"/>
        <w:adjustRightInd w:val="0"/>
        <w:spacing w:before="0"/>
        <w:ind w:left="284" w:right="629" w:firstLine="0"/>
        <w:contextualSpacing/>
        <w:textAlignment w:val="baseline"/>
        <w:rPr>
          <w:sz w:val="20"/>
          <w:szCs w:val="20"/>
        </w:rPr>
      </w:pPr>
      <w:r w:rsidRPr="004B74C4">
        <w:rPr>
          <w:sz w:val="20"/>
          <w:szCs w:val="20"/>
        </w:rPr>
        <w:t>zawartość pyłów w tej kategorii należy ograniczyć do max. 1%, np. przez płukanie kruszywa przed sporządzeniem z niego mieszanki betonowej,</w:t>
      </w:r>
    </w:p>
    <w:p w14:paraId="68E89520" w14:textId="13EAB7FA" w:rsidR="00684754" w:rsidRPr="004B74C4" w:rsidRDefault="00684754" w:rsidP="004B74C4">
      <w:pPr>
        <w:pStyle w:val="Akapitzlist"/>
        <w:widowControl/>
        <w:numPr>
          <w:ilvl w:val="0"/>
          <w:numId w:val="29"/>
        </w:numPr>
        <w:overflowPunct w:val="0"/>
        <w:adjustRightInd w:val="0"/>
        <w:spacing w:before="0"/>
        <w:ind w:left="284" w:right="629" w:firstLine="0"/>
        <w:contextualSpacing/>
        <w:textAlignment w:val="baseline"/>
        <w:rPr>
          <w:sz w:val="20"/>
          <w:szCs w:val="20"/>
        </w:rPr>
      </w:pPr>
      <w:r w:rsidRPr="004B74C4">
        <w:rPr>
          <w:sz w:val="20"/>
          <w:szCs w:val="20"/>
        </w:rPr>
        <w:t>w przypadku stwierdzenia, że badane kruszywo odpowiada 1 stopniowi potencjalnej reaktywności alkalicznej należy wykonać badanie dodat</w:t>
      </w:r>
      <w:r w:rsidR="004B74C4">
        <w:rPr>
          <w:sz w:val="20"/>
          <w:szCs w:val="20"/>
        </w:rPr>
        <w:t>kowe zgodnie z PN-B-06714-34</w:t>
      </w:r>
      <w:r w:rsidRPr="004B74C4">
        <w:rPr>
          <w:sz w:val="20"/>
          <w:szCs w:val="20"/>
        </w:rPr>
        <w:t>; dopuszczenie do zastosowania przy spełnieniu wymagania: reaktywność alkaliczna z cementem nie wywołująca zwiększenia wymiarów liniowych większych niż 0,1 %.</w:t>
      </w:r>
    </w:p>
    <w:p w14:paraId="3DADCD5C" w14:textId="77777777" w:rsidR="00684754" w:rsidRPr="004B74C4" w:rsidRDefault="00684754" w:rsidP="004B74C4">
      <w:pPr>
        <w:pStyle w:val="Legenda"/>
        <w:keepNext/>
        <w:ind w:left="284"/>
        <w:rPr>
          <w:rStyle w:val="FontStyle40"/>
          <w:rFonts w:ascii="Verdana" w:hAnsi="Verdana"/>
          <w:sz w:val="20"/>
          <w:szCs w:val="20"/>
        </w:rPr>
      </w:pPr>
      <w:r w:rsidRPr="004B74C4">
        <w:rPr>
          <w:rFonts w:ascii="Verdana" w:hAnsi="Verdana"/>
          <w:sz w:val="20"/>
        </w:rPr>
        <w:t>Tabela 2. Wymagania dla kruszywa drobnego</w:t>
      </w:r>
    </w:p>
    <w:tbl>
      <w:tblPr>
        <w:tblW w:w="0" w:type="auto"/>
        <w:tblInd w:w="27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0"/>
        <w:gridCol w:w="6073"/>
        <w:gridCol w:w="2409"/>
      </w:tblGrid>
      <w:tr w:rsidR="00684754" w:rsidRPr="009E4322" w14:paraId="7A3A9CCB" w14:textId="77777777" w:rsidTr="004B74C4">
        <w:trPr>
          <w:tblHeader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C0901" w14:textId="77777777" w:rsidR="00684754" w:rsidRPr="004B74C4" w:rsidRDefault="00684754" w:rsidP="004B74C4">
            <w:pPr>
              <w:pStyle w:val="Style17"/>
              <w:widowControl/>
              <w:spacing w:before="120" w:after="120" w:line="240" w:lineRule="auto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Lp.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E24940" w14:textId="77777777" w:rsidR="00684754" w:rsidRPr="004B74C4" w:rsidRDefault="00684754" w:rsidP="004B74C4">
            <w:pPr>
              <w:pStyle w:val="Style17"/>
              <w:widowControl/>
              <w:tabs>
                <w:tab w:val="left" w:pos="3135"/>
              </w:tabs>
              <w:spacing w:before="120" w:after="120" w:line="240" w:lineRule="auto"/>
              <w:ind w:left="917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Właściwości kruszywa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20E695" w14:textId="77777777" w:rsidR="00684754" w:rsidRPr="004B74C4" w:rsidRDefault="00684754" w:rsidP="004B74C4">
            <w:pPr>
              <w:pStyle w:val="Style17"/>
              <w:widowControl/>
              <w:spacing w:before="120" w:after="120" w:line="240" w:lineRule="auto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Wymagania</w:t>
            </w:r>
          </w:p>
        </w:tc>
      </w:tr>
      <w:tr w:rsidR="00684754" w:rsidRPr="009E4322" w14:paraId="5E176672" w14:textId="77777777" w:rsidTr="004B74C4"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E2091" w14:textId="77777777" w:rsidR="00684754" w:rsidRPr="004B74C4" w:rsidRDefault="00684754" w:rsidP="004B74C4">
            <w:pPr>
              <w:pStyle w:val="Style19"/>
              <w:widowControl/>
              <w:jc w:val="center"/>
              <w:rPr>
                <w:rStyle w:val="FontStyle33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33"/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6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54283B" w14:textId="77777777" w:rsidR="00684754" w:rsidRPr="004B74C4" w:rsidRDefault="00684754" w:rsidP="004B74C4">
            <w:pPr>
              <w:pStyle w:val="Style21"/>
              <w:widowControl/>
              <w:jc w:val="center"/>
              <w:rPr>
                <w:rStyle w:val="FontStyle35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35"/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9812D5" w14:textId="77777777" w:rsidR="00684754" w:rsidRPr="004B74C4" w:rsidRDefault="00684754" w:rsidP="004B74C4">
            <w:pPr>
              <w:pStyle w:val="Style21"/>
              <w:widowControl/>
              <w:jc w:val="center"/>
              <w:rPr>
                <w:rStyle w:val="FontStyle35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35"/>
                <w:rFonts w:ascii="Verdana" w:hAnsi="Verdana"/>
                <w:sz w:val="20"/>
                <w:szCs w:val="20"/>
              </w:rPr>
              <w:t>3</w:t>
            </w:r>
          </w:p>
        </w:tc>
      </w:tr>
      <w:tr w:rsidR="00684754" w:rsidRPr="009E4322" w14:paraId="1C004FCF" w14:textId="77777777" w:rsidTr="004B74C4"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2C200ED" w14:textId="77777777" w:rsidR="00684754" w:rsidRPr="004B74C4" w:rsidRDefault="00684754" w:rsidP="004B74C4">
            <w:pPr>
              <w:pStyle w:val="Style17"/>
              <w:widowControl/>
              <w:spacing w:line="240" w:lineRule="auto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6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A51F3" w14:textId="4BBFF474" w:rsidR="00684754" w:rsidRPr="004B74C4" w:rsidRDefault="00684754" w:rsidP="004B74C4">
            <w:pPr>
              <w:pStyle w:val="Style17"/>
              <w:widowControl/>
              <w:spacing w:line="240" w:lineRule="auto"/>
              <w:ind w:left="5" w:hanging="5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Uzi</w:t>
            </w:r>
            <w:r w:rsidR="004B74C4">
              <w:rPr>
                <w:rStyle w:val="FontStyle40"/>
                <w:rFonts w:ascii="Verdana" w:hAnsi="Verdana"/>
                <w:sz w:val="20"/>
                <w:szCs w:val="20"/>
              </w:rPr>
              <w:t xml:space="preserve">arnienie według PN-EN 933-1 </w:t>
            </w: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wymagania  kategoria: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6A68D" w14:textId="77777777" w:rsidR="00684754" w:rsidRPr="004B74C4" w:rsidRDefault="00684754" w:rsidP="004B74C4">
            <w:pPr>
              <w:pStyle w:val="Style18"/>
              <w:widowControl/>
              <w:jc w:val="center"/>
              <w:rPr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32"/>
                <w:rFonts w:ascii="Verdana" w:hAnsi="Verdana"/>
                <w:sz w:val="20"/>
                <w:szCs w:val="20"/>
              </w:rPr>
              <w:t>G</w:t>
            </w:r>
            <w:r w:rsidRPr="004B74C4">
              <w:rPr>
                <w:rStyle w:val="FontStyle32"/>
                <w:rFonts w:ascii="Verdana" w:hAnsi="Verdana"/>
                <w:sz w:val="20"/>
                <w:szCs w:val="20"/>
                <w:vertAlign w:val="subscript"/>
              </w:rPr>
              <w:t>F</w:t>
            </w:r>
            <w:r w:rsidRPr="004B74C4">
              <w:rPr>
                <w:rStyle w:val="FontStyle32"/>
                <w:rFonts w:ascii="Verdana" w:hAnsi="Verdana"/>
                <w:sz w:val="20"/>
                <w:szCs w:val="20"/>
              </w:rPr>
              <w:t xml:space="preserve"> 85</w:t>
            </w:r>
          </w:p>
        </w:tc>
      </w:tr>
      <w:tr w:rsidR="00684754" w:rsidRPr="009E4322" w14:paraId="18811BF9" w14:textId="77777777" w:rsidTr="004B74C4"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270D8" w14:textId="77777777" w:rsidR="00684754" w:rsidRPr="004B74C4" w:rsidRDefault="00684754" w:rsidP="004B74C4">
            <w:pPr>
              <w:pStyle w:val="Style17"/>
              <w:widowControl/>
              <w:spacing w:line="240" w:lineRule="auto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60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AFF499" w14:textId="30EC9949" w:rsidR="00684754" w:rsidRPr="004B74C4" w:rsidRDefault="00684754" w:rsidP="004B74C4">
            <w:pPr>
              <w:pStyle w:val="Style17"/>
              <w:widowControl/>
              <w:spacing w:line="240" w:lineRule="auto"/>
              <w:ind w:left="5" w:hanging="5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Zawart</w:t>
            </w:r>
            <w:r w:rsidR="004B74C4">
              <w:rPr>
                <w:rStyle w:val="FontStyle40"/>
                <w:rFonts w:ascii="Verdana" w:hAnsi="Verdana"/>
                <w:sz w:val="20"/>
                <w:szCs w:val="20"/>
              </w:rPr>
              <w:t>ość pyłów według PN-EN 933-1</w:t>
            </w: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; kategoria nie wyższa niż: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75B2A" w14:textId="77777777" w:rsidR="00684754" w:rsidRPr="004B74C4" w:rsidRDefault="00684754" w:rsidP="004B74C4">
            <w:pPr>
              <w:pStyle w:val="Style21"/>
              <w:widowControl/>
              <w:jc w:val="center"/>
              <w:rPr>
                <w:rStyle w:val="FontStyle35"/>
                <w:rFonts w:ascii="Verdana" w:hAnsi="Verdana"/>
                <w:sz w:val="20"/>
                <w:szCs w:val="20"/>
                <w:vertAlign w:val="superscript"/>
              </w:rPr>
            </w:pPr>
            <w:r w:rsidRPr="004B74C4">
              <w:rPr>
                <w:rStyle w:val="FontStyle35"/>
                <w:rFonts w:ascii="Verdana" w:hAnsi="Verdana"/>
                <w:sz w:val="20"/>
                <w:szCs w:val="20"/>
              </w:rPr>
              <w:t>f</w:t>
            </w:r>
            <w:r w:rsidRPr="004B74C4">
              <w:rPr>
                <w:rStyle w:val="FontStyle35"/>
                <w:rFonts w:ascii="Verdana" w:hAnsi="Verdana"/>
                <w:sz w:val="20"/>
                <w:szCs w:val="20"/>
                <w:vertAlign w:val="subscript"/>
              </w:rPr>
              <w:t>3</w:t>
            </w:r>
            <w:r w:rsidRPr="004B74C4">
              <w:rPr>
                <w:rStyle w:val="FontStyle35"/>
                <w:rFonts w:ascii="Verdana" w:hAnsi="Verdana"/>
                <w:sz w:val="20"/>
                <w:szCs w:val="20"/>
                <w:vertAlign w:val="superscript"/>
              </w:rPr>
              <w:t>1)</w:t>
            </w:r>
          </w:p>
        </w:tc>
      </w:tr>
      <w:tr w:rsidR="00684754" w:rsidRPr="009E4322" w14:paraId="2F17014B" w14:textId="77777777" w:rsidTr="004B74C4"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ADE66" w14:textId="77777777" w:rsidR="00684754" w:rsidRPr="004B74C4" w:rsidRDefault="00684754" w:rsidP="004B74C4">
            <w:pPr>
              <w:pStyle w:val="Style17"/>
              <w:widowControl/>
              <w:spacing w:line="240" w:lineRule="auto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D2B8B6" w14:textId="77777777" w:rsidR="00684754" w:rsidRPr="004B74C4" w:rsidRDefault="00684754" w:rsidP="004B74C4">
            <w:pPr>
              <w:pStyle w:val="Style17"/>
              <w:widowControl/>
              <w:spacing w:line="240" w:lineRule="auto"/>
              <w:ind w:right="125" w:firstLine="5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Tolerancje deklarowanego typowego uziarnienia kruszywa drobnego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04E6CC" w14:textId="77777777" w:rsidR="00684754" w:rsidRPr="004B74C4" w:rsidRDefault="00684754" w:rsidP="004B74C4">
            <w:pPr>
              <w:pStyle w:val="Style17"/>
              <w:widowControl/>
              <w:spacing w:line="240" w:lineRule="auto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Zgodnie z Załącznikiem  C w normie PN-EN 12620</w:t>
            </w:r>
          </w:p>
        </w:tc>
      </w:tr>
      <w:tr w:rsidR="00684754" w:rsidRPr="009E4322" w14:paraId="5A19953F" w14:textId="77777777" w:rsidTr="004B74C4"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96447" w14:textId="77777777" w:rsidR="00684754" w:rsidRPr="004B74C4" w:rsidRDefault="00684754" w:rsidP="004B74C4">
            <w:pPr>
              <w:pStyle w:val="Style17"/>
              <w:widowControl/>
              <w:spacing w:line="240" w:lineRule="auto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A8BCF4" w14:textId="36073A07" w:rsidR="00684754" w:rsidRPr="004B74C4" w:rsidRDefault="00684754" w:rsidP="004B74C4">
            <w:pPr>
              <w:pStyle w:val="Style17"/>
              <w:widowControl/>
              <w:spacing w:line="240" w:lineRule="auto"/>
              <w:ind w:right="125" w:firstLine="5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Gęstość</w:t>
            </w:r>
            <w:r w:rsidR="004B74C4">
              <w:rPr>
                <w:rStyle w:val="FontStyle40"/>
                <w:rFonts w:ascii="Verdana" w:hAnsi="Verdana"/>
                <w:sz w:val="20"/>
                <w:szCs w:val="20"/>
              </w:rPr>
              <w:t xml:space="preserve"> ziaren według PN-EN 1097-6</w:t>
            </w: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, rozdz. 7,8 lub 9: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65A937" w14:textId="77777777" w:rsidR="00684754" w:rsidRPr="004B74C4" w:rsidRDefault="00684754" w:rsidP="004B74C4">
            <w:pPr>
              <w:pStyle w:val="Style17"/>
              <w:widowControl/>
              <w:spacing w:line="240" w:lineRule="auto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deklarowana przez producenta</w:t>
            </w:r>
          </w:p>
        </w:tc>
      </w:tr>
      <w:tr w:rsidR="00684754" w:rsidRPr="009E4322" w14:paraId="146DF670" w14:textId="77777777" w:rsidTr="004B74C4"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F6BCE" w14:textId="77777777" w:rsidR="00684754" w:rsidRPr="004B74C4" w:rsidRDefault="00684754" w:rsidP="004B74C4">
            <w:pPr>
              <w:pStyle w:val="Style17"/>
              <w:keepLines/>
              <w:widowControl/>
              <w:spacing w:line="240" w:lineRule="auto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7701E" w14:textId="07EA0C58" w:rsidR="00684754" w:rsidRPr="004B74C4" w:rsidRDefault="00684754" w:rsidP="004B74C4">
            <w:pPr>
              <w:pStyle w:val="Style17"/>
              <w:keepLines/>
              <w:widowControl/>
              <w:spacing w:line="240" w:lineRule="auto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Gęstość n</w:t>
            </w:r>
            <w:r w:rsidR="004B74C4">
              <w:rPr>
                <w:rStyle w:val="FontStyle40"/>
                <w:rFonts w:ascii="Verdana" w:hAnsi="Verdana"/>
                <w:sz w:val="20"/>
                <w:szCs w:val="20"/>
              </w:rPr>
              <w:t xml:space="preserve">asypowa według PN-EN 1097-3 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4DDCD" w14:textId="77777777" w:rsidR="00684754" w:rsidRPr="004B74C4" w:rsidRDefault="00684754" w:rsidP="004B74C4">
            <w:pPr>
              <w:pStyle w:val="Style17"/>
              <w:keepLines/>
              <w:widowControl/>
              <w:spacing w:line="240" w:lineRule="auto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deklarowana przez producenta</w:t>
            </w:r>
          </w:p>
        </w:tc>
      </w:tr>
      <w:tr w:rsidR="00684754" w:rsidRPr="009E4322" w14:paraId="75FE66C9" w14:textId="77777777" w:rsidTr="004B74C4"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3EEFE" w14:textId="77777777" w:rsidR="00684754" w:rsidRPr="004B74C4" w:rsidRDefault="00684754" w:rsidP="004B74C4">
            <w:pPr>
              <w:pStyle w:val="Style17"/>
              <w:widowControl/>
              <w:spacing w:line="240" w:lineRule="auto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60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446AFB" w14:textId="4240F9CB" w:rsidR="00684754" w:rsidRPr="004B74C4" w:rsidRDefault="00684754" w:rsidP="004B74C4">
            <w:pPr>
              <w:pStyle w:val="Style17"/>
              <w:widowControl/>
              <w:spacing w:line="240" w:lineRule="auto"/>
              <w:ind w:left="5" w:hanging="5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Reaktywność alkaliczno – krzemionkowa; stopień potencjalnej reakty</w:t>
            </w:r>
            <w:r w:rsidR="004B74C4">
              <w:rPr>
                <w:rStyle w:val="FontStyle40"/>
                <w:rFonts w:ascii="Verdana" w:hAnsi="Verdana"/>
                <w:sz w:val="20"/>
                <w:szCs w:val="20"/>
              </w:rPr>
              <w:t>wności według PN-B-06714-46</w:t>
            </w: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8D775" w14:textId="77777777" w:rsidR="00684754" w:rsidRPr="004B74C4" w:rsidRDefault="00684754" w:rsidP="004B74C4">
            <w:pPr>
              <w:pStyle w:val="Style21"/>
              <w:widowControl/>
              <w:jc w:val="center"/>
              <w:rPr>
                <w:rStyle w:val="FontStyle35"/>
                <w:rFonts w:ascii="Verdana" w:hAnsi="Verdana"/>
                <w:sz w:val="20"/>
                <w:szCs w:val="20"/>
                <w:vertAlign w:val="superscript"/>
              </w:rPr>
            </w:pPr>
            <w:r w:rsidRPr="004B74C4">
              <w:rPr>
                <w:rStyle w:val="FontStyle35"/>
                <w:rFonts w:ascii="Verdana" w:hAnsi="Verdana"/>
                <w:sz w:val="20"/>
                <w:szCs w:val="20"/>
              </w:rPr>
              <w:t xml:space="preserve">stopień potencjalnej reaktywności 0 </w:t>
            </w:r>
            <w:r w:rsidRPr="004B74C4">
              <w:rPr>
                <w:rStyle w:val="FontStyle35"/>
                <w:rFonts w:ascii="Verdana" w:hAnsi="Verdana"/>
                <w:sz w:val="20"/>
                <w:szCs w:val="20"/>
                <w:vertAlign w:val="superscript"/>
              </w:rPr>
              <w:t>2)</w:t>
            </w:r>
          </w:p>
        </w:tc>
      </w:tr>
      <w:tr w:rsidR="00684754" w:rsidRPr="009E4322" w14:paraId="13B03B5E" w14:textId="77777777" w:rsidTr="004B74C4"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A3191" w14:textId="77777777" w:rsidR="00684754" w:rsidRPr="004B74C4" w:rsidRDefault="00684754" w:rsidP="004B74C4">
            <w:pPr>
              <w:pStyle w:val="Style17"/>
              <w:widowControl/>
              <w:spacing w:line="240" w:lineRule="auto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0C6DF3" w14:textId="26CD0261" w:rsidR="00684754" w:rsidRPr="004B74C4" w:rsidRDefault="00684754" w:rsidP="004B74C4">
            <w:pPr>
              <w:pStyle w:val="Style17"/>
              <w:widowControl/>
              <w:spacing w:line="240" w:lineRule="auto"/>
              <w:ind w:left="5" w:hanging="5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Zawartość siarczanów rozpuszczalnych w</w:t>
            </w:r>
            <w:r w:rsidR="004B74C4">
              <w:rPr>
                <w:rStyle w:val="FontStyle40"/>
                <w:rFonts w:ascii="Verdana" w:hAnsi="Verdana"/>
                <w:sz w:val="20"/>
                <w:szCs w:val="20"/>
              </w:rPr>
              <w:t xml:space="preserve"> kwasie według PN-EN 1744-1</w:t>
            </w: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, rozdz. 12, nie wyższa niż kategoria: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E30129" w14:textId="77777777" w:rsidR="00684754" w:rsidRPr="004B74C4" w:rsidRDefault="00684754" w:rsidP="004B74C4">
            <w:pPr>
              <w:pStyle w:val="Style18"/>
              <w:widowControl/>
              <w:jc w:val="center"/>
              <w:rPr>
                <w:rFonts w:ascii="Verdana" w:hAnsi="Verdana"/>
                <w:sz w:val="20"/>
                <w:szCs w:val="20"/>
                <w:vertAlign w:val="subscript"/>
              </w:rPr>
            </w:pPr>
            <w:r w:rsidRPr="004B74C4">
              <w:rPr>
                <w:rFonts w:ascii="Verdana" w:hAnsi="Verdana"/>
                <w:sz w:val="20"/>
                <w:szCs w:val="20"/>
              </w:rPr>
              <w:t>AS</w:t>
            </w:r>
            <w:r w:rsidRPr="004B74C4">
              <w:rPr>
                <w:rFonts w:ascii="Verdana" w:hAnsi="Verdana"/>
                <w:sz w:val="20"/>
                <w:szCs w:val="20"/>
                <w:vertAlign w:val="subscript"/>
              </w:rPr>
              <w:t>0,2</w:t>
            </w:r>
          </w:p>
        </w:tc>
      </w:tr>
      <w:tr w:rsidR="00684754" w:rsidRPr="009E4322" w14:paraId="6E4F47A5" w14:textId="77777777" w:rsidTr="004B74C4"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244D6" w14:textId="77777777" w:rsidR="00684754" w:rsidRPr="004B74C4" w:rsidRDefault="00684754" w:rsidP="004B74C4">
            <w:pPr>
              <w:pStyle w:val="Style17"/>
              <w:widowControl/>
              <w:spacing w:line="240" w:lineRule="auto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77AEB8" w14:textId="4EC757C1" w:rsidR="00684754" w:rsidRPr="004B74C4" w:rsidRDefault="00684754" w:rsidP="004B74C4">
            <w:pPr>
              <w:pStyle w:val="Style17"/>
              <w:widowControl/>
              <w:spacing w:line="240" w:lineRule="auto"/>
              <w:ind w:left="5" w:hanging="5"/>
              <w:rPr>
                <w:rStyle w:val="FontStyle40"/>
                <w:rFonts w:ascii="Verdana" w:hAnsi="Verdana"/>
                <w:spacing w:val="30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Zawartość siarki cał</w:t>
            </w:r>
            <w:r w:rsidR="004B74C4">
              <w:rPr>
                <w:rStyle w:val="FontStyle40"/>
                <w:rFonts w:ascii="Verdana" w:hAnsi="Verdana"/>
                <w:sz w:val="20"/>
                <w:szCs w:val="20"/>
              </w:rPr>
              <w:t>kowitej według PN-EN 1744-1</w:t>
            </w: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 xml:space="preserve">, rozdz. 11; wartość nie wyższa niż </w:t>
            </w:r>
            <w:r w:rsidRPr="004B74C4">
              <w:rPr>
                <w:rStyle w:val="FontStyle40"/>
                <w:rFonts w:ascii="Verdana" w:hAnsi="Verdana"/>
                <w:spacing w:val="30"/>
                <w:sz w:val="20"/>
                <w:szCs w:val="20"/>
              </w:rPr>
              <w:t>w%: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768EC0" w14:textId="77777777" w:rsidR="00684754" w:rsidRPr="004B74C4" w:rsidRDefault="00684754" w:rsidP="004B74C4">
            <w:pPr>
              <w:pStyle w:val="Style17"/>
              <w:widowControl/>
              <w:spacing w:line="240" w:lineRule="auto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1</w:t>
            </w:r>
          </w:p>
        </w:tc>
      </w:tr>
      <w:tr w:rsidR="00684754" w:rsidRPr="009E4322" w14:paraId="5FA2D9AA" w14:textId="77777777" w:rsidTr="004B74C4"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C745B" w14:textId="77777777" w:rsidR="00684754" w:rsidRPr="004B74C4" w:rsidRDefault="00684754" w:rsidP="004B74C4">
            <w:pPr>
              <w:pStyle w:val="Style17"/>
              <w:spacing w:line="240" w:lineRule="auto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88CB29" w14:textId="1D48AC12" w:rsidR="00684754" w:rsidRPr="004B74C4" w:rsidRDefault="00684754" w:rsidP="004B74C4">
            <w:pPr>
              <w:pStyle w:val="Style17"/>
              <w:spacing w:line="240" w:lineRule="auto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 xml:space="preserve">Zanieczyszczenia </w:t>
            </w:r>
            <w:r w:rsidR="004B74C4">
              <w:rPr>
                <w:rStyle w:val="FontStyle40"/>
                <w:rFonts w:ascii="Verdana" w:hAnsi="Verdana"/>
                <w:sz w:val="20"/>
                <w:szCs w:val="20"/>
              </w:rPr>
              <w:t xml:space="preserve">lekkie według PN-EN 1774-1 </w:t>
            </w: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p. 14.2; wartość nie wyższa niż w %: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6A05D" w14:textId="77777777" w:rsidR="00684754" w:rsidRPr="004B74C4" w:rsidRDefault="00684754" w:rsidP="004B74C4">
            <w:pPr>
              <w:pStyle w:val="Style17"/>
              <w:spacing w:line="240" w:lineRule="auto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0,5</w:t>
            </w:r>
          </w:p>
        </w:tc>
      </w:tr>
      <w:tr w:rsidR="00684754" w:rsidRPr="009E4322" w14:paraId="408138BA" w14:textId="77777777" w:rsidTr="004B74C4"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52C59" w14:textId="77777777" w:rsidR="00684754" w:rsidRPr="004B74C4" w:rsidRDefault="00684754" w:rsidP="004B74C4">
            <w:pPr>
              <w:pStyle w:val="Style17"/>
              <w:spacing w:line="240" w:lineRule="auto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300C9" w14:textId="34C5A33E" w:rsidR="00684754" w:rsidRPr="004B74C4" w:rsidRDefault="00684754" w:rsidP="004B74C4">
            <w:pPr>
              <w:pStyle w:val="Style17"/>
              <w:spacing w:line="240" w:lineRule="auto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 xml:space="preserve">Zawartość substancji organicznych według </w:t>
            </w:r>
            <w:r w:rsidR="004B74C4">
              <w:rPr>
                <w:rStyle w:val="FontStyle40"/>
                <w:rFonts w:ascii="Verdana" w:hAnsi="Verdana"/>
                <w:sz w:val="20"/>
                <w:szCs w:val="20"/>
              </w:rPr>
              <w:t>PN-EN 1744-1</w:t>
            </w: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, p.15.1: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421089" w14:textId="77777777" w:rsidR="00684754" w:rsidRPr="004B74C4" w:rsidRDefault="00684754" w:rsidP="004B74C4">
            <w:pPr>
              <w:pStyle w:val="Style17"/>
              <w:spacing w:line="240" w:lineRule="auto"/>
              <w:jc w:val="center"/>
              <w:rPr>
                <w:rStyle w:val="FontStyle40"/>
                <w:rFonts w:ascii="Verdana" w:hAnsi="Verdana"/>
                <w:sz w:val="20"/>
                <w:szCs w:val="20"/>
              </w:rPr>
            </w:pPr>
            <w:r w:rsidRPr="004B74C4">
              <w:rPr>
                <w:rStyle w:val="FontStyle40"/>
                <w:rFonts w:ascii="Verdana" w:hAnsi="Verdana"/>
                <w:sz w:val="20"/>
                <w:szCs w:val="20"/>
              </w:rPr>
              <w:t>barwa nie ciemniejsza niż wzorcowa</w:t>
            </w:r>
          </w:p>
        </w:tc>
      </w:tr>
    </w:tbl>
    <w:p w14:paraId="386A130F" w14:textId="77777777" w:rsidR="00684754" w:rsidRPr="004B74C4" w:rsidRDefault="00684754" w:rsidP="004B74C4">
      <w:pPr>
        <w:pStyle w:val="Akapitzlist"/>
        <w:numPr>
          <w:ilvl w:val="0"/>
          <w:numId w:val="30"/>
        </w:numPr>
        <w:overflowPunct w:val="0"/>
        <w:adjustRightInd w:val="0"/>
        <w:spacing w:before="0"/>
        <w:ind w:left="284" w:right="629" w:firstLine="0"/>
        <w:contextualSpacing/>
        <w:textAlignment w:val="baseline"/>
        <w:rPr>
          <w:sz w:val="20"/>
          <w:szCs w:val="20"/>
        </w:rPr>
      </w:pPr>
      <w:r w:rsidRPr="004B74C4">
        <w:rPr>
          <w:sz w:val="20"/>
          <w:szCs w:val="20"/>
        </w:rPr>
        <w:t>zawartość pyłów w tej kategorii należy ograniczyć do max. 1,5%, np. przez płukanie kruszywa przed sporządzeniem z niego mieszanki betonowej,</w:t>
      </w:r>
    </w:p>
    <w:p w14:paraId="5869F7F8" w14:textId="168C5F22" w:rsidR="00684754" w:rsidRPr="004B74C4" w:rsidRDefault="00684754" w:rsidP="004B74C4">
      <w:pPr>
        <w:pStyle w:val="Akapitzlist"/>
        <w:numPr>
          <w:ilvl w:val="0"/>
          <w:numId w:val="30"/>
        </w:numPr>
        <w:overflowPunct w:val="0"/>
        <w:adjustRightInd w:val="0"/>
        <w:spacing w:before="0"/>
        <w:ind w:left="284" w:right="629" w:firstLine="0"/>
        <w:contextualSpacing/>
        <w:textAlignment w:val="baseline"/>
        <w:rPr>
          <w:sz w:val="20"/>
          <w:szCs w:val="20"/>
        </w:rPr>
      </w:pPr>
      <w:r w:rsidRPr="004B74C4">
        <w:rPr>
          <w:sz w:val="20"/>
          <w:szCs w:val="20"/>
        </w:rPr>
        <w:t>w przypadku stwierdzenia, że badane kruszywo odpowiada 1 stopniowi potencjalnej reaktywności alkalicznej należy wykonać badanie dodatk</w:t>
      </w:r>
      <w:r w:rsidR="004B74C4">
        <w:rPr>
          <w:sz w:val="20"/>
          <w:szCs w:val="20"/>
        </w:rPr>
        <w:t>owe zgodnie z PN-B-06714-34</w:t>
      </w:r>
      <w:r w:rsidRPr="004B74C4">
        <w:rPr>
          <w:sz w:val="20"/>
          <w:szCs w:val="20"/>
        </w:rPr>
        <w:t>; dopuszczenie do zastosowania przy spełnieniu wymagania: reaktywność alkaliczna z cementem nie wywołująca zwiększenia wymiarów liniowych większych niż 0,1 %.</w:t>
      </w:r>
    </w:p>
    <w:p w14:paraId="745AD6E8" w14:textId="222A4D55" w:rsidR="00684754" w:rsidRPr="004B74C4" w:rsidRDefault="00684754" w:rsidP="004B74C4">
      <w:pPr>
        <w:pStyle w:val="Nagwek3"/>
        <w:tabs>
          <w:tab w:val="left" w:pos="1134"/>
        </w:tabs>
        <w:spacing w:before="120" w:after="240"/>
        <w:ind w:left="284" w:right="629"/>
        <w:jc w:val="both"/>
        <w:rPr>
          <w:rFonts w:ascii="Verdana" w:hAnsi="Verdana"/>
          <w:sz w:val="20"/>
          <w:szCs w:val="20"/>
        </w:rPr>
      </w:pPr>
      <w:r w:rsidRPr="004B74C4">
        <w:rPr>
          <w:rFonts w:ascii="Verdana" w:hAnsi="Verdana"/>
          <w:color w:val="auto"/>
          <w:sz w:val="20"/>
          <w:szCs w:val="20"/>
        </w:rPr>
        <w:t xml:space="preserve">2.4.4. </w:t>
      </w:r>
      <w:r w:rsidR="004B74C4">
        <w:rPr>
          <w:rFonts w:ascii="Verdana" w:hAnsi="Verdana"/>
          <w:color w:val="auto"/>
          <w:sz w:val="20"/>
          <w:szCs w:val="20"/>
        </w:rPr>
        <w:tab/>
      </w:r>
      <w:r w:rsidRPr="004B74C4">
        <w:rPr>
          <w:rFonts w:ascii="Verdana" w:hAnsi="Verdana"/>
          <w:color w:val="auto"/>
          <w:sz w:val="20"/>
          <w:szCs w:val="20"/>
        </w:rPr>
        <w:t xml:space="preserve">Woda zarobowa – wymagania i badania </w:t>
      </w:r>
    </w:p>
    <w:p w14:paraId="5BF37F1C" w14:textId="5384F691" w:rsidR="00684754" w:rsidRPr="004B74C4" w:rsidRDefault="00684754" w:rsidP="004B74C4">
      <w:pPr>
        <w:ind w:left="284" w:right="629"/>
        <w:jc w:val="both"/>
        <w:rPr>
          <w:sz w:val="20"/>
          <w:szCs w:val="20"/>
        </w:rPr>
      </w:pPr>
      <w:r w:rsidRPr="004B74C4">
        <w:rPr>
          <w:sz w:val="20"/>
          <w:szCs w:val="20"/>
        </w:rPr>
        <w:t xml:space="preserve">Woda zarobowa do betonu powinna odpowiadać </w:t>
      </w:r>
      <w:r w:rsidR="008352AD">
        <w:rPr>
          <w:sz w:val="20"/>
          <w:szCs w:val="20"/>
        </w:rPr>
        <w:t>wymaganiom normy PN-EN 1008</w:t>
      </w:r>
      <w:r w:rsidRPr="004B74C4">
        <w:rPr>
          <w:sz w:val="20"/>
          <w:szCs w:val="20"/>
        </w:rPr>
        <w:t xml:space="preserve">. </w:t>
      </w:r>
    </w:p>
    <w:p w14:paraId="276046B1" w14:textId="77777777" w:rsidR="00684754" w:rsidRDefault="00684754" w:rsidP="004B74C4">
      <w:pPr>
        <w:ind w:left="284" w:right="629"/>
        <w:jc w:val="both"/>
        <w:rPr>
          <w:sz w:val="20"/>
          <w:szCs w:val="20"/>
        </w:rPr>
      </w:pPr>
      <w:r w:rsidRPr="004B74C4">
        <w:rPr>
          <w:sz w:val="20"/>
          <w:szCs w:val="20"/>
        </w:rPr>
        <w:t xml:space="preserve">Jeżeli wodę do betonu przewiduje się czerpać z wodociągów miejskich, to woda ta nie wymaga </w:t>
      </w:r>
      <w:r w:rsidRPr="004B74C4">
        <w:rPr>
          <w:sz w:val="20"/>
          <w:szCs w:val="20"/>
        </w:rPr>
        <w:lastRenderedPageBreak/>
        <w:t xml:space="preserve">badania. </w:t>
      </w:r>
    </w:p>
    <w:p w14:paraId="2EF3FA9C" w14:textId="77777777" w:rsidR="008352AD" w:rsidRPr="004B74C4" w:rsidRDefault="008352AD" w:rsidP="004B74C4">
      <w:pPr>
        <w:ind w:left="284" w:right="629"/>
        <w:jc w:val="both"/>
        <w:rPr>
          <w:sz w:val="20"/>
          <w:szCs w:val="20"/>
        </w:rPr>
      </w:pPr>
    </w:p>
    <w:p w14:paraId="3384AEE5" w14:textId="60E1F5A8" w:rsidR="00684754" w:rsidRPr="008352AD" w:rsidRDefault="00684754" w:rsidP="008352AD">
      <w:pPr>
        <w:pStyle w:val="Nagwek3"/>
        <w:tabs>
          <w:tab w:val="left" w:pos="1134"/>
        </w:tabs>
        <w:spacing w:after="240"/>
        <w:ind w:left="284" w:right="629"/>
        <w:jc w:val="both"/>
        <w:rPr>
          <w:rFonts w:ascii="Verdana" w:hAnsi="Verdana"/>
          <w:color w:val="auto"/>
          <w:sz w:val="20"/>
          <w:szCs w:val="20"/>
        </w:rPr>
      </w:pPr>
      <w:r w:rsidRPr="008352AD">
        <w:rPr>
          <w:rFonts w:ascii="Verdana" w:hAnsi="Verdana"/>
          <w:color w:val="auto"/>
          <w:sz w:val="20"/>
          <w:szCs w:val="20"/>
        </w:rPr>
        <w:t xml:space="preserve">2.4.5. </w:t>
      </w:r>
      <w:r w:rsidR="008352AD">
        <w:rPr>
          <w:rFonts w:ascii="Verdana" w:hAnsi="Verdana"/>
          <w:color w:val="auto"/>
          <w:sz w:val="20"/>
          <w:szCs w:val="20"/>
        </w:rPr>
        <w:tab/>
      </w:r>
      <w:r w:rsidRPr="008352AD">
        <w:rPr>
          <w:rFonts w:ascii="Verdana" w:hAnsi="Verdana"/>
          <w:color w:val="auto"/>
          <w:sz w:val="20"/>
          <w:szCs w:val="20"/>
        </w:rPr>
        <w:t xml:space="preserve">Domieszki do betonu </w:t>
      </w:r>
    </w:p>
    <w:p w14:paraId="043662AF" w14:textId="09D5BAB3" w:rsidR="00684754" w:rsidRPr="004B74C4" w:rsidRDefault="00684754" w:rsidP="004B74C4">
      <w:pPr>
        <w:ind w:left="284" w:right="629"/>
        <w:jc w:val="both"/>
        <w:rPr>
          <w:sz w:val="20"/>
          <w:szCs w:val="20"/>
        </w:rPr>
      </w:pPr>
      <w:r w:rsidRPr="004B74C4">
        <w:rPr>
          <w:sz w:val="20"/>
          <w:szCs w:val="20"/>
        </w:rPr>
        <w:t>Dopuszcza się stosowanie dom</w:t>
      </w:r>
      <w:r w:rsidR="008352AD">
        <w:rPr>
          <w:sz w:val="20"/>
          <w:szCs w:val="20"/>
        </w:rPr>
        <w:t>ieszek zgodnie z PN-EN 934-1 i PN-EN 934-2 </w:t>
      </w:r>
      <w:r w:rsidRPr="004B74C4">
        <w:rPr>
          <w:sz w:val="20"/>
          <w:szCs w:val="20"/>
        </w:rPr>
        <w:t xml:space="preserve"> i dodatków do betonu (pyłu krze</w:t>
      </w:r>
      <w:r w:rsidR="008352AD">
        <w:rPr>
          <w:sz w:val="20"/>
          <w:szCs w:val="20"/>
        </w:rPr>
        <w:t>mionkowego wg PN-EN 13263-1</w:t>
      </w:r>
      <w:r w:rsidRPr="004B74C4">
        <w:rPr>
          <w:sz w:val="20"/>
          <w:szCs w:val="20"/>
        </w:rPr>
        <w:t>). Przy doborze domieszki należy uwzględnić jej kompatybilność z cementem i ewentualnym dodatkiem mineralnym (dodatkiem typu II).</w:t>
      </w:r>
    </w:p>
    <w:p w14:paraId="35747EBC" w14:textId="590ED591" w:rsidR="00684754" w:rsidRPr="004B74C4" w:rsidRDefault="00684754" w:rsidP="004B74C4">
      <w:pPr>
        <w:ind w:left="284" w:right="629"/>
        <w:jc w:val="both"/>
        <w:rPr>
          <w:sz w:val="20"/>
          <w:szCs w:val="20"/>
        </w:rPr>
      </w:pPr>
      <w:r w:rsidRPr="004B74C4">
        <w:rPr>
          <w:sz w:val="20"/>
          <w:szCs w:val="20"/>
        </w:rPr>
        <w:t xml:space="preserve">Do betonu w elementach narażonych na cykliczne zamrażanie/rozmrażanie stosuje się domieszkę napowietrzającą. W przypadku zastosowania domieszki napowietrzającej wraz z inną domieszką lub z cementem zawierającym </w:t>
      </w:r>
      <w:proofErr w:type="spellStart"/>
      <w:r w:rsidRPr="004B74C4">
        <w:rPr>
          <w:sz w:val="20"/>
          <w:szCs w:val="20"/>
        </w:rPr>
        <w:t>pozaklinkierowe</w:t>
      </w:r>
      <w:proofErr w:type="spellEnd"/>
      <w:r w:rsidRPr="004B74C4">
        <w:rPr>
          <w:sz w:val="20"/>
          <w:szCs w:val="20"/>
        </w:rPr>
        <w:t xml:space="preserve"> składniki główne, należy potwierdzić ich kompatybilność w betonie napowietrzonym na podstawie charakterystyki porów po</w:t>
      </w:r>
      <w:r w:rsidR="008352AD">
        <w:rPr>
          <w:sz w:val="20"/>
          <w:szCs w:val="20"/>
        </w:rPr>
        <w:t xml:space="preserve">wietrznych wg PN-EN 480-11 </w:t>
      </w:r>
      <w:r w:rsidRPr="004B74C4">
        <w:rPr>
          <w:sz w:val="20"/>
          <w:szCs w:val="20"/>
        </w:rPr>
        <w:t>w odniesieniu do kryteriów zawa</w:t>
      </w:r>
      <w:r w:rsidR="008352AD">
        <w:rPr>
          <w:sz w:val="20"/>
          <w:szCs w:val="20"/>
        </w:rPr>
        <w:t>rtych w PN-EN 934-2</w:t>
      </w:r>
      <w:r w:rsidRPr="004B74C4">
        <w:rPr>
          <w:sz w:val="20"/>
          <w:szCs w:val="20"/>
        </w:rPr>
        <w:t xml:space="preserve">. </w:t>
      </w:r>
    </w:p>
    <w:p w14:paraId="512EBDC0" w14:textId="2923F538" w:rsidR="00684754" w:rsidRPr="008352AD" w:rsidRDefault="00684754" w:rsidP="008352AD">
      <w:pPr>
        <w:tabs>
          <w:tab w:val="left" w:pos="1134"/>
          <w:tab w:val="left" w:pos="5445"/>
        </w:tabs>
        <w:spacing w:before="120" w:after="120"/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 xml:space="preserve">2.4.6. </w:t>
      </w:r>
      <w:r w:rsidR="008352AD">
        <w:rPr>
          <w:sz w:val="20"/>
          <w:szCs w:val="20"/>
        </w:rPr>
        <w:tab/>
      </w:r>
      <w:r w:rsidRPr="008352AD">
        <w:rPr>
          <w:sz w:val="20"/>
          <w:szCs w:val="20"/>
        </w:rPr>
        <w:t>Skład i właściwości mieszanki betonowej</w:t>
      </w:r>
    </w:p>
    <w:p w14:paraId="09324539" w14:textId="1E122496" w:rsidR="00684754" w:rsidRPr="004B74C4" w:rsidRDefault="00684754" w:rsidP="004B74C4">
      <w:pPr>
        <w:ind w:left="284" w:right="629"/>
        <w:jc w:val="both"/>
        <w:rPr>
          <w:sz w:val="20"/>
          <w:szCs w:val="20"/>
        </w:rPr>
      </w:pPr>
      <w:r w:rsidRPr="004B74C4">
        <w:rPr>
          <w:sz w:val="20"/>
          <w:szCs w:val="20"/>
        </w:rPr>
        <w:t>Skład mieszanki betonowej (receptura) powinien być ustalony przez producenta</w:t>
      </w:r>
      <w:r w:rsidR="008352AD">
        <w:rPr>
          <w:sz w:val="20"/>
          <w:szCs w:val="20"/>
        </w:rPr>
        <w:t xml:space="preserve"> betonu zgodnie z PN-EN 206</w:t>
      </w:r>
      <w:r w:rsidRPr="004B74C4">
        <w:rPr>
          <w:sz w:val="20"/>
          <w:szCs w:val="20"/>
        </w:rPr>
        <w:t>, na podstawie wymagań postawionych w S</w:t>
      </w:r>
      <w:r w:rsidR="008352AD">
        <w:rPr>
          <w:sz w:val="20"/>
          <w:szCs w:val="20"/>
        </w:rPr>
        <w:t>S</w:t>
      </w:r>
      <w:r w:rsidRPr="004B74C4">
        <w:rPr>
          <w:sz w:val="20"/>
          <w:szCs w:val="20"/>
        </w:rPr>
        <w:t>T i dokumentacji projektowej. Receptura powinna być przedstawiona Inżynierowi do akceptacji wraz z deklaracjami właściwości użytkowych poszczególnych składników oraz wynikami badań wstępnych prowa</w:t>
      </w:r>
      <w:r w:rsidR="008352AD">
        <w:rPr>
          <w:sz w:val="20"/>
          <w:szCs w:val="20"/>
        </w:rPr>
        <w:t>dzonych zgodnie z PN-EN 206</w:t>
      </w:r>
      <w:r w:rsidRPr="004B74C4">
        <w:rPr>
          <w:sz w:val="20"/>
          <w:szCs w:val="20"/>
        </w:rPr>
        <w:t xml:space="preserve">. </w:t>
      </w:r>
    </w:p>
    <w:p w14:paraId="68964058" w14:textId="39124185" w:rsidR="00684754" w:rsidRPr="004B74C4" w:rsidRDefault="00684754" w:rsidP="004B74C4">
      <w:pPr>
        <w:ind w:left="284" w:right="629"/>
        <w:jc w:val="both"/>
        <w:rPr>
          <w:sz w:val="20"/>
          <w:szCs w:val="20"/>
        </w:rPr>
      </w:pPr>
      <w:r w:rsidRPr="004B74C4">
        <w:rPr>
          <w:sz w:val="20"/>
          <w:szCs w:val="20"/>
        </w:rPr>
        <w:t xml:space="preserve">Jeśli dokumentacji i </w:t>
      </w:r>
      <w:r w:rsidR="008352AD">
        <w:rPr>
          <w:sz w:val="20"/>
          <w:szCs w:val="20"/>
        </w:rPr>
        <w:t>S</w:t>
      </w:r>
      <w:r w:rsidRPr="004B74C4">
        <w:rPr>
          <w:sz w:val="20"/>
          <w:szCs w:val="20"/>
        </w:rPr>
        <w:t>ST nie przewidują inaczej, dla betonu klasy C30/37 i wyższej, można stosować mieszankę, której skład spełnia wymagania:</w:t>
      </w:r>
    </w:p>
    <w:p w14:paraId="672F695A" w14:textId="77777777" w:rsidR="00684754" w:rsidRPr="004B74C4" w:rsidRDefault="00684754" w:rsidP="004B74C4">
      <w:pPr>
        <w:pStyle w:val="Akapitzlist"/>
        <w:widowControl/>
        <w:numPr>
          <w:ilvl w:val="0"/>
          <w:numId w:val="27"/>
        </w:numPr>
        <w:overflowPunct w:val="0"/>
        <w:adjustRightInd w:val="0"/>
        <w:spacing w:before="0"/>
        <w:ind w:left="284" w:right="629" w:firstLine="0"/>
        <w:contextualSpacing/>
        <w:textAlignment w:val="baseline"/>
        <w:rPr>
          <w:sz w:val="20"/>
          <w:szCs w:val="20"/>
        </w:rPr>
      </w:pPr>
      <w:r w:rsidRPr="004B74C4">
        <w:rPr>
          <w:sz w:val="20"/>
          <w:szCs w:val="20"/>
        </w:rPr>
        <w:t>współczynnik w/c nie powinien być większy niż 0,45,</w:t>
      </w:r>
    </w:p>
    <w:p w14:paraId="20E9856D" w14:textId="77777777" w:rsidR="00684754" w:rsidRPr="004B74C4" w:rsidRDefault="00684754" w:rsidP="004B74C4">
      <w:pPr>
        <w:pStyle w:val="Akapitzlist"/>
        <w:widowControl/>
        <w:numPr>
          <w:ilvl w:val="0"/>
          <w:numId w:val="27"/>
        </w:numPr>
        <w:overflowPunct w:val="0"/>
        <w:adjustRightInd w:val="0"/>
        <w:spacing w:before="0"/>
        <w:ind w:left="284" w:right="629" w:firstLine="0"/>
        <w:contextualSpacing/>
        <w:textAlignment w:val="baseline"/>
        <w:rPr>
          <w:sz w:val="20"/>
          <w:szCs w:val="20"/>
        </w:rPr>
      </w:pPr>
      <w:r w:rsidRPr="004B74C4">
        <w:rPr>
          <w:sz w:val="20"/>
          <w:szCs w:val="20"/>
        </w:rPr>
        <w:t>maksymalna zawartość cementu nie powinna być większa niż 450 kg/m</w:t>
      </w:r>
      <w:r w:rsidRPr="004B74C4">
        <w:rPr>
          <w:sz w:val="20"/>
          <w:szCs w:val="20"/>
          <w:vertAlign w:val="superscript"/>
        </w:rPr>
        <w:t>3</w:t>
      </w:r>
      <w:r w:rsidRPr="004B74C4">
        <w:rPr>
          <w:sz w:val="20"/>
          <w:szCs w:val="20"/>
        </w:rPr>
        <w:t xml:space="preserve">,    </w:t>
      </w:r>
    </w:p>
    <w:p w14:paraId="39B0775F" w14:textId="77777777" w:rsidR="00684754" w:rsidRPr="004B74C4" w:rsidRDefault="00684754" w:rsidP="004B74C4">
      <w:pPr>
        <w:pStyle w:val="Akapitzlist"/>
        <w:widowControl/>
        <w:numPr>
          <w:ilvl w:val="0"/>
          <w:numId w:val="27"/>
        </w:numPr>
        <w:overflowPunct w:val="0"/>
        <w:adjustRightInd w:val="0"/>
        <w:spacing w:before="0"/>
        <w:ind w:left="284" w:right="629" w:firstLine="0"/>
        <w:contextualSpacing/>
        <w:textAlignment w:val="baseline"/>
        <w:rPr>
          <w:sz w:val="20"/>
          <w:szCs w:val="20"/>
        </w:rPr>
      </w:pPr>
      <w:r w:rsidRPr="004B74C4">
        <w:rPr>
          <w:sz w:val="20"/>
          <w:szCs w:val="20"/>
        </w:rPr>
        <w:t>zawartość chlorków w odniesieniu do masy cementu nie powinna być większa niż 0,20%,</w:t>
      </w:r>
    </w:p>
    <w:p w14:paraId="41E04A02" w14:textId="1A3FF540" w:rsidR="00684754" w:rsidRPr="004B74C4" w:rsidRDefault="00684754" w:rsidP="004B74C4">
      <w:pPr>
        <w:pStyle w:val="Akapitzlist"/>
        <w:numPr>
          <w:ilvl w:val="0"/>
          <w:numId w:val="27"/>
        </w:numPr>
        <w:overflowPunct w:val="0"/>
        <w:adjustRightInd w:val="0"/>
        <w:spacing w:before="0"/>
        <w:ind w:left="284" w:right="629" w:firstLine="0"/>
        <w:contextualSpacing/>
        <w:textAlignment w:val="baseline"/>
        <w:rPr>
          <w:sz w:val="20"/>
          <w:szCs w:val="20"/>
        </w:rPr>
      </w:pPr>
      <w:r w:rsidRPr="004B74C4">
        <w:rPr>
          <w:sz w:val="20"/>
          <w:szCs w:val="20"/>
        </w:rPr>
        <w:t>ziarna kru</w:t>
      </w:r>
      <w:r w:rsidR="008352AD">
        <w:rPr>
          <w:sz w:val="20"/>
          <w:szCs w:val="20"/>
        </w:rPr>
        <w:t>szywa mierzone wg PN-EN 933-1</w:t>
      </w:r>
      <w:r w:rsidRPr="004B74C4">
        <w:rPr>
          <w:sz w:val="20"/>
          <w:szCs w:val="20"/>
        </w:rPr>
        <w:t xml:space="preserve"> nie powinny być większe niż: </w:t>
      </w:r>
    </w:p>
    <w:p w14:paraId="5484080A" w14:textId="77777777" w:rsidR="00684754" w:rsidRPr="004B74C4" w:rsidRDefault="00684754" w:rsidP="004B74C4">
      <w:pPr>
        <w:pStyle w:val="Akapitzlist"/>
        <w:numPr>
          <w:ilvl w:val="0"/>
          <w:numId w:val="28"/>
        </w:numPr>
        <w:overflowPunct w:val="0"/>
        <w:adjustRightInd w:val="0"/>
        <w:spacing w:before="0"/>
        <w:ind w:left="284" w:right="629" w:firstLine="0"/>
        <w:contextualSpacing/>
        <w:textAlignment w:val="baseline"/>
        <w:rPr>
          <w:sz w:val="20"/>
          <w:szCs w:val="20"/>
        </w:rPr>
      </w:pPr>
      <w:r w:rsidRPr="004B74C4">
        <w:rPr>
          <w:sz w:val="20"/>
          <w:szCs w:val="20"/>
        </w:rPr>
        <w:t xml:space="preserve">1/3 najmniejszego wymiaru przekroju poprzecznego elementu prefabrykowanego, </w:t>
      </w:r>
    </w:p>
    <w:p w14:paraId="68355540" w14:textId="77777777" w:rsidR="00684754" w:rsidRPr="004B74C4" w:rsidRDefault="00684754" w:rsidP="004B74C4">
      <w:pPr>
        <w:pStyle w:val="Akapitzlist"/>
        <w:numPr>
          <w:ilvl w:val="0"/>
          <w:numId w:val="28"/>
        </w:numPr>
        <w:overflowPunct w:val="0"/>
        <w:adjustRightInd w:val="0"/>
        <w:spacing w:before="0"/>
        <w:ind w:left="284" w:right="629" w:firstLine="0"/>
        <w:contextualSpacing/>
        <w:textAlignment w:val="baseline"/>
        <w:rPr>
          <w:sz w:val="20"/>
          <w:szCs w:val="20"/>
        </w:rPr>
      </w:pPr>
      <w:r w:rsidRPr="004B74C4">
        <w:rPr>
          <w:sz w:val="20"/>
          <w:szCs w:val="20"/>
        </w:rPr>
        <w:t>3/4 odległości w świetle między prętami zbrojenia leżącymi w jednej płaszczyźnie prostopadłej do kierunku betonowania,</w:t>
      </w:r>
    </w:p>
    <w:p w14:paraId="61146E7C" w14:textId="77777777" w:rsidR="00684754" w:rsidRPr="004B74C4" w:rsidRDefault="00684754" w:rsidP="004B74C4">
      <w:pPr>
        <w:pStyle w:val="Akapitzlist"/>
        <w:numPr>
          <w:ilvl w:val="0"/>
          <w:numId w:val="27"/>
        </w:numPr>
        <w:overflowPunct w:val="0"/>
        <w:adjustRightInd w:val="0"/>
        <w:spacing w:before="0"/>
        <w:ind w:left="284" w:right="629" w:firstLine="0"/>
        <w:contextualSpacing/>
        <w:textAlignment w:val="baseline"/>
        <w:rPr>
          <w:sz w:val="20"/>
          <w:szCs w:val="20"/>
        </w:rPr>
      </w:pPr>
      <w:r w:rsidRPr="004B74C4">
        <w:rPr>
          <w:sz w:val="20"/>
          <w:szCs w:val="20"/>
        </w:rPr>
        <w:t>zalecane graniczne krzywe uziarnienia kruszywa o uziarnieniu 0/16 przedstawiono poniżej.</w:t>
      </w:r>
    </w:p>
    <w:p w14:paraId="67DF7D03" w14:textId="77777777" w:rsidR="00684754" w:rsidRPr="004B74C4" w:rsidRDefault="00684754" w:rsidP="004B74C4">
      <w:pPr>
        <w:pStyle w:val="Legenda"/>
        <w:ind w:left="284" w:right="629"/>
        <w:rPr>
          <w:rFonts w:ascii="Verdana" w:hAnsi="Verdana"/>
          <w:sz w:val="20"/>
        </w:rPr>
      </w:pPr>
      <w:r w:rsidRPr="004B74C4">
        <w:rPr>
          <w:rFonts w:ascii="Verdana" w:hAnsi="Verdana"/>
          <w:sz w:val="20"/>
        </w:rPr>
        <w:t xml:space="preserve">Tabela 3. </w:t>
      </w:r>
      <w:bookmarkStart w:id="23" w:name="_Toc35163196"/>
      <w:bookmarkStart w:id="24" w:name="_Toc35163361"/>
      <w:bookmarkStart w:id="25" w:name="_Toc35164000"/>
      <w:r w:rsidRPr="004B74C4">
        <w:rPr>
          <w:rFonts w:ascii="Verdana" w:hAnsi="Verdana"/>
          <w:sz w:val="20"/>
        </w:rPr>
        <w:t>Graniczne krzywe uziarnienia kruszywa o uziarnieniu 0/16</w:t>
      </w:r>
      <w:bookmarkEnd w:id="23"/>
      <w:bookmarkEnd w:id="24"/>
      <w:bookmarkEnd w:id="25"/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5103"/>
      </w:tblGrid>
      <w:tr w:rsidR="00684754" w:rsidRPr="00BE1843" w14:paraId="7B7BE5D6" w14:textId="77777777" w:rsidTr="004B74C4">
        <w:tc>
          <w:tcPr>
            <w:tcW w:w="1559" w:type="dxa"/>
            <w:vAlign w:val="center"/>
          </w:tcPr>
          <w:p w14:paraId="03CBC07F" w14:textId="77777777" w:rsidR="00684754" w:rsidRPr="008352AD" w:rsidRDefault="00684754" w:rsidP="004B74C4">
            <w:pPr>
              <w:spacing w:before="120"/>
              <w:jc w:val="center"/>
              <w:rPr>
                <w:rFonts w:eastAsia="Calibri"/>
                <w:sz w:val="20"/>
                <w:szCs w:val="20"/>
              </w:rPr>
            </w:pPr>
            <w:r w:rsidRPr="008352AD">
              <w:rPr>
                <w:rFonts w:eastAsia="Calibri"/>
                <w:sz w:val="20"/>
                <w:szCs w:val="20"/>
              </w:rPr>
              <w:t>Sito #,</w:t>
            </w:r>
          </w:p>
          <w:p w14:paraId="3AA48AE6" w14:textId="77777777" w:rsidR="00684754" w:rsidRPr="008352AD" w:rsidRDefault="00684754" w:rsidP="004B74C4">
            <w:pPr>
              <w:spacing w:after="120"/>
              <w:jc w:val="center"/>
              <w:rPr>
                <w:rFonts w:eastAsia="Calibri"/>
                <w:sz w:val="20"/>
                <w:szCs w:val="20"/>
              </w:rPr>
            </w:pPr>
            <w:r w:rsidRPr="008352AD">
              <w:rPr>
                <w:rFonts w:eastAsia="Calibri"/>
                <w:sz w:val="20"/>
                <w:szCs w:val="20"/>
              </w:rPr>
              <w:t>[mm]</w:t>
            </w:r>
          </w:p>
        </w:tc>
        <w:tc>
          <w:tcPr>
            <w:tcW w:w="5103" w:type="dxa"/>
            <w:vAlign w:val="center"/>
          </w:tcPr>
          <w:p w14:paraId="55716D53" w14:textId="77777777" w:rsidR="00684754" w:rsidRPr="008352AD" w:rsidRDefault="00684754" w:rsidP="004B74C4">
            <w:pPr>
              <w:jc w:val="center"/>
              <w:rPr>
                <w:rFonts w:eastAsia="Calibri"/>
                <w:sz w:val="20"/>
                <w:szCs w:val="20"/>
              </w:rPr>
            </w:pPr>
            <w:r w:rsidRPr="008352AD">
              <w:rPr>
                <w:rFonts w:eastAsia="Calibri"/>
                <w:sz w:val="20"/>
                <w:szCs w:val="20"/>
              </w:rPr>
              <w:t>Ułamek masowy kruszywa przechodzącego przez sito,[%]</w:t>
            </w:r>
          </w:p>
        </w:tc>
      </w:tr>
      <w:tr w:rsidR="00684754" w:rsidRPr="00BE1843" w14:paraId="059D0245" w14:textId="77777777" w:rsidTr="004B74C4">
        <w:tc>
          <w:tcPr>
            <w:tcW w:w="1559" w:type="dxa"/>
          </w:tcPr>
          <w:p w14:paraId="5B2D3708" w14:textId="77777777" w:rsidR="00684754" w:rsidRPr="008352AD" w:rsidRDefault="00684754" w:rsidP="004B74C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103" w:type="dxa"/>
          </w:tcPr>
          <w:p w14:paraId="70A50425" w14:textId="77777777" w:rsidR="00684754" w:rsidRPr="008352AD" w:rsidRDefault="00684754" w:rsidP="004B74C4">
            <w:pPr>
              <w:jc w:val="center"/>
              <w:rPr>
                <w:rFonts w:eastAsia="Calibri"/>
                <w:sz w:val="20"/>
                <w:szCs w:val="20"/>
              </w:rPr>
            </w:pPr>
            <w:r w:rsidRPr="008352AD">
              <w:rPr>
                <w:rFonts w:eastAsia="Calibri"/>
                <w:sz w:val="20"/>
                <w:szCs w:val="20"/>
              </w:rPr>
              <w:t>Wymiar kruszywa D≤16,0 mm</w:t>
            </w:r>
          </w:p>
        </w:tc>
      </w:tr>
      <w:tr w:rsidR="00684754" w:rsidRPr="00BE1843" w14:paraId="5AF1ECD9" w14:textId="77777777" w:rsidTr="004B74C4">
        <w:tc>
          <w:tcPr>
            <w:tcW w:w="1559" w:type="dxa"/>
          </w:tcPr>
          <w:p w14:paraId="736CCA3C" w14:textId="77777777" w:rsidR="00684754" w:rsidRPr="008352AD" w:rsidRDefault="00684754" w:rsidP="004B74C4">
            <w:pPr>
              <w:jc w:val="center"/>
              <w:rPr>
                <w:rFonts w:eastAsia="Calibri"/>
                <w:sz w:val="20"/>
                <w:szCs w:val="20"/>
              </w:rPr>
            </w:pPr>
            <w:r w:rsidRPr="008352AD">
              <w:rPr>
                <w:rFonts w:eastAsia="Calibri"/>
                <w:sz w:val="20"/>
                <w:szCs w:val="20"/>
              </w:rPr>
              <w:t>0,25</w:t>
            </w:r>
          </w:p>
        </w:tc>
        <w:tc>
          <w:tcPr>
            <w:tcW w:w="5103" w:type="dxa"/>
          </w:tcPr>
          <w:p w14:paraId="2F975057" w14:textId="77777777" w:rsidR="00684754" w:rsidRPr="008352AD" w:rsidRDefault="00684754" w:rsidP="004B74C4">
            <w:pPr>
              <w:jc w:val="center"/>
              <w:rPr>
                <w:rFonts w:eastAsia="Calibri"/>
                <w:sz w:val="20"/>
                <w:szCs w:val="20"/>
              </w:rPr>
            </w:pPr>
            <w:r w:rsidRPr="008352AD">
              <w:rPr>
                <w:rFonts w:eastAsia="Calibri"/>
                <w:sz w:val="20"/>
                <w:szCs w:val="20"/>
              </w:rPr>
              <w:t>3÷8</w:t>
            </w:r>
          </w:p>
        </w:tc>
      </w:tr>
      <w:tr w:rsidR="00684754" w:rsidRPr="00BE1843" w14:paraId="7FD27AFB" w14:textId="77777777" w:rsidTr="004B74C4">
        <w:tc>
          <w:tcPr>
            <w:tcW w:w="1559" w:type="dxa"/>
          </w:tcPr>
          <w:p w14:paraId="0E183978" w14:textId="77777777" w:rsidR="00684754" w:rsidRPr="008352AD" w:rsidRDefault="00684754" w:rsidP="004B74C4">
            <w:pPr>
              <w:jc w:val="center"/>
              <w:rPr>
                <w:rFonts w:eastAsia="Calibri"/>
                <w:sz w:val="20"/>
                <w:szCs w:val="20"/>
              </w:rPr>
            </w:pPr>
            <w:r w:rsidRPr="008352AD">
              <w:rPr>
                <w:rFonts w:eastAsia="Calibri"/>
                <w:sz w:val="20"/>
                <w:szCs w:val="20"/>
              </w:rPr>
              <w:t>0,50</w:t>
            </w:r>
          </w:p>
        </w:tc>
        <w:tc>
          <w:tcPr>
            <w:tcW w:w="5103" w:type="dxa"/>
          </w:tcPr>
          <w:p w14:paraId="52617501" w14:textId="77777777" w:rsidR="00684754" w:rsidRPr="008352AD" w:rsidRDefault="00684754" w:rsidP="004B74C4">
            <w:pPr>
              <w:jc w:val="center"/>
              <w:rPr>
                <w:rFonts w:eastAsia="Calibri"/>
                <w:sz w:val="20"/>
                <w:szCs w:val="20"/>
              </w:rPr>
            </w:pPr>
            <w:r w:rsidRPr="008352AD">
              <w:rPr>
                <w:rFonts w:eastAsia="Calibri"/>
                <w:sz w:val="20"/>
                <w:szCs w:val="20"/>
              </w:rPr>
              <w:t>7÷20</w:t>
            </w:r>
          </w:p>
        </w:tc>
      </w:tr>
      <w:tr w:rsidR="00684754" w:rsidRPr="00BE1843" w14:paraId="265B40A9" w14:textId="77777777" w:rsidTr="004B74C4">
        <w:tc>
          <w:tcPr>
            <w:tcW w:w="1559" w:type="dxa"/>
          </w:tcPr>
          <w:p w14:paraId="48C4E44C" w14:textId="77777777" w:rsidR="00684754" w:rsidRPr="008352AD" w:rsidRDefault="00684754" w:rsidP="004B74C4">
            <w:pPr>
              <w:jc w:val="center"/>
              <w:rPr>
                <w:rFonts w:eastAsia="Calibri"/>
                <w:sz w:val="20"/>
                <w:szCs w:val="20"/>
              </w:rPr>
            </w:pPr>
            <w:r w:rsidRPr="008352AD">
              <w:rPr>
                <w:rFonts w:eastAsia="Calibri"/>
                <w:sz w:val="20"/>
                <w:szCs w:val="20"/>
              </w:rPr>
              <w:t>1,0</w:t>
            </w:r>
          </w:p>
        </w:tc>
        <w:tc>
          <w:tcPr>
            <w:tcW w:w="5103" w:type="dxa"/>
          </w:tcPr>
          <w:p w14:paraId="44770DDA" w14:textId="77777777" w:rsidR="00684754" w:rsidRPr="008352AD" w:rsidRDefault="00684754" w:rsidP="004B74C4">
            <w:pPr>
              <w:jc w:val="center"/>
              <w:rPr>
                <w:rFonts w:eastAsia="Calibri"/>
                <w:sz w:val="20"/>
                <w:szCs w:val="20"/>
              </w:rPr>
            </w:pPr>
            <w:r w:rsidRPr="008352AD">
              <w:rPr>
                <w:rFonts w:eastAsia="Calibri"/>
                <w:sz w:val="20"/>
                <w:szCs w:val="20"/>
              </w:rPr>
              <w:t>12÷32</w:t>
            </w:r>
          </w:p>
        </w:tc>
      </w:tr>
      <w:tr w:rsidR="00684754" w:rsidRPr="00BE1843" w14:paraId="5F4670DF" w14:textId="77777777" w:rsidTr="004B74C4">
        <w:tc>
          <w:tcPr>
            <w:tcW w:w="1559" w:type="dxa"/>
          </w:tcPr>
          <w:p w14:paraId="15CC4C6B" w14:textId="77777777" w:rsidR="00684754" w:rsidRPr="008352AD" w:rsidRDefault="00684754" w:rsidP="004B74C4">
            <w:pPr>
              <w:jc w:val="center"/>
              <w:rPr>
                <w:rFonts w:eastAsia="Calibri"/>
                <w:sz w:val="20"/>
                <w:szCs w:val="20"/>
              </w:rPr>
            </w:pPr>
            <w:r w:rsidRPr="008352AD">
              <w:rPr>
                <w:rFonts w:eastAsia="Calibri"/>
                <w:sz w:val="20"/>
                <w:szCs w:val="20"/>
              </w:rPr>
              <w:t>2,0</w:t>
            </w:r>
          </w:p>
        </w:tc>
        <w:tc>
          <w:tcPr>
            <w:tcW w:w="5103" w:type="dxa"/>
          </w:tcPr>
          <w:p w14:paraId="599C611D" w14:textId="77777777" w:rsidR="00684754" w:rsidRPr="008352AD" w:rsidRDefault="00684754" w:rsidP="004B74C4">
            <w:pPr>
              <w:jc w:val="center"/>
              <w:rPr>
                <w:rFonts w:eastAsia="Calibri"/>
                <w:sz w:val="20"/>
                <w:szCs w:val="20"/>
              </w:rPr>
            </w:pPr>
            <w:r w:rsidRPr="008352AD">
              <w:rPr>
                <w:rFonts w:eastAsia="Calibri"/>
                <w:sz w:val="20"/>
                <w:szCs w:val="20"/>
              </w:rPr>
              <w:t>21÷42</w:t>
            </w:r>
          </w:p>
        </w:tc>
      </w:tr>
      <w:tr w:rsidR="00684754" w:rsidRPr="00BE1843" w14:paraId="47A6AC88" w14:textId="77777777" w:rsidTr="004B74C4">
        <w:tc>
          <w:tcPr>
            <w:tcW w:w="1559" w:type="dxa"/>
          </w:tcPr>
          <w:p w14:paraId="2C6504F6" w14:textId="77777777" w:rsidR="00684754" w:rsidRPr="008352AD" w:rsidRDefault="00684754" w:rsidP="004B74C4">
            <w:pPr>
              <w:jc w:val="center"/>
              <w:rPr>
                <w:rFonts w:eastAsia="Calibri"/>
                <w:sz w:val="20"/>
                <w:szCs w:val="20"/>
              </w:rPr>
            </w:pPr>
            <w:r w:rsidRPr="008352AD">
              <w:rPr>
                <w:rFonts w:eastAsia="Calibri"/>
                <w:sz w:val="20"/>
                <w:szCs w:val="20"/>
              </w:rPr>
              <w:t>4,0</w:t>
            </w:r>
          </w:p>
        </w:tc>
        <w:tc>
          <w:tcPr>
            <w:tcW w:w="5103" w:type="dxa"/>
          </w:tcPr>
          <w:p w14:paraId="3A7C2510" w14:textId="77777777" w:rsidR="00684754" w:rsidRPr="008352AD" w:rsidRDefault="00684754" w:rsidP="004B74C4">
            <w:pPr>
              <w:jc w:val="center"/>
              <w:rPr>
                <w:rFonts w:eastAsia="Calibri"/>
                <w:sz w:val="20"/>
                <w:szCs w:val="20"/>
              </w:rPr>
            </w:pPr>
            <w:r w:rsidRPr="008352AD">
              <w:rPr>
                <w:rFonts w:eastAsia="Calibri"/>
                <w:sz w:val="20"/>
                <w:szCs w:val="20"/>
              </w:rPr>
              <w:t>35÷56</w:t>
            </w:r>
          </w:p>
        </w:tc>
      </w:tr>
      <w:tr w:rsidR="00684754" w:rsidRPr="00BE1843" w14:paraId="2EB0EBB6" w14:textId="77777777" w:rsidTr="004B74C4">
        <w:tc>
          <w:tcPr>
            <w:tcW w:w="1559" w:type="dxa"/>
          </w:tcPr>
          <w:p w14:paraId="6035AF73" w14:textId="77777777" w:rsidR="00684754" w:rsidRPr="008352AD" w:rsidRDefault="00684754" w:rsidP="004B74C4">
            <w:pPr>
              <w:jc w:val="center"/>
              <w:rPr>
                <w:rFonts w:eastAsia="Calibri"/>
                <w:sz w:val="20"/>
                <w:szCs w:val="20"/>
              </w:rPr>
            </w:pPr>
            <w:r w:rsidRPr="008352AD">
              <w:rPr>
                <w:rFonts w:eastAsia="Calibri"/>
                <w:sz w:val="20"/>
                <w:szCs w:val="20"/>
              </w:rPr>
              <w:t>8,0</w:t>
            </w:r>
          </w:p>
        </w:tc>
        <w:tc>
          <w:tcPr>
            <w:tcW w:w="5103" w:type="dxa"/>
          </w:tcPr>
          <w:p w14:paraId="0698CB03" w14:textId="77777777" w:rsidR="00684754" w:rsidRPr="008352AD" w:rsidRDefault="00684754" w:rsidP="004B74C4">
            <w:pPr>
              <w:jc w:val="center"/>
              <w:rPr>
                <w:rFonts w:eastAsia="Calibri"/>
                <w:sz w:val="20"/>
                <w:szCs w:val="20"/>
              </w:rPr>
            </w:pPr>
            <w:r w:rsidRPr="008352AD">
              <w:rPr>
                <w:rFonts w:eastAsia="Calibri"/>
                <w:sz w:val="20"/>
                <w:szCs w:val="20"/>
              </w:rPr>
              <w:t>60÷76</w:t>
            </w:r>
          </w:p>
        </w:tc>
      </w:tr>
      <w:tr w:rsidR="00684754" w:rsidRPr="00BE1843" w14:paraId="03EFB010" w14:textId="77777777" w:rsidTr="004B74C4">
        <w:tc>
          <w:tcPr>
            <w:tcW w:w="1559" w:type="dxa"/>
          </w:tcPr>
          <w:p w14:paraId="544F72BE" w14:textId="77777777" w:rsidR="00684754" w:rsidRPr="008352AD" w:rsidRDefault="00684754" w:rsidP="004B74C4">
            <w:pPr>
              <w:jc w:val="center"/>
              <w:rPr>
                <w:rFonts w:eastAsia="Calibri"/>
                <w:sz w:val="20"/>
                <w:szCs w:val="20"/>
              </w:rPr>
            </w:pPr>
            <w:r w:rsidRPr="008352AD">
              <w:rPr>
                <w:rFonts w:eastAsia="Calibri"/>
                <w:sz w:val="20"/>
                <w:szCs w:val="20"/>
              </w:rPr>
              <w:t>16,0</w:t>
            </w:r>
          </w:p>
        </w:tc>
        <w:tc>
          <w:tcPr>
            <w:tcW w:w="5103" w:type="dxa"/>
          </w:tcPr>
          <w:p w14:paraId="06F1C3C2" w14:textId="77777777" w:rsidR="00684754" w:rsidRPr="008352AD" w:rsidRDefault="00684754" w:rsidP="004B74C4">
            <w:pPr>
              <w:jc w:val="center"/>
              <w:rPr>
                <w:rFonts w:eastAsia="Calibri"/>
                <w:sz w:val="20"/>
                <w:szCs w:val="20"/>
              </w:rPr>
            </w:pPr>
            <w:r w:rsidRPr="008352AD">
              <w:rPr>
                <w:rFonts w:eastAsia="Calibri"/>
                <w:sz w:val="20"/>
                <w:szCs w:val="20"/>
              </w:rPr>
              <w:t>100</w:t>
            </w:r>
          </w:p>
        </w:tc>
      </w:tr>
      <w:tr w:rsidR="00684754" w:rsidRPr="00BE1843" w14:paraId="3299D013" w14:textId="77777777" w:rsidTr="004B74C4">
        <w:tc>
          <w:tcPr>
            <w:tcW w:w="1559" w:type="dxa"/>
          </w:tcPr>
          <w:p w14:paraId="1D420D56" w14:textId="77777777" w:rsidR="00684754" w:rsidRPr="008352AD" w:rsidRDefault="00684754" w:rsidP="004B74C4">
            <w:pPr>
              <w:jc w:val="center"/>
              <w:rPr>
                <w:rFonts w:eastAsia="Calibri"/>
                <w:sz w:val="20"/>
                <w:szCs w:val="20"/>
              </w:rPr>
            </w:pPr>
            <w:r w:rsidRPr="008352AD">
              <w:rPr>
                <w:rFonts w:eastAsia="Calibri"/>
                <w:sz w:val="20"/>
                <w:szCs w:val="20"/>
              </w:rPr>
              <w:t>22,4</w:t>
            </w:r>
          </w:p>
        </w:tc>
        <w:tc>
          <w:tcPr>
            <w:tcW w:w="5103" w:type="dxa"/>
          </w:tcPr>
          <w:p w14:paraId="0A066693" w14:textId="77777777" w:rsidR="00684754" w:rsidRPr="008352AD" w:rsidRDefault="00684754" w:rsidP="004B74C4">
            <w:pPr>
              <w:jc w:val="center"/>
              <w:rPr>
                <w:rFonts w:eastAsia="Calibri"/>
                <w:sz w:val="20"/>
                <w:szCs w:val="20"/>
              </w:rPr>
            </w:pPr>
            <w:r w:rsidRPr="008352AD"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684754" w:rsidRPr="00BE1843" w14:paraId="522F0376" w14:textId="77777777" w:rsidTr="004B74C4">
        <w:tc>
          <w:tcPr>
            <w:tcW w:w="1559" w:type="dxa"/>
          </w:tcPr>
          <w:p w14:paraId="51D024FE" w14:textId="77777777" w:rsidR="00684754" w:rsidRPr="008352AD" w:rsidRDefault="00684754" w:rsidP="004B74C4">
            <w:pPr>
              <w:jc w:val="center"/>
              <w:rPr>
                <w:rFonts w:eastAsia="Calibri"/>
                <w:sz w:val="20"/>
                <w:szCs w:val="20"/>
              </w:rPr>
            </w:pPr>
            <w:r w:rsidRPr="008352AD">
              <w:rPr>
                <w:rFonts w:eastAsia="Calibri"/>
                <w:sz w:val="20"/>
                <w:szCs w:val="20"/>
              </w:rPr>
              <w:t>31,5</w:t>
            </w:r>
          </w:p>
        </w:tc>
        <w:tc>
          <w:tcPr>
            <w:tcW w:w="5103" w:type="dxa"/>
          </w:tcPr>
          <w:p w14:paraId="3928180A" w14:textId="77777777" w:rsidR="00684754" w:rsidRPr="008352AD" w:rsidRDefault="00684754" w:rsidP="004B74C4">
            <w:pPr>
              <w:jc w:val="center"/>
              <w:rPr>
                <w:rFonts w:eastAsia="Calibri"/>
                <w:sz w:val="20"/>
                <w:szCs w:val="20"/>
              </w:rPr>
            </w:pPr>
            <w:r w:rsidRPr="008352AD">
              <w:rPr>
                <w:rFonts w:eastAsia="Calibri"/>
                <w:sz w:val="20"/>
                <w:szCs w:val="20"/>
              </w:rPr>
              <w:t>-</w:t>
            </w:r>
          </w:p>
        </w:tc>
      </w:tr>
    </w:tbl>
    <w:p w14:paraId="70A498CF" w14:textId="77777777" w:rsidR="00684754" w:rsidRPr="008352AD" w:rsidRDefault="00684754" w:rsidP="008352AD">
      <w:pPr>
        <w:pStyle w:val="Akapitzlist"/>
        <w:numPr>
          <w:ilvl w:val="0"/>
          <w:numId w:val="27"/>
        </w:numPr>
        <w:overflowPunct w:val="0"/>
        <w:adjustRightInd w:val="0"/>
        <w:ind w:left="284" w:right="629" w:firstLine="0"/>
        <w:contextualSpacing/>
        <w:textAlignment w:val="baseline"/>
        <w:rPr>
          <w:sz w:val="20"/>
          <w:szCs w:val="20"/>
        </w:rPr>
      </w:pPr>
      <w:r w:rsidRPr="008352AD">
        <w:rPr>
          <w:sz w:val="20"/>
          <w:szCs w:val="20"/>
        </w:rPr>
        <w:t>zawartość piasku w stosie okruchowym powinna być jak najmniejsza i jednocześnie zapewniać niezbędną urabialność przy zagęszczeniu przez wibrowanie oraz nie powinna być większa niż  42% - przy kruszywie grubym do 16mm,</w:t>
      </w:r>
    </w:p>
    <w:p w14:paraId="75874052" w14:textId="5280C8C9" w:rsidR="00684754" w:rsidRDefault="00684754" w:rsidP="008352AD">
      <w:pPr>
        <w:pStyle w:val="Akapitzlist"/>
        <w:numPr>
          <w:ilvl w:val="0"/>
          <w:numId w:val="27"/>
        </w:numPr>
        <w:overflowPunct w:val="0"/>
        <w:adjustRightInd w:val="0"/>
        <w:spacing w:before="0"/>
        <w:ind w:left="284" w:right="629" w:firstLine="0"/>
        <w:contextualSpacing/>
        <w:textAlignment w:val="baseline"/>
        <w:rPr>
          <w:sz w:val="20"/>
          <w:szCs w:val="20"/>
        </w:rPr>
      </w:pPr>
      <w:r w:rsidRPr="008352AD">
        <w:rPr>
          <w:sz w:val="20"/>
          <w:szCs w:val="20"/>
        </w:rPr>
        <w:t>zawartość powietrza bad</w:t>
      </w:r>
      <w:r w:rsidR="008352AD">
        <w:rPr>
          <w:sz w:val="20"/>
          <w:szCs w:val="20"/>
        </w:rPr>
        <w:t>ana zgodnie z PN-EN 12350-7</w:t>
      </w:r>
      <w:r w:rsidRPr="008352AD">
        <w:rPr>
          <w:sz w:val="20"/>
          <w:szCs w:val="20"/>
        </w:rPr>
        <w:t xml:space="preserve"> w mieszance betonowej z kruszywem do 16,0 mm powinna mieścić się w granicach 4,5÷6,5 % z tolerancją -0,5 do +1,0%.</w:t>
      </w:r>
    </w:p>
    <w:p w14:paraId="17225942" w14:textId="77777777" w:rsidR="008352AD" w:rsidRPr="008352AD" w:rsidRDefault="008352AD" w:rsidP="008352AD">
      <w:pPr>
        <w:overflowPunct w:val="0"/>
        <w:adjustRightInd w:val="0"/>
        <w:ind w:left="284" w:right="629"/>
        <w:contextualSpacing/>
        <w:textAlignment w:val="baseline"/>
        <w:rPr>
          <w:sz w:val="20"/>
          <w:szCs w:val="20"/>
        </w:rPr>
      </w:pPr>
    </w:p>
    <w:p w14:paraId="60BB8532" w14:textId="19ABE8D2" w:rsidR="00684754" w:rsidRPr="008352AD" w:rsidRDefault="00684754" w:rsidP="008352AD">
      <w:pPr>
        <w:pStyle w:val="Nagwek2"/>
        <w:tabs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r w:rsidRPr="008352AD">
        <w:rPr>
          <w:rFonts w:ascii="Verdana" w:hAnsi="Verdana"/>
          <w:b/>
          <w:color w:val="auto"/>
          <w:sz w:val="20"/>
          <w:szCs w:val="20"/>
        </w:rPr>
        <w:t xml:space="preserve">2.5.  </w:t>
      </w:r>
      <w:r w:rsidR="008352AD">
        <w:rPr>
          <w:rFonts w:ascii="Verdana" w:hAnsi="Verdana"/>
          <w:b/>
          <w:color w:val="auto"/>
          <w:sz w:val="20"/>
          <w:szCs w:val="20"/>
        </w:rPr>
        <w:tab/>
      </w:r>
      <w:r w:rsidRPr="008352AD">
        <w:rPr>
          <w:rFonts w:ascii="Verdana" w:hAnsi="Verdana"/>
          <w:b/>
          <w:color w:val="auto"/>
          <w:sz w:val="20"/>
          <w:szCs w:val="20"/>
        </w:rPr>
        <w:t>Stal zbrojeniowa i do wykonania haków montażowych</w:t>
      </w:r>
    </w:p>
    <w:p w14:paraId="14F1AF4D" w14:textId="31A3AFD8" w:rsidR="00684754" w:rsidRPr="008352AD" w:rsidRDefault="00684754" w:rsidP="008352AD">
      <w:pPr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 xml:space="preserve">Do zbrojenia prefabrykatów należy stosować stal  </w:t>
      </w:r>
      <w:proofErr w:type="spellStart"/>
      <w:r w:rsidRPr="008352AD">
        <w:rPr>
          <w:sz w:val="20"/>
          <w:szCs w:val="20"/>
        </w:rPr>
        <w:t>spajalną</w:t>
      </w:r>
      <w:proofErr w:type="spellEnd"/>
      <w:r w:rsidRPr="008352AD">
        <w:rPr>
          <w:sz w:val="20"/>
          <w:szCs w:val="20"/>
        </w:rPr>
        <w:t>, zgodną z  normą PN-EN 10080.</w:t>
      </w:r>
    </w:p>
    <w:p w14:paraId="16DED22D" w14:textId="171EF16E" w:rsidR="00684754" w:rsidRPr="008352AD" w:rsidRDefault="00684754" w:rsidP="008352AD">
      <w:pPr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>Zastosowana stal konstrukcyjna powinna – c</w:t>
      </w:r>
      <w:r w:rsidR="008352AD">
        <w:rPr>
          <w:sz w:val="20"/>
          <w:szCs w:val="20"/>
        </w:rPr>
        <w:t xml:space="preserve">harakteryzować się  parametrami </w:t>
      </w:r>
      <w:r w:rsidRPr="008352AD">
        <w:rPr>
          <w:sz w:val="20"/>
          <w:szCs w:val="20"/>
        </w:rPr>
        <w:t xml:space="preserve">wytrzymałościowymi  jak dla stali klasy A-IIIN wg PN-S-10042 </w:t>
      </w:r>
      <w:r w:rsidR="008352AD">
        <w:rPr>
          <w:sz w:val="20"/>
          <w:szCs w:val="20"/>
        </w:rPr>
        <w:t>o</w:t>
      </w:r>
      <w:r w:rsidRPr="008352AD">
        <w:rPr>
          <w:sz w:val="20"/>
          <w:szCs w:val="20"/>
        </w:rPr>
        <w:t>raz spawalnością klasy co najmniej „B” wg PN-EN 1992-1-1.</w:t>
      </w:r>
    </w:p>
    <w:p w14:paraId="7D31BA79" w14:textId="3FE03371" w:rsidR="00684754" w:rsidRDefault="00684754" w:rsidP="008352AD">
      <w:pPr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 xml:space="preserve">Do wykonania haków montażowych można stosować stalowe stal zbrojeniową </w:t>
      </w:r>
      <w:proofErr w:type="spellStart"/>
      <w:r w:rsidRPr="008352AD">
        <w:rPr>
          <w:sz w:val="20"/>
          <w:szCs w:val="20"/>
        </w:rPr>
        <w:t>j.w</w:t>
      </w:r>
      <w:proofErr w:type="spellEnd"/>
      <w:r w:rsidRPr="008352AD">
        <w:rPr>
          <w:sz w:val="20"/>
          <w:szCs w:val="20"/>
        </w:rPr>
        <w:t xml:space="preserve">. lub stal </w:t>
      </w:r>
      <w:r w:rsidRPr="008352AD">
        <w:rPr>
          <w:sz w:val="20"/>
          <w:szCs w:val="20"/>
        </w:rPr>
        <w:lastRenderedPageBreak/>
        <w:t>kształtową wg PN-EN 10025-1.</w:t>
      </w:r>
    </w:p>
    <w:p w14:paraId="1920C4FB" w14:textId="77777777" w:rsidR="008352AD" w:rsidRPr="008352AD" w:rsidRDefault="008352AD" w:rsidP="008352AD">
      <w:pPr>
        <w:ind w:left="284" w:right="629"/>
        <w:jc w:val="both"/>
        <w:rPr>
          <w:sz w:val="20"/>
          <w:szCs w:val="20"/>
        </w:rPr>
      </w:pPr>
    </w:p>
    <w:p w14:paraId="77CBA1A6" w14:textId="1931979E" w:rsidR="00684754" w:rsidRPr="008352AD" w:rsidRDefault="00684754" w:rsidP="008352AD">
      <w:pPr>
        <w:pStyle w:val="Nagwek1"/>
        <w:spacing w:after="240"/>
      </w:pPr>
      <w:r w:rsidRPr="008352AD">
        <w:t xml:space="preserve">2.6. </w:t>
      </w:r>
      <w:r w:rsidR="008352AD">
        <w:tab/>
      </w:r>
      <w:r w:rsidRPr="008352AD">
        <w:t>System izolacyjny</w:t>
      </w:r>
    </w:p>
    <w:p w14:paraId="5A055A82" w14:textId="77777777" w:rsidR="00684754" w:rsidRPr="008352AD" w:rsidRDefault="00684754" w:rsidP="008352AD">
      <w:pPr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>Na powierzchnie prefabrykatów stykające się z gruntem można stosować system izolacyjny aplikowany na zimno, na bazie asfaltów modyfikowanych. Można stosować produkty bezrozpuszczalnikowe lub zawierające rozpuszczalnik. Rodzaj materiału do izolacji przeciwwilgociowej powinien zostać określony w dokumentacji projektowej lub w projekcie technologicznym Wykonawcy, w zależności od warunków w jakich będą wykonywane roboty izolacyjne (rodzaj materiału jest zdeterminowany m.in. wiekiem podłoża betonowego, na który produkt będzie aplikowany). Zaleca się stosowanie materiału nakładanego co najmniej w 3 warstwach – gruntującej i dwóch właściwych.</w:t>
      </w:r>
    </w:p>
    <w:p w14:paraId="1A6E1B26" w14:textId="77777777" w:rsidR="00684754" w:rsidRPr="008352AD" w:rsidRDefault="00684754" w:rsidP="008352AD">
      <w:pPr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 xml:space="preserve">Materiał </w:t>
      </w:r>
      <w:proofErr w:type="spellStart"/>
      <w:r w:rsidRPr="008352AD">
        <w:rPr>
          <w:sz w:val="20"/>
          <w:szCs w:val="20"/>
        </w:rPr>
        <w:t>hydroizolacyjny</w:t>
      </w:r>
      <w:proofErr w:type="spellEnd"/>
      <w:r w:rsidRPr="008352AD">
        <w:rPr>
          <w:sz w:val="20"/>
          <w:szCs w:val="20"/>
        </w:rPr>
        <w:t xml:space="preserve"> należy przygotować do aplikacji zgodnie z instrukcją producenta W okresie chłodów materiały te doprowadza się do temperatury roboczej np. przez ogrzewanie beczek w gorącej wodzie lub w ogrzanych pomieszczeniach (cieplakach). </w:t>
      </w:r>
    </w:p>
    <w:p w14:paraId="0D144631" w14:textId="77777777" w:rsidR="00684754" w:rsidRDefault="00684754" w:rsidP="008352AD">
      <w:pPr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 xml:space="preserve">Dla zastosowanego materiału Wykonawca powinien przedstawić deklarację właściwości użytkowych, w której producent deklaruje, że produkt ten przeznaczony jest do wykonywania elastycznych, </w:t>
      </w:r>
      <w:proofErr w:type="spellStart"/>
      <w:r w:rsidRPr="008352AD">
        <w:rPr>
          <w:sz w:val="20"/>
          <w:szCs w:val="20"/>
        </w:rPr>
        <w:t>bezspoinowych</w:t>
      </w:r>
      <w:proofErr w:type="spellEnd"/>
      <w:r w:rsidRPr="008352AD">
        <w:rPr>
          <w:sz w:val="20"/>
          <w:szCs w:val="20"/>
        </w:rPr>
        <w:t xml:space="preserve"> hydroizolacji na podłożach mineralnych w strefie kontaktu z gruntem.   </w:t>
      </w:r>
    </w:p>
    <w:p w14:paraId="2E90E0AA" w14:textId="77777777" w:rsidR="008352AD" w:rsidRPr="008352AD" w:rsidRDefault="008352AD" w:rsidP="008352AD">
      <w:pPr>
        <w:ind w:left="284" w:right="629"/>
        <w:jc w:val="both"/>
        <w:rPr>
          <w:sz w:val="20"/>
          <w:szCs w:val="20"/>
        </w:rPr>
      </w:pPr>
    </w:p>
    <w:p w14:paraId="5DD580EB" w14:textId="07079DB9" w:rsidR="00684754" w:rsidRPr="008352AD" w:rsidRDefault="00684754" w:rsidP="008352AD">
      <w:pPr>
        <w:pStyle w:val="Nagwek1"/>
        <w:spacing w:after="240"/>
      </w:pPr>
      <w:r w:rsidRPr="008352AD">
        <w:t xml:space="preserve">2.7. </w:t>
      </w:r>
      <w:r w:rsidR="008352AD">
        <w:tab/>
      </w:r>
      <w:r w:rsidRPr="008352AD">
        <w:t>System antykorozyjny</w:t>
      </w:r>
    </w:p>
    <w:p w14:paraId="62BF9D46" w14:textId="77777777" w:rsidR="00684754" w:rsidRPr="008352AD" w:rsidRDefault="00684754" w:rsidP="008352AD">
      <w:pPr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>Jeżeli dokumentacja projektowa tak przewiduje na podwalinie żelbetowej pod ekran należy zastosować ochronę antykorozyjną. Jako ochronę antykorozyjną powierzchni betonowych można stosować impregnację hydrofobową, impregnację wypełniająca pory, powłoki lub wyprawy antykorozyjne.</w:t>
      </w:r>
    </w:p>
    <w:p w14:paraId="6C016177" w14:textId="77777777" w:rsidR="00684754" w:rsidRPr="008352AD" w:rsidRDefault="00684754" w:rsidP="008352AD">
      <w:pPr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>Wybór rodzaju ochrony antykorozyjnej powinien zostać określony w dokumentacji projektowej w zależności od agresywności środowiska, w którym będą zlokalizowane ekrany, od odległości od pasa drogowego, stopnia narażenia na środki odladzające i inne agresywne substancje związane z ruchem drogowym, narażenia konstrukcji na dużą wilgotność i niskie temperatury, możliwość mechanicznego uszkodzenia powłoki przez uderzenie pojazdu lub urządzenia do odśnieżania (w przypadku szczególnych warunków eksploatacji można stosować powłoki specjalne o właściwościach adekwatnych do tych warunków i zadeklarowanych przez producenta) oraz od wymagań estetycznych, np. zdolności powłoki do pokrywania rys (powłoki elastyczne), czy uzyskania powierzchni o naturalnej strukturze i kolorze betonu (</w:t>
      </w:r>
      <w:proofErr w:type="spellStart"/>
      <w:r w:rsidRPr="008352AD">
        <w:rPr>
          <w:sz w:val="20"/>
          <w:szCs w:val="20"/>
        </w:rPr>
        <w:t>hydrofobizacja</w:t>
      </w:r>
      <w:proofErr w:type="spellEnd"/>
      <w:r w:rsidRPr="008352AD">
        <w:rPr>
          <w:sz w:val="20"/>
          <w:szCs w:val="20"/>
        </w:rPr>
        <w:t>). Przy wyborze materiału do ochrony antykorozyjnej można kierować się wskazówkami podanymi w tabeli 4.</w:t>
      </w:r>
    </w:p>
    <w:p w14:paraId="0C0506AC" w14:textId="77777777" w:rsidR="00684754" w:rsidRPr="008352AD" w:rsidRDefault="00684754" w:rsidP="008352AD">
      <w:pPr>
        <w:pStyle w:val="Legenda"/>
        <w:ind w:left="284" w:right="629"/>
        <w:rPr>
          <w:rFonts w:ascii="Verdana" w:hAnsi="Verdana"/>
          <w:sz w:val="20"/>
        </w:rPr>
      </w:pPr>
      <w:r w:rsidRPr="008352AD">
        <w:rPr>
          <w:rFonts w:ascii="Verdana" w:hAnsi="Verdana"/>
          <w:sz w:val="20"/>
        </w:rPr>
        <w:t>Tabela 4.</w:t>
      </w:r>
      <w:r w:rsidRPr="008352AD">
        <w:rPr>
          <w:rFonts w:ascii="Verdana" w:hAnsi="Verdana"/>
          <w:sz w:val="20"/>
        </w:rPr>
        <w:tab/>
      </w:r>
      <w:bookmarkStart w:id="26" w:name="_Toc35163197"/>
      <w:bookmarkStart w:id="27" w:name="_Toc35163362"/>
      <w:bookmarkStart w:id="28" w:name="_Toc35164001"/>
      <w:r w:rsidRPr="008352AD">
        <w:rPr>
          <w:rFonts w:ascii="Verdana" w:hAnsi="Verdana"/>
          <w:sz w:val="20"/>
        </w:rPr>
        <w:t>Wpływ poszczególnych rodzajów ochrony powierzchniowej na poprawę cech fizycznych i odporności chemicznej betonu</w:t>
      </w:r>
      <w:bookmarkEnd w:id="26"/>
      <w:bookmarkEnd w:id="27"/>
      <w:bookmarkEnd w:id="28"/>
    </w:p>
    <w:tbl>
      <w:tblPr>
        <w:tblW w:w="918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418"/>
        <w:gridCol w:w="1276"/>
        <w:gridCol w:w="1134"/>
        <w:gridCol w:w="1134"/>
        <w:gridCol w:w="1275"/>
        <w:gridCol w:w="1134"/>
      </w:tblGrid>
      <w:tr w:rsidR="00684754" w:rsidRPr="00CE3912" w14:paraId="531764E4" w14:textId="77777777" w:rsidTr="008352AD">
        <w:trPr>
          <w:tblHeader/>
        </w:trPr>
        <w:tc>
          <w:tcPr>
            <w:tcW w:w="1809" w:type="dxa"/>
            <w:vMerge w:val="restart"/>
            <w:vAlign w:val="center"/>
          </w:tcPr>
          <w:p w14:paraId="37DDB273" w14:textId="77777777" w:rsidR="00684754" w:rsidRPr="008352AD" w:rsidRDefault="00684754" w:rsidP="004B74C4">
            <w:pPr>
              <w:spacing w:before="120" w:after="120"/>
              <w:jc w:val="center"/>
              <w:rPr>
                <w:sz w:val="16"/>
                <w:szCs w:val="16"/>
              </w:rPr>
            </w:pPr>
          </w:p>
          <w:p w14:paraId="4F13C7EF" w14:textId="77777777" w:rsidR="00684754" w:rsidRPr="008352AD" w:rsidRDefault="00684754" w:rsidP="004B74C4">
            <w:pPr>
              <w:jc w:val="center"/>
              <w:rPr>
                <w:sz w:val="16"/>
                <w:szCs w:val="16"/>
              </w:rPr>
            </w:pPr>
            <w:r w:rsidRPr="008352AD">
              <w:rPr>
                <w:sz w:val="16"/>
                <w:szCs w:val="16"/>
              </w:rPr>
              <w:t>Sposób oddziaływania</w:t>
            </w:r>
          </w:p>
          <w:p w14:paraId="44E9F3B7" w14:textId="77777777" w:rsidR="00684754" w:rsidRPr="008352AD" w:rsidRDefault="00684754" w:rsidP="004B74C4">
            <w:pPr>
              <w:jc w:val="center"/>
              <w:rPr>
                <w:sz w:val="16"/>
                <w:szCs w:val="16"/>
              </w:rPr>
            </w:pPr>
            <w:r w:rsidRPr="008352AD">
              <w:rPr>
                <w:sz w:val="16"/>
                <w:szCs w:val="16"/>
              </w:rPr>
              <w:t>na beton</w:t>
            </w:r>
          </w:p>
        </w:tc>
        <w:tc>
          <w:tcPr>
            <w:tcW w:w="1418" w:type="dxa"/>
            <w:vMerge w:val="restart"/>
            <w:vAlign w:val="center"/>
          </w:tcPr>
          <w:p w14:paraId="5E378FCA" w14:textId="77777777" w:rsidR="00684754" w:rsidRPr="008352AD" w:rsidRDefault="00684754" w:rsidP="004B74C4">
            <w:pPr>
              <w:jc w:val="center"/>
              <w:rPr>
                <w:sz w:val="16"/>
                <w:szCs w:val="16"/>
              </w:rPr>
            </w:pPr>
            <w:r w:rsidRPr="008352AD">
              <w:rPr>
                <w:sz w:val="16"/>
                <w:szCs w:val="16"/>
              </w:rPr>
              <w:t xml:space="preserve">Impregnacja za pomocą impregnatów </w:t>
            </w:r>
            <w:proofErr w:type="spellStart"/>
            <w:r w:rsidRPr="008352AD">
              <w:rPr>
                <w:sz w:val="16"/>
                <w:szCs w:val="16"/>
              </w:rPr>
              <w:t>hydrofobo-wych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14:paraId="14943032" w14:textId="1F892595" w:rsidR="00684754" w:rsidRPr="008352AD" w:rsidRDefault="00684754" w:rsidP="008352AD">
            <w:pPr>
              <w:jc w:val="center"/>
              <w:rPr>
                <w:sz w:val="16"/>
                <w:szCs w:val="16"/>
              </w:rPr>
            </w:pPr>
            <w:r w:rsidRPr="008352AD">
              <w:rPr>
                <w:sz w:val="16"/>
                <w:szCs w:val="16"/>
              </w:rPr>
              <w:t xml:space="preserve">Impregnacja za pomocą impregnatów </w:t>
            </w:r>
            <w:r w:rsidR="008352AD">
              <w:rPr>
                <w:sz w:val="16"/>
                <w:szCs w:val="16"/>
              </w:rPr>
              <w:t>w</w:t>
            </w:r>
            <w:r w:rsidRPr="008352AD">
              <w:rPr>
                <w:sz w:val="16"/>
                <w:szCs w:val="16"/>
              </w:rPr>
              <w:t>ypełniają-</w:t>
            </w:r>
            <w:proofErr w:type="spellStart"/>
            <w:r w:rsidRPr="008352AD">
              <w:rPr>
                <w:sz w:val="16"/>
                <w:szCs w:val="16"/>
              </w:rPr>
              <w:t>cych</w:t>
            </w:r>
            <w:proofErr w:type="spellEnd"/>
            <w:r w:rsidRPr="008352AD">
              <w:rPr>
                <w:sz w:val="16"/>
                <w:szCs w:val="16"/>
              </w:rPr>
              <w:t xml:space="preserve"> pory</w:t>
            </w:r>
          </w:p>
        </w:tc>
        <w:tc>
          <w:tcPr>
            <w:tcW w:w="4677" w:type="dxa"/>
            <w:gridSpan w:val="4"/>
            <w:vAlign w:val="center"/>
          </w:tcPr>
          <w:p w14:paraId="1409B2A7" w14:textId="77777777" w:rsidR="00684754" w:rsidRPr="008352AD" w:rsidRDefault="00684754" w:rsidP="004B74C4">
            <w:pPr>
              <w:jc w:val="center"/>
              <w:rPr>
                <w:sz w:val="16"/>
                <w:szCs w:val="16"/>
              </w:rPr>
            </w:pPr>
            <w:r w:rsidRPr="008352AD">
              <w:rPr>
                <w:sz w:val="16"/>
                <w:szCs w:val="16"/>
              </w:rPr>
              <w:t>Powłoki ochronne, wyprawy ochronne</w:t>
            </w:r>
          </w:p>
        </w:tc>
      </w:tr>
      <w:tr w:rsidR="00684754" w:rsidRPr="00CE3912" w14:paraId="2BBDF1AC" w14:textId="77777777" w:rsidTr="008352AD">
        <w:trPr>
          <w:tblHeader/>
        </w:trPr>
        <w:tc>
          <w:tcPr>
            <w:tcW w:w="1809" w:type="dxa"/>
            <w:vMerge/>
            <w:vAlign w:val="center"/>
          </w:tcPr>
          <w:p w14:paraId="43866FD2" w14:textId="77777777" w:rsidR="00684754" w:rsidRPr="008352AD" w:rsidRDefault="00684754" w:rsidP="004B74C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177CA1D6" w14:textId="77777777" w:rsidR="00684754" w:rsidRPr="008352AD" w:rsidRDefault="00684754" w:rsidP="004B74C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23593A5A" w14:textId="77777777" w:rsidR="00684754" w:rsidRPr="008352AD" w:rsidRDefault="00684754" w:rsidP="004B74C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B0AA90B" w14:textId="77777777" w:rsidR="008352AD" w:rsidRDefault="00684754" w:rsidP="004B74C4">
            <w:pPr>
              <w:jc w:val="center"/>
              <w:rPr>
                <w:sz w:val="16"/>
                <w:szCs w:val="16"/>
              </w:rPr>
            </w:pPr>
            <w:r w:rsidRPr="008352AD">
              <w:rPr>
                <w:sz w:val="16"/>
                <w:szCs w:val="16"/>
              </w:rPr>
              <w:t xml:space="preserve">Bez </w:t>
            </w:r>
          </w:p>
          <w:p w14:paraId="44BE2917" w14:textId="4F094647" w:rsidR="008352AD" w:rsidRDefault="008352AD" w:rsidP="004B74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zdolności po</w:t>
            </w:r>
            <w:r w:rsidR="00684754" w:rsidRPr="008352AD">
              <w:rPr>
                <w:sz w:val="16"/>
                <w:szCs w:val="16"/>
              </w:rPr>
              <w:t>krywa</w:t>
            </w:r>
            <w:r>
              <w:rPr>
                <w:sz w:val="16"/>
                <w:szCs w:val="16"/>
              </w:rPr>
              <w:t>-</w:t>
            </w:r>
          </w:p>
          <w:p w14:paraId="31205D99" w14:textId="4E3B2BB9" w:rsidR="00684754" w:rsidRPr="008352AD" w:rsidRDefault="00684754" w:rsidP="004B74C4">
            <w:pPr>
              <w:jc w:val="center"/>
              <w:rPr>
                <w:sz w:val="16"/>
                <w:szCs w:val="16"/>
              </w:rPr>
            </w:pPr>
            <w:proofErr w:type="spellStart"/>
            <w:r w:rsidRPr="008352AD">
              <w:rPr>
                <w:sz w:val="16"/>
                <w:szCs w:val="16"/>
              </w:rPr>
              <w:t>nia</w:t>
            </w:r>
            <w:proofErr w:type="spellEnd"/>
            <w:r w:rsidRPr="008352AD">
              <w:rPr>
                <w:sz w:val="16"/>
                <w:szCs w:val="16"/>
              </w:rPr>
              <w:t xml:space="preserve"> zarysowań</w:t>
            </w:r>
          </w:p>
        </w:tc>
        <w:tc>
          <w:tcPr>
            <w:tcW w:w="1134" w:type="dxa"/>
            <w:vAlign w:val="center"/>
          </w:tcPr>
          <w:p w14:paraId="41B37453" w14:textId="31D9E51D" w:rsidR="00684754" w:rsidRPr="008352AD" w:rsidRDefault="00684754" w:rsidP="004B74C4">
            <w:pPr>
              <w:jc w:val="center"/>
              <w:rPr>
                <w:sz w:val="16"/>
                <w:szCs w:val="16"/>
              </w:rPr>
            </w:pPr>
            <w:r w:rsidRPr="008352AD">
              <w:rPr>
                <w:sz w:val="16"/>
                <w:szCs w:val="16"/>
              </w:rPr>
              <w:t>Z min. Zdolnością pokrywa-</w:t>
            </w:r>
            <w:proofErr w:type="spellStart"/>
            <w:r w:rsidRPr="008352AD">
              <w:rPr>
                <w:sz w:val="16"/>
                <w:szCs w:val="16"/>
              </w:rPr>
              <w:t>nia</w:t>
            </w:r>
            <w:proofErr w:type="spellEnd"/>
            <w:r w:rsidRPr="008352AD">
              <w:rPr>
                <w:sz w:val="16"/>
                <w:szCs w:val="16"/>
              </w:rPr>
              <w:t xml:space="preserve"> zarysowań</w:t>
            </w:r>
          </w:p>
        </w:tc>
        <w:tc>
          <w:tcPr>
            <w:tcW w:w="1275" w:type="dxa"/>
            <w:vAlign w:val="center"/>
          </w:tcPr>
          <w:p w14:paraId="0F3762C7" w14:textId="77777777" w:rsidR="008352AD" w:rsidRDefault="00684754" w:rsidP="004B74C4">
            <w:pPr>
              <w:jc w:val="center"/>
              <w:rPr>
                <w:sz w:val="16"/>
                <w:szCs w:val="16"/>
              </w:rPr>
            </w:pPr>
            <w:r w:rsidRPr="008352AD">
              <w:rPr>
                <w:sz w:val="16"/>
                <w:szCs w:val="16"/>
              </w:rPr>
              <w:t xml:space="preserve">Z </w:t>
            </w:r>
          </w:p>
          <w:p w14:paraId="0D6C76C0" w14:textId="3CA1CB14" w:rsidR="008352AD" w:rsidRDefault="008352AD" w:rsidP="008352AD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Podwyż</w:t>
            </w:r>
            <w:proofErr w:type="spellEnd"/>
          </w:p>
          <w:p w14:paraId="35A2AADB" w14:textId="2532156B" w:rsidR="008352AD" w:rsidRDefault="00684754" w:rsidP="008352AD">
            <w:pPr>
              <w:jc w:val="center"/>
              <w:rPr>
                <w:sz w:val="16"/>
                <w:szCs w:val="16"/>
              </w:rPr>
            </w:pPr>
            <w:proofErr w:type="spellStart"/>
            <w:r w:rsidRPr="008352AD">
              <w:rPr>
                <w:sz w:val="16"/>
                <w:szCs w:val="16"/>
              </w:rPr>
              <w:t>szoną</w:t>
            </w:r>
            <w:proofErr w:type="spellEnd"/>
            <w:r w:rsidRPr="008352AD">
              <w:rPr>
                <w:sz w:val="16"/>
                <w:szCs w:val="16"/>
              </w:rPr>
              <w:t xml:space="preserve"> </w:t>
            </w:r>
          </w:p>
          <w:p w14:paraId="1C826168" w14:textId="68A88CE5" w:rsidR="00684754" w:rsidRPr="008352AD" w:rsidRDefault="008352AD" w:rsidP="008352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zdol</w:t>
            </w:r>
            <w:r w:rsidR="00684754" w:rsidRPr="008352AD">
              <w:rPr>
                <w:sz w:val="16"/>
                <w:szCs w:val="16"/>
              </w:rPr>
              <w:t>nością pokrywania zarysowań</w:t>
            </w:r>
          </w:p>
        </w:tc>
        <w:tc>
          <w:tcPr>
            <w:tcW w:w="1134" w:type="dxa"/>
            <w:vAlign w:val="center"/>
          </w:tcPr>
          <w:p w14:paraId="50DF90AC" w14:textId="77777777" w:rsidR="00684754" w:rsidRPr="008352AD" w:rsidRDefault="00684754" w:rsidP="004B74C4">
            <w:pPr>
              <w:jc w:val="center"/>
              <w:rPr>
                <w:sz w:val="16"/>
                <w:szCs w:val="16"/>
              </w:rPr>
            </w:pPr>
            <w:r w:rsidRPr="008352AD">
              <w:rPr>
                <w:sz w:val="16"/>
                <w:szCs w:val="16"/>
              </w:rPr>
              <w:t>Specjalne</w:t>
            </w:r>
          </w:p>
        </w:tc>
      </w:tr>
      <w:tr w:rsidR="00684754" w:rsidRPr="00CE3912" w14:paraId="03A81923" w14:textId="77777777" w:rsidTr="008352AD">
        <w:tc>
          <w:tcPr>
            <w:tcW w:w="1809" w:type="dxa"/>
          </w:tcPr>
          <w:p w14:paraId="30ED2F7F" w14:textId="1514652A" w:rsidR="00684754" w:rsidRPr="008352AD" w:rsidRDefault="00684754" w:rsidP="004B74C4">
            <w:pPr>
              <w:spacing w:before="120"/>
              <w:rPr>
                <w:sz w:val="20"/>
                <w:szCs w:val="20"/>
              </w:rPr>
            </w:pPr>
            <w:r w:rsidRPr="008352AD">
              <w:rPr>
                <w:sz w:val="20"/>
                <w:szCs w:val="20"/>
              </w:rPr>
              <w:t xml:space="preserve">Wzmocnienie warstwy </w:t>
            </w:r>
            <w:proofErr w:type="spellStart"/>
            <w:r w:rsidRPr="008352AD">
              <w:rPr>
                <w:sz w:val="20"/>
                <w:szCs w:val="20"/>
              </w:rPr>
              <w:t>przypowierz-chniowej</w:t>
            </w:r>
            <w:proofErr w:type="spellEnd"/>
            <w:r w:rsidRPr="008352AD">
              <w:rPr>
                <w:sz w:val="20"/>
                <w:szCs w:val="20"/>
              </w:rPr>
              <w:t xml:space="preserve"> betonu</w:t>
            </w:r>
          </w:p>
        </w:tc>
        <w:tc>
          <w:tcPr>
            <w:tcW w:w="1418" w:type="dxa"/>
            <w:vAlign w:val="center"/>
          </w:tcPr>
          <w:p w14:paraId="1643F714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86A68DF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  <w:r w:rsidRPr="008352AD">
              <w:rPr>
                <w:sz w:val="20"/>
                <w:szCs w:val="20"/>
              </w:rPr>
              <w:t>X</w:t>
            </w:r>
          </w:p>
        </w:tc>
        <w:tc>
          <w:tcPr>
            <w:tcW w:w="1134" w:type="dxa"/>
            <w:vAlign w:val="center"/>
          </w:tcPr>
          <w:p w14:paraId="35460C1A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B4B1A29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6B377321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948A9D4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</w:p>
        </w:tc>
      </w:tr>
      <w:tr w:rsidR="00684754" w:rsidRPr="00CE3912" w14:paraId="62E123E3" w14:textId="77777777" w:rsidTr="008352AD">
        <w:tc>
          <w:tcPr>
            <w:tcW w:w="1809" w:type="dxa"/>
          </w:tcPr>
          <w:p w14:paraId="62D91580" w14:textId="77777777" w:rsidR="00684754" w:rsidRPr="008352AD" w:rsidRDefault="00684754" w:rsidP="004B74C4">
            <w:pPr>
              <w:rPr>
                <w:sz w:val="20"/>
                <w:szCs w:val="20"/>
              </w:rPr>
            </w:pPr>
            <w:r w:rsidRPr="008352AD">
              <w:rPr>
                <w:sz w:val="20"/>
                <w:szCs w:val="20"/>
              </w:rPr>
              <w:t>Ograniczenie chłonności wody</w:t>
            </w:r>
          </w:p>
        </w:tc>
        <w:tc>
          <w:tcPr>
            <w:tcW w:w="1418" w:type="dxa"/>
            <w:vAlign w:val="center"/>
          </w:tcPr>
          <w:p w14:paraId="3D1ABBC6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  <w:r w:rsidRPr="008352AD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vAlign w:val="center"/>
          </w:tcPr>
          <w:p w14:paraId="45A26077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  <w:r w:rsidRPr="008352AD">
              <w:rPr>
                <w:sz w:val="20"/>
                <w:szCs w:val="20"/>
              </w:rPr>
              <w:t>X</w:t>
            </w:r>
          </w:p>
        </w:tc>
        <w:tc>
          <w:tcPr>
            <w:tcW w:w="1134" w:type="dxa"/>
            <w:vAlign w:val="center"/>
          </w:tcPr>
          <w:p w14:paraId="015B7E4A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  <w:r w:rsidRPr="008352AD">
              <w:rPr>
                <w:sz w:val="20"/>
                <w:szCs w:val="20"/>
              </w:rPr>
              <w:t>X</w:t>
            </w:r>
          </w:p>
        </w:tc>
        <w:tc>
          <w:tcPr>
            <w:tcW w:w="1134" w:type="dxa"/>
            <w:vAlign w:val="center"/>
          </w:tcPr>
          <w:p w14:paraId="2E08942E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  <w:r w:rsidRPr="008352AD">
              <w:rPr>
                <w:sz w:val="20"/>
                <w:szCs w:val="20"/>
              </w:rPr>
              <w:t>X</w:t>
            </w:r>
          </w:p>
        </w:tc>
        <w:tc>
          <w:tcPr>
            <w:tcW w:w="1275" w:type="dxa"/>
            <w:vAlign w:val="center"/>
          </w:tcPr>
          <w:p w14:paraId="1A298480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  <w:r w:rsidRPr="008352AD">
              <w:rPr>
                <w:sz w:val="20"/>
                <w:szCs w:val="20"/>
              </w:rPr>
              <w:t>X</w:t>
            </w:r>
          </w:p>
        </w:tc>
        <w:tc>
          <w:tcPr>
            <w:tcW w:w="1134" w:type="dxa"/>
            <w:vAlign w:val="center"/>
          </w:tcPr>
          <w:p w14:paraId="45CCF509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  <w:r w:rsidRPr="008352AD">
              <w:rPr>
                <w:sz w:val="20"/>
                <w:szCs w:val="20"/>
              </w:rPr>
              <w:t>X</w:t>
            </w:r>
          </w:p>
        </w:tc>
      </w:tr>
      <w:tr w:rsidR="00684754" w:rsidRPr="00CE3912" w14:paraId="36BDEC2C" w14:textId="77777777" w:rsidTr="008352AD">
        <w:tc>
          <w:tcPr>
            <w:tcW w:w="1809" w:type="dxa"/>
          </w:tcPr>
          <w:p w14:paraId="722A93E1" w14:textId="77777777" w:rsidR="00684754" w:rsidRPr="008352AD" w:rsidRDefault="00684754" w:rsidP="004B74C4">
            <w:pPr>
              <w:rPr>
                <w:sz w:val="20"/>
                <w:szCs w:val="20"/>
                <w:vertAlign w:val="superscript"/>
              </w:rPr>
            </w:pPr>
            <w:r w:rsidRPr="008352AD">
              <w:rPr>
                <w:sz w:val="20"/>
                <w:szCs w:val="20"/>
              </w:rPr>
              <w:t>Zapewnienie przepuszczalności pary wodnej</w:t>
            </w:r>
            <w:r w:rsidRPr="008352AD">
              <w:rPr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418" w:type="dxa"/>
            <w:vAlign w:val="center"/>
          </w:tcPr>
          <w:p w14:paraId="66780577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  <w:r w:rsidRPr="008352AD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vAlign w:val="center"/>
          </w:tcPr>
          <w:p w14:paraId="25768145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  <w:r w:rsidRPr="008352AD">
              <w:rPr>
                <w:sz w:val="20"/>
                <w:szCs w:val="20"/>
              </w:rPr>
              <w:t>X</w:t>
            </w:r>
          </w:p>
        </w:tc>
        <w:tc>
          <w:tcPr>
            <w:tcW w:w="1134" w:type="dxa"/>
            <w:vAlign w:val="center"/>
          </w:tcPr>
          <w:p w14:paraId="4E4A0224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  <w:r w:rsidRPr="008352AD">
              <w:rPr>
                <w:sz w:val="20"/>
                <w:szCs w:val="20"/>
              </w:rPr>
              <w:t>X</w:t>
            </w:r>
          </w:p>
        </w:tc>
        <w:tc>
          <w:tcPr>
            <w:tcW w:w="1134" w:type="dxa"/>
            <w:vAlign w:val="center"/>
          </w:tcPr>
          <w:p w14:paraId="08410343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  <w:r w:rsidRPr="008352AD">
              <w:rPr>
                <w:sz w:val="20"/>
                <w:szCs w:val="20"/>
              </w:rPr>
              <w:t>X</w:t>
            </w:r>
          </w:p>
        </w:tc>
        <w:tc>
          <w:tcPr>
            <w:tcW w:w="1275" w:type="dxa"/>
            <w:vAlign w:val="center"/>
          </w:tcPr>
          <w:p w14:paraId="4126CF32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  <w:r w:rsidRPr="008352AD">
              <w:rPr>
                <w:sz w:val="20"/>
                <w:szCs w:val="20"/>
              </w:rPr>
              <w:t>X</w:t>
            </w:r>
          </w:p>
        </w:tc>
        <w:tc>
          <w:tcPr>
            <w:tcW w:w="1134" w:type="dxa"/>
            <w:vAlign w:val="center"/>
          </w:tcPr>
          <w:p w14:paraId="08E7914D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  <w:r w:rsidRPr="008352AD">
              <w:rPr>
                <w:sz w:val="20"/>
                <w:szCs w:val="20"/>
              </w:rPr>
              <w:t>X</w:t>
            </w:r>
          </w:p>
        </w:tc>
      </w:tr>
      <w:tr w:rsidR="00684754" w:rsidRPr="00CE3912" w14:paraId="389FE419" w14:textId="77777777" w:rsidTr="008352AD">
        <w:tc>
          <w:tcPr>
            <w:tcW w:w="1809" w:type="dxa"/>
          </w:tcPr>
          <w:p w14:paraId="2F1A2C7A" w14:textId="77777777" w:rsidR="00684754" w:rsidRPr="008352AD" w:rsidRDefault="00684754" w:rsidP="004B74C4">
            <w:pPr>
              <w:rPr>
                <w:sz w:val="20"/>
                <w:szCs w:val="20"/>
              </w:rPr>
            </w:pPr>
            <w:r w:rsidRPr="008352AD">
              <w:rPr>
                <w:sz w:val="20"/>
                <w:szCs w:val="20"/>
              </w:rPr>
              <w:t xml:space="preserve">Ograniczenie </w:t>
            </w:r>
            <w:r w:rsidRPr="008352AD">
              <w:rPr>
                <w:sz w:val="20"/>
                <w:szCs w:val="20"/>
              </w:rPr>
              <w:lastRenderedPageBreak/>
              <w:t>wnikania CO</w:t>
            </w:r>
            <w:r w:rsidRPr="008352AD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418" w:type="dxa"/>
            <w:vAlign w:val="center"/>
          </w:tcPr>
          <w:p w14:paraId="1A290BA8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B0DC83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  <w:r w:rsidRPr="008352AD">
              <w:rPr>
                <w:sz w:val="20"/>
                <w:szCs w:val="20"/>
              </w:rPr>
              <w:t>X</w:t>
            </w:r>
          </w:p>
        </w:tc>
        <w:tc>
          <w:tcPr>
            <w:tcW w:w="1134" w:type="dxa"/>
            <w:vAlign w:val="center"/>
          </w:tcPr>
          <w:p w14:paraId="23085513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  <w:r w:rsidRPr="008352AD">
              <w:rPr>
                <w:sz w:val="20"/>
                <w:szCs w:val="20"/>
              </w:rPr>
              <w:t>X</w:t>
            </w:r>
          </w:p>
        </w:tc>
        <w:tc>
          <w:tcPr>
            <w:tcW w:w="1134" w:type="dxa"/>
            <w:vAlign w:val="center"/>
          </w:tcPr>
          <w:p w14:paraId="11B47852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  <w:r w:rsidRPr="008352AD">
              <w:rPr>
                <w:sz w:val="20"/>
                <w:szCs w:val="20"/>
              </w:rPr>
              <w:t>X</w:t>
            </w:r>
          </w:p>
        </w:tc>
        <w:tc>
          <w:tcPr>
            <w:tcW w:w="1275" w:type="dxa"/>
            <w:vAlign w:val="center"/>
          </w:tcPr>
          <w:p w14:paraId="5378A107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  <w:r w:rsidRPr="008352AD">
              <w:rPr>
                <w:sz w:val="20"/>
                <w:szCs w:val="20"/>
              </w:rPr>
              <w:t>X</w:t>
            </w:r>
          </w:p>
        </w:tc>
        <w:tc>
          <w:tcPr>
            <w:tcW w:w="1134" w:type="dxa"/>
            <w:vAlign w:val="center"/>
          </w:tcPr>
          <w:p w14:paraId="55C66F12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  <w:r w:rsidRPr="008352AD">
              <w:rPr>
                <w:sz w:val="20"/>
                <w:szCs w:val="20"/>
              </w:rPr>
              <w:t>X</w:t>
            </w:r>
          </w:p>
        </w:tc>
      </w:tr>
      <w:tr w:rsidR="00684754" w:rsidRPr="00CE3912" w14:paraId="55A5A5B1" w14:textId="77777777" w:rsidTr="008352AD">
        <w:tc>
          <w:tcPr>
            <w:tcW w:w="1809" w:type="dxa"/>
          </w:tcPr>
          <w:p w14:paraId="68FE75C3" w14:textId="77777777" w:rsidR="00684754" w:rsidRPr="008352AD" w:rsidRDefault="00684754" w:rsidP="004B74C4">
            <w:pPr>
              <w:rPr>
                <w:sz w:val="20"/>
                <w:szCs w:val="20"/>
              </w:rPr>
            </w:pPr>
            <w:r w:rsidRPr="008352AD">
              <w:rPr>
                <w:sz w:val="20"/>
                <w:szCs w:val="20"/>
              </w:rPr>
              <w:t>Zwiększenie odporności na mróz</w:t>
            </w:r>
          </w:p>
        </w:tc>
        <w:tc>
          <w:tcPr>
            <w:tcW w:w="1418" w:type="dxa"/>
            <w:vAlign w:val="center"/>
          </w:tcPr>
          <w:p w14:paraId="04F89C26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  <w:r w:rsidRPr="008352AD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vAlign w:val="center"/>
          </w:tcPr>
          <w:p w14:paraId="508B1D45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  <w:r w:rsidRPr="008352AD">
              <w:rPr>
                <w:sz w:val="20"/>
                <w:szCs w:val="20"/>
              </w:rPr>
              <w:t>X</w:t>
            </w:r>
          </w:p>
        </w:tc>
        <w:tc>
          <w:tcPr>
            <w:tcW w:w="1134" w:type="dxa"/>
            <w:vAlign w:val="center"/>
          </w:tcPr>
          <w:p w14:paraId="03EEB424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  <w:r w:rsidRPr="008352AD">
              <w:rPr>
                <w:sz w:val="20"/>
                <w:szCs w:val="20"/>
              </w:rPr>
              <w:t>X</w:t>
            </w:r>
          </w:p>
        </w:tc>
        <w:tc>
          <w:tcPr>
            <w:tcW w:w="1134" w:type="dxa"/>
            <w:vAlign w:val="center"/>
          </w:tcPr>
          <w:p w14:paraId="778174E8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  <w:r w:rsidRPr="008352AD">
              <w:rPr>
                <w:sz w:val="20"/>
                <w:szCs w:val="20"/>
              </w:rPr>
              <w:t>X</w:t>
            </w:r>
          </w:p>
        </w:tc>
        <w:tc>
          <w:tcPr>
            <w:tcW w:w="1275" w:type="dxa"/>
            <w:vAlign w:val="center"/>
          </w:tcPr>
          <w:p w14:paraId="3C6EF273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  <w:r w:rsidRPr="008352AD">
              <w:rPr>
                <w:sz w:val="20"/>
                <w:szCs w:val="20"/>
              </w:rPr>
              <w:t>X</w:t>
            </w:r>
          </w:p>
        </w:tc>
        <w:tc>
          <w:tcPr>
            <w:tcW w:w="1134" w:type="dxa"/>
            <w:vAlign w:val="center"/>
          </w:tcPr>
          <w:p w14:paraId="0757FD86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  <w:r w:rsidRPr="008352AD">
              <w:rPr>
                <w:sz w:val="20"/>
                <w:szCs w:val="20"/>
              </w:rPr>
              <w:t>X</w:t>
            </w:r>
          </w:p>
        </w:tc>
      </w:tr>
      <w:tr w:rsidR="00684754" w:rsidRPr="00CE3912" w14:paraId="1DF6A361" w14:textId="77777777" w:rsidTr="008352AD">
        <w:tc>
          <w:tcPr>
            <w:tcW w:w="1809" w:type="dxa"/>
          </w:tcPr>
          <w:p w14:paraId="4ED250FD" w14:textId="77777777" w:rsidR="00684754" w:rsidRPr="008352AD" w:rsidRDefault="00684754" w:rsidP="004B74C4">
            <w:pPr>
              <w:rPr>
                <w:sz w:val="20"/>
                <w:szCs w:val="20"/>
              </w:rPr>
            </w:pPr>
            <w:r w:rsidRPr="008352AD">
              <w:rPr>
                <w:sz w:val="20"/>
                <w:szCs w:val="20"/>
              </w:rPr>
              <w:t xml:space="preserve">Pokrywanie zarysowań do </w:t>
            </w:r>
            <w:smartTag w:uri="urn:schemas-microsoft-com:office:smarttags" w:element="metricconverter">
              <w:smartTagPr>
                <w:attr w:name="ProductID" w:val="0,15 mm"/>
              </w:smartTagPr>
              <w:r w:rsidRPr="008352AD">
                <w:rPr>
                  <w:sz w:val="20"/>
                  <w:szCs w:val="20"/>
                </w:rPr>
                <w:t>0,15 mm</w:t>
              </w:r>
            </w:smartTag>
          </w:p>
        </w:tc>
        <w:tc>
          <w:tcPr>
            <w:tcW w:w="1418" w:type="dxa"/>
            <w:vAlign w:val="center"/>
          </w:tcPr>
          <w:p w14:paraId="7579E401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02D025B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9C050F9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1EF3A39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  <w:r w:rsidRPr="008352AD">
              <w:rPr>
                <w:sz w:val="20"/>
                <w:szCs w:val="20"/>
              </w:rPr>
              <w:t>X</w:t>
            </w:r>
          </w:p>
        </w:tc>
        <w:tc>
          <w:tcPr>
            <w:tcW w:w="1275" w:type="dxa"/>
            <w:vAlign w:val="center"/>
          </w:tcPr>
          <w:p w14:paraId="71996768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</w:p>
          <w:p w14:paraId="252104A8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EBC6EE1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</w:p>
        </w:tc>
      </w:tr>
      <w:tr w:rsidR="00684754" w:rsidRPr="00CE3912" w14:paraId="3BAF4958" w14:textId="77777777" w:rsidTr="008352AD">
        <w:tc>
          <w:tcPr>
            <w:tcW w:w="1809" w:type="dxa"/>
          </w:tcPr>
          <w:p w14:paraId="19E67A9C" w14:textId="77777777" w:rsidR="00684754" w:rsidRPr="008352AD" w:rsidRDefault="00684754" w:rsidP="004B74C4">
            <w:pPr>
              <w:rPr>
                <w:sz w:val="20"/>
                <w:szCs w:val="20"/>
              </w:rPr>
            </w:pPr>
            <w:r w:rsidRPr="008352AD">
              <w:rPr>
                <w:sz w:val="20"/>
                <w:szCs w:val="20"/>
              </w:rPr>
              <w:t xml:space="preserve">Pokrywanie zarysowań powyżej </w:t>
            </w:r>
            <w:smartTag w:uri="urn:schemas-microsoft-com:office:smarttags" w:element="metricconverter">
              <w:smartTagPr>
                <w:attr w:name="ProductID" w:val="0,15 mm"/>
              </w:smartTagPr>
              <w:r w:rsidRPr="008352AD">
                <w:rPr>
                  <w:sz w:val="20"/>
                  <w:szCs w:val="20"/>
                </w:rPr>
                <w:t>0,15 mm</w:t>
              </w:r>
            </w:smartTag>
          </w:p>
        </w:tc>
        <w:tc>
          <w:tcPr>
            <w:tcW w:w="1418" w:type="dxa"/>
            <w:vAlign w:val="center"/>
          </w:tcPr>
          <w:p w14:paraId="39FA7941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90A907F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55648D5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A34CE0C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6D184D1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  <w:r w:rsidRPr="008352AD">
              <w:rPr>
                <w:sz w:val="20"/>
                <w:szCs w:val="20"/>
              </w:rPr>
              <w:t>X</w:t>
            </w:r>
          </w:p>
        </w:tc>
        <w:tc>
          <w:tcPr>
            <w:tcW w:w="1134" w:type="dxa"/>
            <w:vAlign w:val="center"/>
          </w:tcPr>
          <w:p w14:paraId="1EE11354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</w:p>
        </w:tc>
      </w:tr>
      <w:tr w:rsidR="00684754" w:rsidRPr="00CE3912" w14:paraId="00D26048" w14:textId="77777777" w:rsidTr="008352AD">
        <w:tc>
          <w:tcPr>
            <w:tcW w:w="1809" w:type="dxa"/>
          </w:tcPr>
          <w:p w14:paraId="4E9D87EA" w14:textId="77777777" w:rsidR="00684754" w:rsidRPr="008352AD" w:rsidRDefault="00684754" w:rsidP="004B74C4">
            <w:pPr>
              <w:rPr>
                <w:sz w:val="20"/>
                <w:szCs w:val="20"/>
                <w:vertAlign w:val="superscript"/>
              </w:rPr>
            </w:pPr>
            <w:r w:rsidRPr="008352AD">
              <w:rPr>
                <w:sz w:val="20"/>
                <w:szCs w:val="20"/>
              </w:rPr>
              <w:t>Zwiększenie odporności na przenikanie jonów chlorkowych</w:t>
            </w:r>
            <w:r w:rsidRPr="008352AD">
              <w:rPr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418" w:type="dxa"/>
            <w:vAlign w:val="center"/>
          </w:tcPr>
          <w:p w14:paraId="0C73F8C6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81B7276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002EAFD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AFDC8BE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750B233F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7541C66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  <w:r w:rsidRPr="008352AD">
              <w:rPr>
                <w:sz w:val="20"/>
                <w:szCs w:val="20"/>
              </w:rPr>
              <w:t>X</w:t>
            </w:r>
          </w:p>
        </w:tc>
      </w:tr>
      <w:tr w:rsidR="00684754" w:rsidRPr="00CE3912" w14:paraId="4CA421C8" w14:textId="77777777" w:rsidTr="008352AD">
        <w:tc>
          <w:tcPr>
            <w:tcW w:w="1809" w:type="dxa"/>
          </w:tcPr>
          <w:p w14:paraId="21C45ADD" w14:textId="77777777" w:rsidR="00684754" w:rsidRPr="008352AD" w:rsidRDefault="00684754" w:rsidP="004B74C4">
            <w:pPr>
              <w:rPr>
                <w:sz w:val="20"/>
                <w:szCs w:val="20"/>
                <w:vertAlign w:val="superscript"/>
              </w:rPr>
            </w:pPr>
            <w:r w:rsidRPr="008352AD">
              <w:rPr>
                <w:sz w:val="20"/>
                <w:szCs w:val="20"/>
              </w:rPr>
              <w:t>Odporność chemiczna na stałe działanie środowisk agresywnych</w:t>
            </w:r>
            <w:r w:rsidRPr="008352AD">
              <w:rPr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418" w:type="dxa"/>
            <w:vAlign w:val="center"/>
          </w:tcPr>
          <w:p w14:paraId="04DE8650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7D3689D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4614469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28A4B8F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5E817780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7D25F70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  <w:r w:rsidRPr="008352AD">
              <w:rPr>
                <w:sz w:val="20"/>
                <w:szCs w:val="20"/>
              </w:rPr>
              <w:t>X</w:t>
            </w:r>
          </w:p>
        </w:tc>
      </w:tr>
      <w:tr w:rsidR="00684754" w:rsidRPr="00CE3912" w14:paraId="43BA7B70" w14:textId="77777777" w:rsidTr="008352AD">
        <w:tc>
          <w:tcPr>
            <w:tcW w:w="1809" w:type="dxa"/>
          </w:tcPr>
          <w:p w14:paraId="4FB0C42E" w14:textId="77777777" w:rsidR="00684754" w:rsidRPr="008352AD" w:rsidRDefault="00684754" w:rsidP="004B74C4">
            <w:pPr>
              <w:rPr>
                <w:sz w:val="20"/>
                <w:szCs w:val="20"/>
              </w:rPr>
            </w:pPr>
            <w:r w:rsidRPr="008352AD">
              <w:rPr>
                <w:sz w:val="20"/>
                <w:szCs w:val="20"/>
              </w:rPr>
              <w:t>Odporność chemiczna na okresowe działanie środowisk agresywnych</w:t>
            </w:r>
            <w:r w:rsidRPr="008352AD">
              <w:rPr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418" w:type="dxa"/>
            <w:vAlign w:val="center"/>
          </w:tcPr>
          <w:p w14:paraId="4B630056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010C51A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E663277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1AAC5AB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F6DDAB6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46C2455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  <w:r w:rsidRPr="008352AD">
              <w:rPr>
                <w:sz w:val="20"/>
                <w:szCs w:val="20"/>
              </w:rPr>
              <w:t>X</w:t>
            </w:r>
          </w:p>
        </w:tc>
      </w:tr>
      <w:tr w:rsidR="00684754" w:rsidRPr="00CE3912" w14:paraId="221CAEF4" w14:textId="77777777" w:rsidTr="008352AD">
        <w:tc>
          <w:tcPr>
            <w:tcW w:w="1809" w:type="dxa"/>
          </w:tcPr>
          <w:p w14:paraId="641E581E" w14:textId="77777777" w:rsidR="00684754" w:rsidRPr="008352AD" w:rsidRDefault="00684754" w:rsidP="004B74C4">
            <w:pPr>
              <w:rPr>
                <w:sz w:val="20"/>
                <w:szCs w:val="20"/>
              </w:rPr>
            </w:pPr>
            <w:r w:rsidRPr="008352AD">
              <w:rPr>
                <w:sz w:val="20"/>
                <w:szCs w:val="20"/>
              </w:rPr>
              <w:t>Utrudnienie lub powstrzymanie procesu korozji stali zbrojeniowej w betonie</w:t>
            </w:r>
          </w:p>
        </w:tc>
        <w:tc>
          <w:tcPr>
            <w:tcW w:w="1418" w:type="dxa"/>
            <w:vAlign w:val="center"/>
          </w:tcPr>
          <w:p w14:paraId="7B276E55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2C0A140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2F6DD28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38F1741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537BFCA4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6980C4C" w14:textId="77777777" w:rsidR="00684754" w:rsidRPr="008352AD" w:rsidRDefault="00684754" w:rsidP="004B74C4">
            <w:pPr>
              <w:jc w:val="center"/>
              <w:rPr>
                <w:sz w:val="20"/>
                <w:szCs w:val="20"/>
              </w:rPr>
            </w:pPr>
            <w:r w:rsidRPr="008352AD">
              <w:rPr>
                <w:sz w:val="20"/>
                <w:szCs w:val="20"/>
              </w:rPr>
              <w:t>X</w:t>
            </w:r>
          </w:p>
        </w:tc>
      </w:tr>
      <w:tr w:rsidR="00684754" w:rsidRPr="00CE3912" w14:paraId="199C4D7D" w14:textId="77777777" w:rsidTr="008352AD">
        <w:tc>
          <w:tcPr>
            <w:tcW w:w="9180" w:type="dxa"/>
            <w:gridSpan w:val="7"/>
          </w:tcPr>
          <w:p w14:paraId="41709D55" w14:textId="77777777" w:rsidR="00684754" w:rsidRPr="008352AD" w:rsidRDefault="00684754" w:rsidP="004B74C4">
            <w:pPr>
              <w:rPr>
                <w:sz w:val="20"/>
                <w:szCs w:val="20"/>
              </w:rPr>
            </w:pPr>
            <w:r w:rsidRPr="008352AD">
              <w:rPr>
                <w:sz w:val="20"/>
                <w:szCs w:val="20"/>
              </w:rPr>
              <w:t>1) część stosowanych materiałów uniemożliwia dyfuzję pary wodnej,</w:t>
            </w:r>
          </w:p>
          <w:p w14:paraId="1850A5CA" w14:textId="77777777" w:rsidR="00684754" w:rsidRPr="008352AD" w:rsidRDefault="00684754" w:rsidP="004B74C4">
            <w:pPr>
              <w:ind w:left="240" w:hanging="240"/>
              <w:rPr>
                <w:sz w:val="20"/>
                <w:szCs w:val="20"/>
              </w:rPr>
            </w:pPr>
            <w:r w:rsidRPr="008352AD">
              <w:rPr>
                <w:sz w:val="20"/>
                <w:szCs w:val="20"/>
              </w:rPr>
              <w:t>2) wymaganie dotyczy tylko powłok specjalnych zabezpieczających beton przed przenikaniem jonów chlorkowych: powłoki te mogą mieć różną zdolność pokrywania zarysowań,</w:t>
            </w:r>
          </w:p>
          <w:p w14:paraId="68F4FD0A" w14:textId="77777777" w:rsidR="00684754" w:rsidRPr="008352AD" w:rsidRDefault="00684754" w:rsidP="004B74C4">
            <w:pPr>
              <w:ind w:left="240" w:hanging="240"/>
              <w:rPr>
                <w:sz w:val="20"/>
                <w:szCs w:val="20"/>
              </w:rPr>
            </w:pPr>
            <w:r w:rsidRPr="008352AD">
              <w:rPr>
                <w:sz w:val="20"/>
                <w:szCs w:val="20"/>
              </w:rPr>
              <w:t>3) wymaganie dotyczy tylko powłok specjalnych odpornych chemicznie na okresowe lub stałe działanie środowiska agresywnego.</w:t>
            </w:r>
          </w:p>
        </w:tc>
      </w:tr>
    </w:tbl>
    <w:p w14:paraId="1C557A9F" w14:textId="77777777" w:rsidR="00684754" w:rsidRDefault="00684754" w:rsidP="00684754">
      <w:pPr>
        <w:rPr>
          <w:szCs w:val="24"/>
        </w:rPr>
      </w:pPr>
    </w:p>
    <w:p w14:paraId="164DE0CF" w14:textId="5BD127F0" w:rsidR="00684754" w:rsidRPr="008352AD" w:rsidRDefault="00684754" w:rsidP="008352AD">
      <w:pPr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>Można stosować materiały spełniające wy</w:t>
      </w:r>
      <w:r w:rsidR="008352AD">
        <w:rPr>
          <w:sz w:val="20"/>
          <w:szCs w:val="20"/>
        </w:rPr>
        <w:t>magania normy PN-EN 1504-2 </w:t>
      </w:r>
      <w:r w:rsidRPr="008352AD">
        <w:rPr>
          <w:sz w:val="20"/>
          <w:szCs w:val="20"/>
        </w:rPr>
        <w:t>albo krajowej lub europejskiej oceny technicznej.</w:t>
      </w:r>
    </w:p>
    <w:p w14:paraId="44B61DC5" w14:textId="77777777" w:rsidR="00684754" w:rsidRPr="008352AD" w:rsidRDefault="00684754" w:rsidP="008352AD">
      <w:pPr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>Przed użyciem materiał należy wymieszać mieszadłem wolnoobrotowym (w przypadku materiałów dwuskładnikowych należy zwracać uwagę na właściwe proporcje składników), aż do uzyskania jednorodnej konsystencji, bez widocznych smug i pęcherzyków powietrza.</w:t>
      </w:r>
    </w:p>
    <w:p w14:paraId="19A0EDBA" w14:textId="77777777" w:rsidR="00684754" w:rsidRDefault="00684754" w:rsidP="008352AD">
      <w:pPr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>Dla zastosowanego materiału Wykonawca powinien przedstawić deklarację właściwości użytkowych, w której producent deklaruje, że produkt ten przeznaczony jest do wykonywania powłok ochronnych lub hydrofobowych na odkrytych powierzchniach betonowych konstrukcji narażonych na czynniki środowiskowe występujące w inżynierii komunikacyjnej i jest zgodny z wymaganiami określonymi w dokumentacji projektowej.</w:t>
      </w:r>
    </w:p>
    <w:p w14:paraId="01F5F79C" w14:textId="77777777" w:rsidR="008352AD" w:rsidRDefault="008352AD" w:rsidP="008352AD">
      <w:pPr>
        <w:ind w:left="284" w:right="629"/>
        <w:jc w:val="both"/>
        <w:rPr>
          <w:sz w:val="20"/>
          <w:szCs w:val="20"/>
        </w:rPr>
      </w:pPr>
    </w:p>
    <w:p w14:paraId="4C2D7AF1" w14:textId="77777777" w:rsidR="008352AD" w:rsidRDefault="008352AD" w:rsidP="008352AD">
      <w:pPr>
        <w:ind w:left="284" w:right="629"/>
        <w:jc w:val="both"/>
        <w:rPr>
          <w:sz w:val="20"/>
          <w:szCs w:val="20"/>
        </w:rPr>
      </w:pPr>
    </w:p>
    <w:p w14:paraId="07D242F3" w14:textId="77777777" w:rsidR="008352AD" w:rsidRPr="008352AD" w:rsidRDefault="008352AD" w:rsidP="008352AD">
      <w:pPr>
        <w:ind w:left="284" w:right="629"/>
        <w:jc w:val="both"/>
        <w:rPr>
          <w:sz w:val="20"/>
          <w:szCs w:val="20"/>
        </w:rPr>
      </w:pPr>
    </w:p>
    <w:p w14:paraId="4DCCC645" w14:textId="5428D1D8" w:rsidR="00684754" w:rsidRPr="008352AD" w:rsidRDefault="00684754" w:rsidP="008352AD">
      <w:pPr>
        <w:pStyle w:val="Nagwek1"/>
        <w:spacing w:after="240"/>
      </w:pPr>
      <w:r w:rsidRPr="008352AD">
        <w:lastRenderedPageBreak/>
        <w:t xml:space="preserve">2.8. </w:t>
      </w:r>
      <w:r w:rsidR="008352AD">
        <w:tab/>
      </w:r>
      <w:r w:rsidRPr="008352AD">
        <w:t xml:space="preserve">Powłoka </w:t>
      </w:r>
      <w:proofErr w:type="spellStart"/>
      <w:r w:rsidRPr="008352AD">
        <w:t>antygraffiti</w:t>
      </w:r>
      <w:proofErr w:type="spellEnd"/>
    </w:p>
    <w:p w14:paraId="43DF2CC4" w14:textId="77777777" w:rsidR="00684754" w:rsidRPr="008352AD" w:rsidRDefault="00684754" w:rsidP="008352AD">
      <w:pPr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 xml:space="preserve">Jeżeli dokumentacja projektowa tak przewiduje na powierzchni podwalin dostępnych w trakcie eksploatacji należy wykonać powłokę </w:t>
      </w:r>
      <w:proofErr w:type="spellStart"/>
      <w:r w:rsidRPr="008352AD">
        <w:rPr>
          <w:sz w:val="20"/>
          <w:szCs w:val="20"/>
        </w:rPr>
        <w:t>antygraffiti</w:t>
      </w:r>
      <w:proofErr w:type="spellEnd"/>
      <w:r w:rsidRPr="008352AD">
        <w:rPr>
          <w:sz w:val="20"/>
          <w:szCs w:val="20"/>
        </w:rPr>
        <w:t>.</w:t>
      </w:r>
    </w:p>
    <w:p w14:paraId="63C54407" w14:textId="77777777" w:rsidR="00684754" w:rsidRPr="008352AD" w:rsidRDefault="00684754" w:rsidP="008352AD">
      <w:pPr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>Dokumentacja projektowa powinna określać:</w:t>
      </w:r>
    </w:p>
    <w:p w14:paraId="21CF9ECE" w14:textId="77777777" w:rsidR="00684754" w:rsidRPr="008352AD" w:rsidRDefault="00684754" w:rsidP="008352AD">
      <w:pPr>
        <w:pStyle w:val="Tekstpodstawowy"/>
        <w:widowControl/>
        <w:numPr>
          <w:ilvl w:val="0"/>
          <w:numId w:val="26"/>
        </w:numPr>
        <w:autoSpaceDE/>
        <w:autoSpaceDN/>
        <w:ind w:right="629" w:firstLine="0"/>
      </w:pPr>
      <w:r w:rsidRPr="008352AD">
        <w:t>czy będzie stosowane zabezpieczenie tymczasowe, półtrwałe czy trwałe,</w:t>
      </w:r>
    </w:p>
    <w:p w14:paraId="350C0BA5" w14:textId="77777777" w:rsidR="00684754" w:rsidRPr="008352AD" w:rsidRDefault="00684754" w:rsidP="008352AD">
      <w:pPr>
        <w:pStyle w:val="Tekstpodstawowy"/>
        <w:widowControl/>
        <w:numPr>
          <w:ilvl w:val="0"/>
          <w:numId w:val="26"/>
        </w:numPr>
        <w:autoSpaceDE/>
        <w:autoSpaceDN/>
        <w:ind w:right="629" w:firstLine="0"/>
      </w:pPr>
      <w:r w:rsidRPr="008352AD">
        <w:t>czy środek ma być transparentny czy barwny,</w:t>
      </w:r>
    </w:p>
    <w:p w14:paraId="2A27855F" w14:textId="77777777" w:rsidR="00684754" w:rsidRPr="008352AD" w:rsidRDefault="00684754" w:rsidP="008352AD">
      <w:pPr>
        <w:pStyle w:val="Tekstpodstawowy"/>
        <w:widowControl/>
        <w:numPr>
          <w:ilvl w:val="0"/>
          <w:numId w:val="26"/>
        </w:numPr>
        <w:autoSpaceDE/>
        <w:autoSpaceDN/>
        <w:ind w:right="629" w:firstLine="0"/>
      </w:pPr>
      <w:r w:rsidRPr="008352AD">
        <w:t>czy zastosowany środek ma być stosowany na powierzchnie wcześniej pomalowane innymi powłokami, czy ma on spełniać jednocześnie rolę ochrony antykorozyjnej betonu lub stali,</w:t>
      </w:r>
    </w:p>
    <w:p w14:paraId="49344B7A" w14:textId="77777777" w:rsidR="00684754" w:rsidRPr="008352AD" w:rsidRDefault="00684754" w:rsidP="008352AD">
      <w:pPr>
        <w:pStyle w:val="Tekstpodstawowy"/>
        <w:widowControl/>
        <w:numPr>
          <w:ilvl w:val="0"/>
          <w:numId w:val="26"/>
        </w:numPr>
        <w:autoSpaceDE/>
        <w:autoSpaceDN/>
        <w:ind w:right="629" w:firstLine="0"/>
      </w:pPr>
      <w:r w:rsidRPr="008352AD">
        <w:t>czy środek ma być jednocześnie przeznaczony do zabezpieczenia powierzchni przed zanieczyszczeniami takimi jak brud, ptasie odchody, guma do żucia oraz przed przyklejaniem plakatów i ogłoszeń,</w:t>
      </w:r>
    </w:p>
    <w:p w14:paraId="76406979" w14:textId="77777777" w:rsidR="00684754" w:rsidRPr="008352AD" w:rsidRDefault="00684754" w:rsidP="008352AD">
      <w:pPr>
        <w:pStyle w:val="Tekstpodstawowy"/>
        <w:widowControl/>
        <w:numPr>
          <w:ilvl w:val="0"/>
          <w:numId w:val="26"/>
        </w:numPr>
        <w:autoSpaceDE/>
        <w:autoSpaceDN/>
        <w:ind w:right="629" w:firstLine="0"/>
      </w:pPr>
      <w:r w:rsidRPr="008352AD">
        <w:t>stopień usuwania graffiti z powierzchni,</w:t>
      </w:r>
    </w:p>
    <w:p w14:paraId="201B4537" w14:textId="77777777" w:rsidR="00684754" w:rsidRPr="008352AD" w:rsidRDefault="00684754" w:rsidP="008352AD">
      <w:pPr>
        <w:pStyle w:val="Tekstpodstawowy"/>
        <w:widowControl/>
        <w:numPr>
          <w:ilvl w:val="0"/>
          <w:numId w:val="26"/>
        </w:numPr>
        <w:autoSpaceDE/>
        <w:autoSpaceDN/>
        <w:ind w:right="629" w:firstLine="0"/>
      </w:pPr>
      <w:r w:rsidRPr="008352AD">
        <w:t>trwałość zabezpieczenia (w przypadku powłok trwałych powinna być określona liczba cykli nakładania i usuwania graffiti, po której graffiti z zabezpieczonej powierzchni już nie da się usunąć- zaleca się, aby była nie mniejsza niż 10, a w miejscach szczególnie narażonych 50).</w:t>
      </w:r>
    </w:p>
    <w:p w14:paraId="513B0501" w14:textId="77777777" w:rsidR="00684754" w:rsidRPr="008352AD" w:rsidRDefault="00684754" w:rsidP="008352AD">
      <w:pPr>
        <w:pStyle w:val="Tekstpodstawowy"/>
        <w:autoSpaceDE/>
        <w:autoSpaceDN/>
        <w:ind w:left="284" w:right="629"/>
      </w:pPr>
      <w:r w:rsidRPr="008352AD">
        <w:t xml:space="preserve">Stosowane preparaty powinny nadawać się na powierzchni porowate. </w:t>
      </w:r>
    </w:p>
    <w:p w14:paraId="603BCFC7" w14:textId="77777777" w:rsidR="00684754" w:rsidRPr="008352AD" w:rsidRDefault="00684754" w:rsidP="008352AD">
      <w:pPr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 xml:space="preserve">Stosowane preparaty </w:t>
      </w:r>
      <w:proofErr w:type="spellStart"/>
      <w:r w:rsidRPr="008352AD">
        <w:rPr>
          <w:sz w:val="20"/>
          <w:szCs w:val="20"/>
        </w:rPr>
        <w:t>antygraffiti</w:t>
      </w:r>
      <w:proofErr w:type="spellEnd"/>
      <w:r w:rsidRPr="008352AD">
        <w:rPr>
          <w:sz w:val="20"/>
          <w:szCs w:val="20"/>
        </w:rPr>
        <w:t xml:space="preserve"> powinny zabezpieczać (odizolować) podłoże przed działaniem środków użytych w procesie tworzenia napisów, tak aby po ich usunięciu na powierzchni nie pozostawały żadne ślady. Powłoki powinny zapobiegać przenikaniu barwników do podłoża, a ponadto dzięki zmniejszeniu przyczepności stosowanych do graffiti wyrobów do chronionej powierzchni ułatwiać usuwanie niepożądanych napisów i rysunków. </w:t>
      </w:r>
    </w:p>
    <w:p w14:paraId="719EEC04" w14:textId="77777777" w:rsidR="00684754" w:rsidRPr="008352AD" w:rsidRDefault="00684754" w:rsidP="008352AD">
      <w:pPr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 xml:space="preserve">Szczegółowe wymagania dla powłok podano w tabeli 5. </w:t>
      </w:r>
    </w:p>
    <w:p w14:paraId="78D156C7" w14:textId="77777777" w:rsidR="00684754" w:rsidRPr="008352AD" w:rsidRDefault="00684754" w:rsidP="008352AD">
      <w:pPr>
        <w:pStyle w:val="Legenda"/>
        <w:ind w:left="284" w:right="629"/>
        <w:rPr>
          <w:rFonts w:ascii="Verdana" w:hAnsi="Verdana"/>
          <w:sz w:val="20"/>
        </w:rPr>
      </w:pPr>
      <w:r w:rsidRPr="008352AD">
        <w:rPr>
          <w:rFonts w:ascii="Verdana" w:hAnsi="Verdana"/>
          <w:sz w:val="20"/>
        </w:rPr>
        <w:t xml:space="preserve">Tabela 5. </w:t>
      </w:r>
      <w:bookmarkStart w:id="29" w:name="_Toc35163198"/>
      <w:bookmarkStart w:id="30" w:name="_Toc35163363"/>
      <w:bookmarkStart w:id="31" w:name="_Toc35164002"/>
      <w:r w:rsidRPr="008352AD">
        <w:rPr>
          <w:rFonts w:ascii="Verdana" w:hAnsi="Verdana"/>
          <w:sz w:val="20"/>
        </w:rPr>
        <w:t xml:space="preserve">Wymagania dla powłok </w:t>
      </w:r>
      <w:proofErr w:type="spellStart"/>
      <w:r w:rsidRPr="008352AD">
        <w:rPr>
          <w:rFonts w:ascii="Verdana" w:hAnsi="Verdana"/>
          <w:sz w:val="20"/>
        </w:rPr>
        <w:t>antygraffiti</w:t>
      </w:r>
      <w:proofErr w:type="spellEnd"/>
      <w:r w:rsidRPr="008352AD">
        <w:rPr>
          <w:rFonts w:ascii="Verdana" w:hAnsi="Verdana"/>
          <w:sz w:val="20"/>
        </w:rPr>
        <w:t xml:space="preserve"> stosowanych na powierzchnie betonowe</w:t>
      </w:r>
      <w:bookmarkEnd w:id="29"/>
      <w:bookmarkEnd w:id="30"/>
      <w:bookmarkEnd w:id="31"/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6"/>
        <w:gridCol w:w="2424"/>
        <w:gridCol w:w="3360"/>
        <w:gridCol w:w="2520"/>
      </w:tblGrid>
      <w:tr w:rsidR="00684754" w:rsidRPr="00902FCC" w14:paraId="20CB8C13" w14:textId="77777777" w:rsidTr="008352AD">
        <w:trPr>
          <w:trHeight w:val="319"/>
          <w:tblHeader/>
        </w:trPr>
        <w:tc>
          <w:tcPr>
            <w:tcW w:w="526" w:type="dxa"/>
            <w:tcBorders>
              <w:bottom w:val="single" w:sz="4" w:space="0" w:color="auto"/>
            </w:tcBorders>
          </w:tcPr>
          <w:p w14:paraId="11FAFDEB" w14:textId="77777777" w:rsidR="00684754" w:rsidRPr="0001770D" w:rsidRDefault="00684754" w:rsidP="004B74C4">
            <w:pPr>
              <w:spacing w:before="120" w:after="120"/>
              <w:jc w:val="center"/>
              <w:rPr>
                <w:szCs w:val="24"/>
              </w:rPr>
            </w:pPr>
            <w:r w:rsidRPr="00684A16">
              <w:rPr>
                <w:szCs w:val="24"/>
              </w:rPr>
              <w:t>Lp.</w:t>
            </w:r>
          </w:p>
        </w:tc>
        <w:tc>
          <w:tcPr>
            <w:tcW w:w="2424" w:type="dxa"/>
            <w:tcBorders>
              <w:bottom w:val="single" w:sz="4" w:space="0" w:color="auto"/>
            </w:tcBorders>
          </w:tcPr>
          <w:p w14:paraId="64EBC9F4" w14:textId="77777777" w:rsidR="00684754" w:rsidRPr="0001770D" w:rsidRDefault="00684754" w:rsidP="004B74C4">
            <w:pPr>
              <w:spacing w:before="120" w:after="120"/>
              <w:jc w:val="center"/>
              <w:rPr>
                <w:szCs w:val="24"/>
              </w:rPr>
            </w:pPr>
            <w:r w:rsidRPr="00684A16">
              <w:rPr>
                <w:szCs w:val="24"/>
              </w:rPr>
              <w:t>Właściwości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14:paraId="44AF8E93" w14:textId="77777777" w:rsidR="00684754" w:rsidRPr="0001770D" w:rsidRDefault="00684754" w:rsidP="004B74C4">
            <w:pPr>
              <w:spacing w:before="120" w:after="120"/>
              <w:jc w:val="center"/>
              <w:rPr>
                <w:szCs w:val="24"/>
              </w:rPr>
            </w:pPr>
            <w:r w:rsidRPr="00684A16">
              <w:rPr>
                <w:szCs w:val="24"/>
              </w:rPr>
              <w:t>Wymaganie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1DFD7DB0" w14:textId="77777777" w:rsidR="00684754" w:rsidRPr="0001770D" w:rsidRDefault="00684754" w:rsidP="004B74C4">
            <w:pPr>
              <w:spacing w:before="120" w:after="120"/>
              <w:jc w:val="center"/>
              <w:rPr>
                <w:szCs w:val="24"/>
              </w:rPr>
            </w:pPr>
            <w:r w:rsidRPr="00684A16">
              <w:rPr>
                <w:szCs w:val="24"/>
              </w:rPr>
              <w:t>Podstawa</w:t>
            </w:r>
          </w:p>
        </w:tc>
      </w:tr>
      <w:tr w:rsidR="00684754" w:rsidRPr="00902FCC" w14:paraId="3EA49A95" w14:textId="77777777" w:rsidTr="008352AD">
        <w:tc>
          <w:tcPr>
            <w:tcW w:w="526" w:type="dxa"/>
            <w:tcBorders>
              <w:top w:val="single" w:sz="4" w:space="0" w:color="auto"/>
            </w:tcBorders>
          </w:tcPr>
          <w:p w14:paraId="3BC98527" w14:textId="77777777" w:rsidR="00684754" w:rsidRPr="0001770D" w:rsidRDefault="00684754" w:rsidP="004B74C4">
            <w:pPr>
              <w:jc w:val="center"/>
              <w:rPr>
                <w:szCs w:val="24"/>
              </w:rPr>
            </w:pPr>
            <w:r w:rsidRPr="00684A16">
              <w:rPr>
                <w:szCs w:val="24"/>
              </w:rPr>
              <w:t>1</w:t>
            </w:r>
          </w:p>
        </w:tc>
        <w:tc>
          <w:tcPr>
            <w:tcW w:w="2424" w:type="dxa"/>
            <w:tcBorders>
              <w:top w:val="single" w:sz="4" w:space="0" w:color="auto"/>
            </w:tcBorders>
          </w:tcPr>
          <w:p w14:paraId="3D05F140" w14:textId="77777777" w:rsidR="00684754" w:rsidRPr="0001770D" w:rsidRDefault="00684754" w:rsidP="004B74C4">
            <w:pPr>
              <w:rPr>
                <w:szCs w:val="24"/>
              </w:rPr>
            </w:pPr>
            <w:r w:rsidRPr="00684A16">
              <w:rPr>
                <w:szCs w:val="24"/>
              </w:rPr>
              <w:t>Grubość powłoki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14:paraId="2804F40D" w14:textId="77777777" w:rsidR="00684754" w:rsidRPr="0001770D" w:rsidRDefault="00684754" w:rsidP="004B74C4">
            <w:pPr>
              <w:jc w:val="center"/>
              <w:rPr>
                <w:szCs w:val="24"/>
              </w:rPr>
            </w:pPr>
            <w:r w:rsidRPr="00684A16">
              <w:rPr>
                <w:szCs w:val="24"/>
              </w:rPr>
              <w:t>[</w:t>
            </w:r>
            <w:r w:rsidRPr="00684A16">
              <w:rPr>
                <w:szCs w:val="24"/>
              </w:rPr>
              <w:sym w:font="Symbol" w:char="F06D"/>
            </w:r>
            <w:r w:rsidRPr="00684A16">
              <w:rPr>
                <w:szCs w:val="24"/>
              </w:rPr>
              <w:t xml:space="preserve"> lub mm] </w:t>
            </w:r>
            <w:r w:rsidRPr="00684A16">
              <w:rPr>
                <w:szCs w:val="24"/>
              </w:rPr>
              <w:sym w:font="Symbol" w:char="F0B1"/>
            </w:r>
            <w:r w:rsidRPr="00684A16">
              <w:rPr>
                <w:szCs w:val="24"/>
              </w:rPr>
              <w:t xml:space="preserve"> 10%</w:t>
            </w:r>
          </w:p>
        </w:tc>
        <w:tc>
          <w:tcPr>
            <w:tcW w:w="2520" w:type="dxa"/>
            <w:tcBorders>
              <w:top w:val="single" w:sz="4" w:space="0" w:color="auto"/>
            </w:tcBorders>
          </w:tcPr>
          <w:p w14:paraId="61135B5B" w14:textId="37C8F993" w:rsidR="00684754" w:rsidRPr="0001770D" w:rsidRDefault="00684754" w:rsidP="004B74C4">
            <w:pPr>
              <w:rPr>
                <w:szCs w:val="24"/>
              </w:rPr>
            </w:pPr>
            <w:r w:rsidRPr="00684A16">
              <w:rPr>
                <w:szCs w:val="24"/>
              </w:rPr>
              <w:t>Według kart technicznych producenta; sp</w:t>
            </w:r>
            <w:r w:rsidR="008352AD">
              <w:rPr>
                <w:szCs w:val="24"/>
              </w:rPr>
              <w:t>rawdzenie wg PN-EN ISO 2808</w:t>
            </w:r>
          </w:p>
        </w:tc>
      </w:tr>
      <w:tr w:rsidR="00684754" w:rsidRPr="00902FCC" w14:paraId="1D0D9A99" w14:textId="77777777" w:rsidTr="008352AD">
        <w:tc>
          <w:tcPr>
            <w:tcW w:w="526" w:type="dxa"/>
          </w:tcPr>
          <w:p w14:paraId="4BCB2EE1" w14:textId="77777777" w:rsidR="00684754" w:rsidRPr="0001770D" w:rsidRDefault="00684754" w:rsidP="004B74C4">
            <w:pPr>
              <w:jc w:val="center"/>
              <w:rPr>
                <w:szCs w:val="24"/>
              </w:rPr>
            </w:pPr>
            <w:r w:rsidRPr="00684A16">
              <w:rPr>
                <w:szCs w:val="24"/>
              </w:rPr>
              <w:t>2</w:t>
            </w:r>
          </w:p>
        </w:tc>
        <w:tc>
          <w:tcPr>
            <w:tcW w:w="2424" w:type="dxa"/>
          </w:tcPr>
          <w:p w14:paraId="4CD24507" w14:textId="77777777" w:rsidR="00684754" w:rsidRPr="0001770D" w:rsidRDefault="00684754" w:rsidP="004B74C4">
            <w:pPr>
              <w:rPr>
                <w:szCs w:val="24"/>
              </w:rPr>
            </w:pPr>
            <w:r w:rsidRPr="00684A16">
              <w:rPr>
                <w:szCs w:val="24"/>
              </w:rPr>
              <w:t>Wygląd</w:t>
            </w:r>
          </w:p>
        </w:tc>
        <w:tc>
          <w:tcPr>
            <w:tcW w:w="3360" w:type="dxa"/>
          </w:tcPr>
          <w:p w14:paraId="39AF0ED6" w14:textId="77777777" w:rsidR="00684754" w:rsidRPr="0001770D" w:rsidRDefault="00684754" w:rsidP="004B74C4">
            <w:pPr>
              <w:jc w:val="center"/>
              <w:rPr>
                <w:szCs w:val="24"/>
              </w:rPr>
            </w:pPr>
            <w:r w:rsidRPr="00684A16">
              <w:rPr>
                <w:szCs w:val="24"/>
              </w:rPr>
              <w:t>Jednorodna powłoka, kolor zgodny z wzornikiem producenta</w:t>
            </w:r>
          </w:p>
        </w:tc>
        <w:tc>
          <w:tcPr>
            <w:tcW w:w="2520" w:type="dxa"/>
          </w:tcPr>
          <w:p w14:paraId="0BD8F3CC" w14:textId="77777777" w:rsidR="00684754" w:rsidRPr="0001770D" w:rsidRDefault="00684754" w:rsidP="004B74C4">
            <w:pPr>
              <w:jc w:val="center"/>
              <w:rPr>
                <w:szCs w:val="24"/>
              </w:rPr>
            </w:pPr>
            <w:r w:rsidRPr="00684A16">
              <w:rPr>
                <w:szCs w:val="24"/>
              </w:rPr>
              <w:t>-</w:t>
            </w:r>
          </w:p>
        </w:tc>
      </w:tr>
      <w:tr w:rsidR="00684754" w:rsidRPr="00902FCC" w14:paraId="0FE25056" w14:textId="77777777" w:rsidTr="008352AD">
        <w:tc>
          <w:tcPr>
            <w:tcW w:w="526" w:type="dxa"/>
          </w:tcPr>
          <w:p w14:paraId="2DF0AFFB" w14:textId="77777777" w:rsidR="00684754" w:rsidRPr="0001770D" w:rsidRDefault="00684754" w:rsidP="004B74C4">
            <w:pPr>
              <w:jc w:val="center"/>
              <w:rPr>
                <w:szCs w:val="24"/>
              </w:rPr>
            </w:pPr>
            <w:r w:rsidRPr="00684A16">
              <w:rPr>
                <w:szCs w:val="24"/>
              </w:rPr>
              <w:t>3</w:t>
            </w:r>
          </w:p>
        </w:tc>
        <w:tc>
          <w:tcPr>
            <w:tcW w:w="2424" w:type="dxa"/>
          </w:tcPr>
          <w:p w14:paraId="059C0635" w14:textId="77777777" w:rsidR="00684754" w:rsidRPr="0001770D" w:rsidRDefault="00684754" w:rsidP="004B74C4">
            <w:pPr>
              <w:rPr>
                <w:szCs w:val="24"/>
              </w:rPr>
            </w:pPr>
            <w:r w:rsidRPr="00684A16">
              <w:rPr>
                <w:szCs w:val="24"/>
              </w:rPr>
              <w:t>Przyczepność powłoki do betonu</w:t>
            </w:r>
          </w:p>
        </w:tc>
        <w:tc>
          <w:tcPr>
            <w:tcW w:w="3360" w:type="dxa"/>
          </w:tcPr>
          <w:p w14:paraId="4DA6C072" w14:textId="77777777" w:rsidR="00684754" w:rsidRPr="0001770D" w:rsidRDefault="00684754" w:rsidP="004B74C4">
            <w:pPr>
              <w:jc w:val="center"/>
              <w:rPr>
                <w:szCs w:val="24"/>
              </w:rPr>
            </w:pPr>
            <w:r w:rsidRPr="00684A16">
              <w:rPr>
                <w:szCs w:val="24"/>
              </w:rPr>
              <w:t xml:space="preserve">elastyczne </w:t>
            </w:r>
            <w:r w:rsidRPr="00684A16">
              <w:rPr>
                <w:szCs w:val="24"/>
              </w:rPr>
              <w:sym w:font="Symbol" w:char="F0B3"/>
            </w:r>
            <w:r w:rsidRPr="00684A16">
              <w:rPr>
                <w:szCs w:val="24"/>
              </w:rPr>
              <w:t xml:space="preserve"> 0,8  (0,5)</w:t>
            </w:r>
          </w:p>
          <w:p w14:paraId="1131C12A" w14:textId="77777777" w:rsidR="00684754" w:rsidRPr="0001770D" w:rsidRDefault="00684754" w:rsidP="004B74C4">
            <w:pPr>
              <w:jc w:val="center"/>
              <w:rPr>
                <w:szCs w:val="24"/>
              </w:rPr>
            </w:pPr>
            <w:r w:rsidRPr="00684A16">
              <w:rPr>
                <w:szCs w:val="24"/>
              </w:rPr>
              <w:t xml:space="preserve">sztywne    </w:t>
            </w:r>
            <w:r w:rsidRPr="00684A16">
              <w:rPr>
                <w:szCs w:val="24"/>
              </w:rPr>
              <w:sym w:font="Symbol" w:char="F0B3"/>
            </w:r>
            <w:r w:rsidRPr="00684A16">
              <w:rPr>
                <w:szCs w:val="24"/>
              </w:rPr>
              <w:t xml:space="preserve"> 1,0  (0,7)</w:t>
            </w:r>
          </w:p>
          <w:p w14:paraId="3CCC2360" w14:textId="77777777" w:rsidR="00684754" w:rsidRPr="0001770D" w:rsidRDefault="00684754" w:rsidP="004B74C4">
            <w:pPr>
              <w:jc w:val="center"/>
              <w:rPr>
                <w:szCs w:val="24"/>
              </w:rPr>
            </w:pPr>
            <w:r w:rsidRPr="00684A16">
              <w:rPr>
                <w:szCs w:val="24"/>
              </w:rPr>
              <w:t>W ( ) podano wartość minimalnego odczytu</w:t>
            </w:r>
          </w:p>
        </w:tc>
        <w:tc>
          <w:tcPr>
            <w:tcW w:w="2520" w:type="dxa"/>
          </w:tcPr>
          <w:p w14:paraId="7E75FFC6" w14:textId="14F9BA88" w:rsidR="00684754" w:rsidRPr="0001770D" w:rsidRDefault="008352AD" w:rsidP="004B74C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PN-EN-1542 </w:t>
            </w:r>
          </w:p>
        </w:tc>
      </w:tr>
      <w:tr w:rsidR="00684754" w:rsidRPr="00902FCC" w14:paraId="3D89B70F" w14:textId="77777777" w:rsidTr="008352AD">
        <w:tc>
          <w:tcPr>
            <w:tcW w:w="526" w:type="dxa"/>
          </w:tcPr>
          <w:p w14:paraId="78309B07" w14:textId="77777777" w:rsidR="00684754" w:rsidRPr="0001770D" w:rsidRDefault="00684754" w:rsidP="004B74C4">
            <w:pPr>
              <w:jc w:val="center"/>
              <w:rPr>
                <w:szCs w:val="24"/>
              </w:rPr>
            </w:pPr>
            <w:r w:rsidRPr="00684A16">
              <w:rPr>
                <w:szCs w:val="24"/>
              </w:rPr>
              <w:t>4</w:t>
            </w:r>
          </w:p>
        </w:tc>
        <w:tc>
          <w:tcPr>
            <w:tcW w:w="2424" w:type="dxa"/>
          </w:tcPr>
          <w:p w14:paraId="7BB846B0" w14:textId="77777777" w:rsidR="00684754" w:rsidRPr="0001770D" w:rsidRDefault="00684754" w:rsidP="004B74C4">
            <w:pPr>
              <w:rPr>
                <w:szCs w:val="24"/>
              </w:rPr>
            </w:pPr>
            <w:r w:rsidRPr="00684A16">
              <w:rPr>
                <w:szCs w:val="24"/>
              </w:rPr>
              <w:t>Opór dyfuzyjny dla pary wodnej</w:t>
            </w:r>
          </w:p>
        </w:tc>
        <w:tc>
          <w:tcPr>
            <w:tcW w:w="3360" w:type="dxa"/>
          </w:tcPr>
          <w:p w14:paraId="677CC48C" w14:textId="77777777" w:rsidR="00684754" w:rsidRPr="0001770D" w:rsidRDefault="00684754" w:rsidP="004B74C4">
            <w:pPr>
              <w:jc w:val="center"/>
              <w:rPr>
                <w:szCs w:val="24"/>
              </w:rPr>
            </w:pPr>
            <w:r w:rsidRPr="00684A16">
              <w:rPr>
                <w:szCs w:val="24"/>
              </w:rPr>
              <w:t xml:space="preserve">Nie więcej niż </w:t>
            </w:r>
            <w:smartTag w:uri="urn:schemas-microsoft-com:office:smarttags" w:element="metricconverter">
              <w:smartTagPr>
                <w:attr w:name="ProductID" w:val="4 m"/>
              </w:smartTagPr>
              <w:r w:rsidRPr="00684A16">
                <w:rPr>
                  <w:szCs w:val="24"/>
                </w:rPr>
                <w:t>4 m</w:t>
              </w:r>
            </w:smartTag>
          </w:p>
          <w:p w14:paraId="388D1D61" w14:textId="77777777" w:rsidR="00684754" w:rsidRPr="0001770D" w:rsidRDefault="00684754" w:rsidP="004B74C4">
            <w:pPr>
              <w:jc w:val="center"/>
              <w:rPr>
                <w:szCs w:val="24"/>
              </w:rPr>
            </w:pPr>
            <w:r w:rsidRPr="00684A16">
              <w:rPr>
                <w:szCs w:val="24"/>
              </w:rPr>
              <w:t>(zalecane &lt; 1,4)</w:t>
            </w:r>
          </w:p>
        </w:tc>
        <w:tc>
          <w:tcPr>
            <w:tcW w:w="2520" w:type="dxa"/>
          </w:tcPr>
          <w:p w14:paraId="18ACE902" w14:textId="77777777" w:rsidR="00684754" w:rsidRPr="0001770D" w:rsidRDefault="00684754" w:rsidP="004B74C4">
            <w:pPr>
              <w:jc w:val="center"/>
              <w:rPr>
                <w:szCs w:val="24"/>
              </w:rPr>
            </w:pPr>
            <w:r w:rsidRPr="00684A16">
              <w:rPr>
                <w:szCs w:val="24"/>
              </w:rPr>
              <w:t xml:space="preserve">PN-EN ISO </w:t>
            </w:r>
          </w:p>
          <w:p w14:paraId="3C73B23E" w14:textId="7AAA081E" w:rsidR="00684754" w:rsidRPr="0001770D" w:rsidRDefault="008352AD" w:rsidP="004B74C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7783 </w:t>
            </w:r>
          </w:p>
        </w:tc>
      </w:tr>
      <w:tr w:rsidR="00684754" w:rsidRPr="00902FCC" w14:paraId="75770532" w14:textId="77777777" w:rsidTr="008352AD">
        <w:tc>
          <w:tcPr>
            <w:tcW w:w="526" w:type="dxa"/>
          </w:tcPr>
          <w:p w14:paraId="67409FAD" w14:textId="77777777" w:rsidR="00684754" w:rsidRPr="0001770D" w:rsidRDefault="00684754" w:rsidP="004B74C4">
            <w:pPr>
              <w:jc w:val="center"/>
              <w:rPr>
                <w:szCs w:val="24"/>
              </w:rPr>
            </w:pPr>
            <w:r w:rsidRPr="00684A16">
              <w:rPr>
                <w:szCs w:val="24"/>
              </w:rPr>
              <w:t>5</w:t>
            </w:r>
          </w:p>
        </w:tc>
        <w:tc>
          <w:tcPr>
            <w:tcW w:w="2424" w:type="dxa"/>
          </w:tcPr>
          <w:p w14:paraId="353A98E6" w14:textId="77777777" w:rsidR="00684754" w:rsidRPr="0001770D" w:rsidRDefault="00684754" w:rsidP="004B74C4">
            <w:pPr>
              <w:rPr>
                <w:szCs w:val="24"/>
              </w:rPr>
            </w:pPr>
            <w:r w:rsidRPr="00684A16">
              <w:rPr>
                <w:szCs w:val="24"/>
              </w:rPr>
              <w:t>Opór dyfuzyjny dla dwutlenku węgla</w:t>
            </w:r>
          </w:p>
        </w:tc>
        <w:tc>
          <w:tcPr>
            <w:tcW w:w="3360" w:type="dxa"/>
          </w:tcPr>
          <w:p w14:paraId="24087C5C" w14:textId="77777777" w:rsidR="00684754" w:rsidRPr="0001770D" w:rsidRDefault="00684754" w:rsidP="004B74C4">
            <w:pPr>
              <w:spacing w:before="120"/>
              <w:jc w:val="center"/>
              <w:rPr>
                <w:szCs w:val="24"/>
              </w:rPr>
            </w:pPr>
            <w:r w:rsidRPr="00684A16">
              <w:rPr>
                <w:szCs w:val="24"/>
              </w:rPr>
              <w:t xml:space="preserve">Nie mniej niż </w:t>
            </w:r>
            <w:smartTag w:uri="urn:schemas-microsoft-com:office:smarttags" w:element="metricconverter">
              <w:smartTagPr>
                <w:attr w:name="ProductID" w:val="50 m"/>
              </w:smartTagPr>
              <w:r w:rsidRPr="00684A16">
                <w:rPr>
                  <w:szCs w:val="24"/>
                </w:rPr>
                <w:t>50 m</w:t>
              </w:r>
            </w:smartTag>
          </w:p>
        </w:tc>
        <w:tc>
          <w:tcPr>
            <w:tcW w:w="2520" w:type="dxa"/>
          </w:tcPr>
          <w:p w14:paraId="74978FDD" w14:textId="5646FDDE" w:rsidR="00684754" w:rsidRPr="0001770D" w:rsidRDefault="008352AD" w:rsidP="004B74C4">
            <w:pPr>
              <w:spacing w:before="12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PN-EN 1062-6 </w:t>
            </w:r>
          </w:p>
        </w:tc>
      </w:tr>
      <w:tr w:rsidR="00684754" w:rsidRPr="00902FCC" w14:paraId="0DA29E9A" w14:textId="77777777" w:rsidTr="008352AD">
        <w:tc>
          <w:tcPr>
            <w:tcW w:w="526" w:type="dxa"/>
          </w:tcPr>
          <w:p w14:paraId="720F4F5D" w14:textId="77777777" w:rsidR="00684754" w:rsidRPr="0001770D" w:rsidRDefault="00684754" w:rsidP="004B74C4">
            <w:pPr>
              <w:jc w:val="center"/>
              <w:rPr>
                <w:szCs w:val="24"/>
              </w:rPr>
            </w:pPr>
            <w:r w:rsidRPr="00684A16">
              <w:rPr>
                <w:szCs w:val="24"/>
              </w:rPr>
              <w:t>6</w:t>
            </w:r>
          </w:p>
        </w:tc>
        <w:tc>
          <w:tcPr>
            <w:tcW w:w="2424" w:type="dxa"/>
          </w:tcPr>
          <w:p w14:paraId="50649AE5" w14:textId="77777777" w:rsidR="00684754" w:rsidRPr="0001770D" w:rsidRDefault="00684754" w:rsidP="004B74C4">
            <w:pPr>
              <w:rPr>
                <w:szCs w:val="24"/>
              </w:rPr>
            </w:pPr>
            <w:r w:rsidRPr="00684A16">
              <w:rPr>
                <w:szCs w:val="24"/>
              </w:rPr>
              <w:t>Absorpcja kapilarna i przepuszczalność wody</w:t>
            </w:r>
          </w:p>
        </w:tc>
        <w:tc>
          <w:tcPr>
            <w:tcW w:w="3360" w:type="dxa"/>
          </w:tcPr>
          <w:p w14:paraId="3E9723A0" w14:textId="77777777" w:rsidR="00684754" w:rsidRPr="0001770D" w:rsidRDefault="00684754" w:rsidP="004B74C4">
            <w:pPr>
              <w:jc w:val="center"/>
              <w:rPr>
                <w:szCs w:val="24"/>
              </w:rPr>
            </w:pPr>
            <w:r w:rsidRPr="00684A16">
              <w:rPr>
                <w:szCs w:val="24"/>
              </w:rPr>
              <w:t>&lt; 0,3 kg/(m</w:t>
            </w:r>
            <w:r w:rsidRPr="00684A16">
              <w:rPr>
                <w:szCs w:val="24"/>
                <w:vertAlign w:val="superscript"/>
              </w:rPr>
              <w:t>2</w:t>
            </w:r>
            <w:r w:rsidRPr="00684A16">
              <w:rPr>
                <w:szCs w:val="24"/>
              </w:rPr>
              <w:t>h</w:t>
            </w:r>
            <w:r w:rsidRPr="00684A16">
              <w:rPr>
                <w:szCs w:val="24"/>
                <w:vertAlign w:val="superscript"/>
              </w:rPr>
              <w:t>0,5</w:t>
            </w:r>
            <w:r w:rsidRPr="00684A16">
              <w:rPr>
                <w:szCs w:val="24"/>
              </w:rPr>
              <w:t>)</w:t>
            </w:r>
          </w:p>
          <w:p w14:paraId="473E8233" w14:textId="77777777" w:rsidR="00684754" w:rsidRPr="0001770D" w:rsidRDefault="00684754" w:rsidP="004B74C4">
            <w:pPr>
              <w:jc w:val="center"/>
              <w:rPr>
                <w:szCs w:val="24"/>
              </w:rPr>
            </w:pPr>
            <w:r w:rsidRPr="00684A16">
              <w:rPr>
                <w:szCs w:val="24"/>
              </w:rPr>
              <w:t>zalecane &lt; 0,1 kg/(m</w:t>
            </w:r>
            <w:r w:rsidRPr="00684A16">
              <w:rPr>
                <w:szCs w:val="24"/>
                <w:vertAlign w:val="superscript"/>
              </w:rPr>
              <w:t>2</w:t>
            </w:r>
            <w:r w:rsidRPr="00684A16">
              <w:rPr>
                <w:szCs w:val="24"/>
              </w:rPr>
              <w:t>h</w:t>
            </w:r>
            <w:r w:rsidRPr="00684A16">
              <w:rPr>
                <w:szCs w:val="24"/>
                <w:vertAlign w:val="superscript"/>
              </w:rPr>
              <w:t>0,5</w:t>
            </w:r>
            <w:r w:rsidRPr="00684A16">
              <w:rPr>
                <w:szCs w:val="24"/>
              </w:rPr>
              <w:t>)</w:t>
            </w:r>
          </w:p>
        </w:tc>
        <w:tc>
          <w:tcPr>
            <w:tcW w:w="2520" w:type="dxa"/>
          </w:tcPr>
          <w:p w14:paraId="4415A689" w14:textId="3DC2ED9B" w:rsidR="00684754" w:rsidRPr="0001770D" w:rsidRDefault="008352AD" w:rsidP="004B74C4">
            <w:pPr>
              <w:spacing w:before="12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PN-EN 1062-3 </w:t>
            </w:r>
          </w:p>
        </w:tc>
      </w:tr>
      <w:tr w:rsidR="00684754" w:rsidRPr="00902FCC" w14:paraId="2303E8CC" w14:textId="77777777" w:rsidTr="008352AD">
        <w:tc>
          <w:tcPr>
            <w:tcW w:w="526" w:type="dxa"/>
          </w:tcPr>
          <w:p w14:paraId="32AB42B4" w14:textId="77777777" w:rsidR="00684754" w:rsidRPr="0001770D" w:rsidRDefault="00684754" w:rsidP="004B74C4">
            <w:pPr>
              <w:jc w:val="center"/>
              <w:rPr>
                <w:szCs w:val="24"/>
              </w:rPr>
            </w:pPr>
            <w:r w:rsidRPr="00684A16">
              <w:rPr>
                <w:szCs w:val="24"/>
              </w:rPr>
              <w:t>7</w:t>
            </w:r>
          </w:p>
        </w:tc>
        <w:tc>
          <w:tcPr>
            <w:tcW w:w="2424" w:type="dxa"/>
          </w:tcPr>
          <w:p w14:paraId="6F2AB52D" w14:textId="77777777" w:rsidR="00684754" w:rsidRPr="0001770D" w:rsidRDefault="00684754" w:rsidP="004B74C4">
            <w:pPr>
              <w:rPr>
                <w:szCs w:val="24"/>
              </w:rPr>
            </w:pPr>
            <w:r w:rsidRPr="00684A16">
              <w:rPr>
                <w:szCs w:val="24"/>
              </w:rPr>
              <w:t xml:space="preserve">Termiczna zgodność po 50 cyklach w roztworze nasyconym soli, mierzona wartością przyczepności </w:t>
            </w:r>
            <w:proofErr w:type="spellStart"/>
            <w:r w:rsidRPr="00684A16">
              <w:rPr>
                <w:szCs w:val="24"/>
              </w:rPr>
              <w:t>pull</w:t>
            </w:r>
            <w:proofErr w:type="spellEnd"/>
            <w:r w:rsidRPr="00684A16">
              <w:rPr>
                <w:szCs w:val="24"/>
              </w:rPr>
              <w:t>-off</w:t>
            </w:r>
          </w:p>
        </w:tc>
        <w:tc>
          <w:tcPr>
            <w:tcW w:w="3360" w:type="dxa"/>
          </w:tcPr>
          <w:p w14:paraId="54756B9E" w14:textId="77777777" w:rsidR="00684754" w:rsidRPr="0001770D" w:rsidRDefault="00684754" w:rsidP="004B74C4">
            <w:pPr>
              <w:jc w:val="center"/>
              <w:rPr>
                <w:szCs w:val="24"/>
              </w:rPr>
            </w:pPr>
          </w:p>
          <w:p w14:paraId="37AE785F" w14:textId="77777777" w:rsidR="00684754" w:rsidRPr="0001770D" w:rsidRDefault="00684754" w:rsidP="004B74C4">
            <w:pPr>
              <w:jc w:val="center"/>
              <w:rPr>
                <w:szCs w:val="24"/>
              </w:rPr>
            </w:pPr>
            <w:r w:rsidRPr="00684A16">
              <w:rPr>
                <w:szCs w:val="24"/>
              </w:rPr>
              <w:t xml:space="preserve">Powłoka bez uszkodzeń, </w:t>
            </w:r>
          </w:p>
          <w:p w14:paraId="3B4CA489" w14:textId="77777777" w:rsidR="00684754" w:rsidRPr="0001770D" w:rsidRDefault="00684754" w:rsidP="004B74C4">
            <w:pPr>
              <w:jc w:val="center"/>
              <w:rPr>
                <w:szCs w:val="24"/>
              </w:rPr>
            </w:pPr>
            <w:r w:rsidRPr="00684A16">
              <w:rPr>
                <w:szCs w:val="24"/>
              </w:rPr>
              <w:t xml:space="preserve">wartość </w:t>
            </w:r>
            <w:proofErr w:type="spellStart"/>
            <w:r w:rsidRPr="00684A16">
              <w:rPr>
                <w:szCs w:val="24"/>
              </w:rPr>
              <w:t>pull</w:t>
            </w:r>
            <w:proofErr w:type="spellEnd"/>
            <w:r w:rsidRPr="00684A16">
              <w:rPr>
                <w:szCs w:val="24"/>
              </w:rPr>
              <w:t>-off jak w p.3</w:t>
            </w:r>
          </w:p>
        </w:tc>
        <w:tc>
          <w:tcPr>
            <w:tcW w:w="2520" w:type="dxa"/>
          </w:tcPr>
          <w:p w14:paraId="0650F550" w14:textId="77777777" w:rsidR="00684754" w:rsidRPr="0001770D" w:rsidRDefault="00684754" w:rsidP="004B74C4">
            <w:pPr>
              <w:jc w:val="center"/>
              <w:rPr>
                <w:szCs w:val="24"/>
              </w:rPr>
            </w:pPr>
          </w:p>
          <w:p w14:paraId="6ADFB3DC" w14:textId="0DD44957" w:rsidR="00684754" w:rsidRPr="0001770D" w:rsidRDefault="008352AD" w:rsidP="004B74C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PN-EN 13687-1 </w:t>
            </w:r>
          </w:p>
        </w:tc>
      </w:tr>
      <w:tr w:rsidR="00684754" w:rsidRPr="00902FCC" w14:paraId="6F6DC76C" w14:textId="77777777" w:rsidTr="008352AD">
        <w:tc>
          <w:tcPr>
            <w:tcW w:w="526" w:type="dxa"/>
          </w:tcPr>
          <w:p w14:paraId="6806A6E9" w14:textId="77777777" w:rsidR="00684754" w:rsidRPr="0001770D" w:rsidRDefault="00684754" w:rsidP="004B74C4">
            <w:pPr>
              <w:jc w:val="center"/>
              <w:rPr>
                <w:szCs w:val="24"/>
              </w:rPr>
            </w:pPr>
            <w:r w:rsidRPr="00684A16">
              <w:rPr>
                <w:szCs w:val="24"/>
              </w:rPr>
              <w:t>8</w:t>
            </w:r>
          </w:p>
        </w:tc>
        <w:tc>
          <w:tcPr>
            <w:tcW w:w="2424" w:type="dxa"/>
          </w:tcPr>
          <w:p w14:paraId="623E1973" w14:textId="77777777" w:rsidR="00684754" w:rsidRPr="0001770D" w:rsidRDefault="00684754" w:rsidP="004B74C4">
            <w:pPr>
              <w:rPr>
                <w:szCs w:val="24"/>
              </w:rPr>
            </w:pPr>
            <w:r w:rsidRPr="00684A16">
              <w:rPr>
                <w:szCs w:val="24"/>
              </w:rPr>
              <w:t>Odporność na uderzenia*)</w:t>
            </w:r>
          </w:p>
        </w:tc>
        <w:tc>
          <w:tcPr>
            <w:tcW w:w="3360" w:type="dxa"/>
          </w:tcPr>
          <w:p w14:paraId="036344B2" w14:textId="77777777" w:rsidR="00684754" w:rsidRPr="00684A16" w:rsidRDefault="00684754" w:rsidP="004B74C4">
            <w:pPr>
              <w:jc w:val="center"/>
              <w:rPr>
                <w:szCs w:val="24"/>
              </w:rPr>
            </w:pPr>
            <w:r w:rsidRPr="00684A16">
              <w:rPr>
                <w:szCs w:val="24"/>
              </w:rPr>
              <w:t xml:space="preserve">Brak rys i </w:t>
            </w:r>
            <w:proofErr w:type="spellStart"/>
            <w:r w:rsidRPr="00684A16">
              <w:rPr>
                <w:szCs w:val="24"/>
              </w:rPr>
              <w:t>odspojeń</w:t>
            </w:r>
            <w:proofErr w:type="spellEnd"/>
            <w:r w:rsidRPr="00684A16">
              <w:rPr>
                <w:szCs w:val="24"/>
              </w:rPr>
              <w:t xml:space="preserve"> po uderzeniach w zależności od klasy:</w:t>
            </w:r>
          </w:p>
          <w:p w14:paraId="124F1411" w14:textId="77777777" w:rsidR="00684754" w:rsidRPr="00684A16" w:rsidRDefault="00684754" w:rsidP="004B74C4">
            <w:pPr>
              <w:jc w:val="center"/>
              <w:rPr>
                <w:szCs w:val="24"/>
              </w:rPr>
            </w:pPr>
            <w:r w:rsidRPr="00684A16">
              <w:rPr>
                <w:szCs w:val="24"/>
              </w:rPr>
              <w:lastRenderedPageBreak/>
              <w:t xml:space="preserve">I    ≥   4 </w:t>
            </w:r>
            <w:proofErr w:type="spellStart"/>
            <w:r w:rsidRPr="00684A16">
              <w:rPr>
                <w:szCs w:val="24"/>
              </w:rPr>
              <w:t>Nm</w:t>
            </w:r>
            <w:proofErr w:type="spellEnd"/>
          </w:p>
          <w:p w14:paraId="7EC19AE0" w14:textId="77777777" w:rsidR="00684754" w:rsidRPr="00684A16" w:rsidRDefault="00684754" w:rsidP="004B74C4">
            <w:pPr>
              <w:jc w:val="center"/>
              <w:rPr>
                <w:szCs w:val="24"/>
              </w:rPr>
            </w:pPr>
            <w:r w:rsidRPr="00684A16">
              <w:rPr>
                <w:szCs w:val="24"/>
              </w:rPr>
              <w:t xml:space="preserve">II   ≥ 10 </w:t>
            </w:r>
            <w:proofErr w:type="spellStart"/>
            <w:r w:rsidRPr="00684A16">
              <w:rPr>
                <w:szCs w:val="24"/>
              </w:rPr>
              <w:t>Nm</w:t>
            </w:r>
            <w:proofErr w:type="spellEnd"/>
          </w:p>
          <w:p w14:paraId="645F873F" w14:textId="77777777" w:rsidR="00684754" w:rsidRPr="00684A16" w:rsidRDefault="00684754" w:rsidP="004B74C4">
            <w:pPr>
              <w:jc w:val="center"/>
              <w:rPr>
                <w:szCs w:val="24"/>
              </w:rPr>
            </w:pPr>
            <w:r w:rsidRPr="00684A16">
              <w:rPr>
                <w:szCs w:val="24"/>
              </w:rPr>
              <w:t xml:space="preserve">III  ≥ 20 </w:t>
            </w:r>
            <w:proofErr w:type="spellStart"/>
            <w:r w:rsidRPr="00684A16">
              <w:rPr>
                <w:szCs w:val="24"/>
              </w:rPr>
              <w:t>Nm</w:t>
            </w:r>
            <w:proofErr w:type="spellEnd"/>
          </w:p>
        </w:tc>
        <w:tc>
          <w:tcPr>
            <w:tcW w:w="2520" w:type="dxa"/>
          </w:tcPr>
          <w:p w14:paraId="3FD4701A" w14:textId="77777777" w:rsidR="00684754" w:rsidRPr="0001770D" w:rsidRDefault="00684754" w:rsidP="004B74C4">
            <w:pPr>
              <w:jc w:val="center"/>
              <w:rPr>
                <w:szCs w:val="24"/>
              </w:rPr>
            </w:pPr>
          </w:p>
          <w:p w14:paraId="53DD64B8" w14:textId="5293EB18" w:rsidR="00684754" w:rsidRPr="0001770D" w:rsidRDefault="008352AD" w:rsidP="004B74C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PN EN ISO 6272-1 </w:t>
            </w:r>
          </w:p>
        </w:tc>
      </w:tr>
      <w:tr w:rsidR="00684754" w:rsidRPr="00902FCC" w14:paraId="0E52772F" w14:textId="77777777" w:rsidTr="008352AD">
        <w:tc>
          <w:tcPr>
            <w:tcW w:w="526" w:type="dxa"/>
          </w:tcPr>
          <w:p w14:paraId="61887F9B" w14:textId="77777777" w:rsidR="00684754" w:rsidRPr="0001770D" w:rsidRDefault="00684754" w:rsidP="004B74C4">
            <w:pPr>
              <w:jc w:val="center"/>
              <w:rPr>
                <w:szCs w:val="24"/>
              </w:rPr>
            </w:pPr>
            <w:r w:rsidRPr="00684A16">
              <w:rPr>
                <w:szCs w:val="24"/>
              </w:rPr>
              <w:t>9</w:t>
            </w:r>
          </w:p>
        </w:tc>
        <w:tc>
          <w:tcPr>
            <w:tcW w:w="2424" w:type="dxa"/>
          </w:tcPr>
          <w:p w14:paraId="4C94436F" w14:textId="77777777" w:rsidR="00684754" w:rsidRPr="0001770D" w:rsidRDefault="00684754" w:rsidP="004B74C4">
            <w:pPr>
              <w:rPr>
                <w:szCs w:val="24"/>
              </w:rPr>
            </w:pPr>
            <w:r w:rsidRPr="00684A16">
              <w:rPr>
                <w:szCs w:val="24"/>
              </w:rPr>
              <w:t>Odporność na UV</w:t>
            </w:r>
          </w:p>
        </w:tc>
        <w:tc>
          <w:tcPr>
            <w:tcW w:w="3360" w:type="dxa"/>
          </w:tcPr>
          <w:p w14:paraId="6EEBE944" w14:textId="77777777" w:rsidR="00684754" w:rsidRPr="0001770D" w:rsidRDefault="00684754" w:rsidP="004B74C4">
            <w:pPr>
              <w:jc w:val="center"/>
              <w:rPr>
                <w:szCs w:val="24"/>
              </w:rPr>
            </w:pPr>
            <w:r w:rsidRPr="00684A16">
              <w:rPr>
                <w:szCs w:val="24"/>
              </w:rPr>
              <w:t>Stopień kredowania nie większy niż 3, po 5 latach ekspozycji w atmosferze miejskiej</w:t>
            </w:r>
          </w:p>
        </w:tc>
        <w:tc>
          <w:tcPr>
            <w:tcW w:w="2520" w:type="dxa"/>
          </w:tcPr>
          <w:p w14:paraId="6B60BDC7" w14:textId="77777777" w:rsidR="00684754" w:rsidRPr="0001770D" w:rsidRDefault="00684754" w:rsidP="004B74C4">
            <w:pPr>
              <w:spacing w:before="120"/>
              <w:jc w:val="center"/>
              <w:rPr>
                <w:szCs w:val="24"/>
              </w:rPr>
            </w:pPr>
            <w:r w:rsidRPr="00684A16">
              <w:rPr>
                <w:szCs w:val="24"/>
              </w:rPr>
              <w:t xml:space="preserve">PN-EN ISO </w:t>
            </w:r>
          </w:p>
          <w:p w14:paraId="795D60AB" w14:textId="3FB2F7BE" w:rsidR="00684754" w:rsidRPr="0001770D" w:rsidRDefault="008352AD" w:rsidP="004B74C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4628-7</w:t>
            </w:r>
          </w:p>
        </w:tc>
      </w:tr>
      <w:tr w:rsidR="00684754" w:rsidRPr="00902FCC" w14:paraId="0748AAA2" w14:textId="77777777" w:rsidTr="008352AD">
        <w:tc>
          <w:tcPr>
            <w:tcW w:w="526" w:type="dxa"/>
          </w:tcPr>
          <w:p w14:paraId="0CB311AE" w14:textId="77777777" w:rsidR="00684754" w:rsidRPr="0001770D" w:rsidRDefault="00684754" w:rsidP="004B74C4">
            <w:pPr>
              <w:jc w:val="center"/>
              <w:rPr>
                <w:szCs w:val="24"/>
              </w:rPr>
            </w:pPr>
            <w:r w:rsidRPr="00684A16">
              <w:rPr>
                <w:szCs w:val="24"/>
              </w:rPr>
              <w:t>10</w:t>
            </w:r>
          </w:p>
        </w:tc>
        <w:tc>
          <w:tcPr>
            <w:tcW w:w="2424" w:type="dxa"/>
          </w:tcPr>
          <w:p w14:paraId="4CB9FE40" w14:textId="77777777" w:rsidR="00684754" w:rsidRPr="0001770D" w:rsidRDefault="00684754" w:rsidP="004B74C4">
            <w:pPr>
              <w:rPr>
                <w:szCs w:val="24"/>
              </w:rPr>
            </w:pPr>
            <w:r w:rsidRPr="00684A16">
              <w:rPr>
                <w:szCs w:val="24"/>
              </w:rPr>
              <w:t>Zdolność mostkowania rys*)</w:t>
            </w:r>
          </w:p>
        </w:tc>
        <w:tc>
          <w:tcPr>
            <w:tcW w:w="3360" w:type="dxa"/>
          </w:tcPr>
          <w:p w14:paraId="165BC661" w14:textId="77777777" w:rsidR="00684754" w:rsidRPr="0001770D" w:rsidRDefault="00684754" w:rsidP="004B74C4">
            <w:pPr>
              <w:jc w:val="center"/>
              <w:rPr>
                <w:szCs w:val="24"/>
              </w:rPr>
            </w:pPr>
            <w:r w:rsidRPr="00684A16">
              <w:rPr>
                <w:szCs w:val="24"/>
              </w:rPr>
              <w:t>Dla powłok elastycznych należy określić klasę przenoszenia rys</w:t>
            </w:r>
          </w:p>
        </w:tc>
        <w:tc>
          <w:tcPr>
            <w:tcW w:w="2520" w:type="dxa"/>
          </w:tcPr>
          <w:p w14:paraId="59D624A5" w14:textId="098919F5" w:rsidR="00684754" w:rsidRPr="0001770D" w:rsidRDefault="008352AD" w:rsidP="004B74C4">
            <w:pPr>
              <w:spacing w:before="120"/>
              <w:jc w:val="center"/>
              <w:rPr>
                <w:szCs w:val="24"/>
              </w:rPr>
            </w:pPr>
            <w:r>
              <w:rPr>
                <w:szCs w:val="24"/>
              </w:rPr>
              <w:t>PN-EN 1062-7</w:t>
            </w:r>
          </w:p>
        </w:tc>
      </w:tr>
    </w:tbl>
    <w:p w14:paraId="09C6B06B" w14:textId="77777777" w:rsidR="00684754" w:rsidRPr="00BC6828" w:rsidRDefault="00684754" w:rsidP="008352AD">
      <w:pPr>
        <w:spacing w:after="120"/>
        <w:ind w:left="284" w:right="629"/>
        <w:jc w:val="both"/>
        <w:rPr>
          <w:szCs w:val="24"/>
        </w:rPr>
      </w:pPr>
      <w:r w:rsidRPr="00684A16">
        <w:rPr>
          <w:szCs w:val="24"/>
        </w:rPr>
        <w:t>*) Określane w przypadku, gdy dokumentacja projektowa tego wymaga</w:t>
      </w:r>
    </w:p>
    <w:p w14:paraId="266AA8C1" w14:textId="77777777" w:rsidR="00684754" w:rsidRDefault="00684754" w:rsidP="008352AD">
      <w:pPr>
        <w:ind w:left="284" w:right="629"/>
        <w:jc w:val="both"/>
      </w:pPr>
      <w:r>
        <w:t>Przed użyciem materiał należy wymieszać mieszadłem wolnoobrotowym (w przypadku materiałów dwuskładnikowych należy zwracać uwagę na właściwe proporcje składników), aż do uzyskania jednorodnej konsystencji, bez widocznych smug i pęcherzyków powietrza.</w:t>
      </w:r>
    </w:p>
    <w:p w14:paraId="64D8AA36" w14:textId="284D2598" w:rsidR="00684754" w:rsidRDefault="00684754" w:rsidP="008352AD">
      <w:pPr>
        <w:ind w:left="284" w:right="629"/>
        <w:jc w:val="both"/>
      </w:pPr>
      <w:r w:rsidRPr="00931198">
        <w:t xml:space="preserve">Dla zastosowanego materiału Wykonawca powinien przedstawić deklarację właściwości użytkowych, w której producent deklaruje, że produkt ten przeznaczony jest do wykonywania powłok </w:t>
      </w:r>
      <w:proofErr w:type="spellStart"/>
      <w:r>
        <w:t>antygraffiti</w:t>
      </w:r>
      <w:proofErr w:type="spellEnd"/>
      <w:r w:rsidRPr="00931198">
        <w:t xml:space="preserve"> na odkrytych powierzchniach betonowych konstrukcji narażonych na czynniki środowiskowe występujące w inżynierii komunikacyjnej</w:t>
      </w:r>
      <w:r>
        <w:t xml:space="preserve"> i jest zgodny z wymaganiami określonymi w dokumentacji projektowej i S</w:t>
      </w:r>
      <w:r w:rsidR="008352AD">
        <w:t>S</w:t>
      </w:r>
      <w:r>
        <w:t>T</w:t>
      </w:r>
      <w:r w:rsidRPr="00931198">
        <w:t>.</w:t>
      </w:r>
    </w:p>
    <w:p w14:paraId="6706B900" w14:textId="77777777" w:rsidR="00684754" w:rsidRDefault="00684754" w:rsidP="008352AD">
      <w:pPr>
        <w:ind w:left="284" w:right="629"/>
        <w:jc w:val="both"/>
      </w:pPr>
      <w:r>
        <w:t>W karcie technicznej materiału producent powinien określić sposób i środek do usuwania graffiti,</w:t>
      </w:r>
      <w:r w:rsidRPr="00B43E11">
        <w:t xml:space="preserve"> </w:t>
      </w:r>
      <w:r>
        <w:t>w przypadku środków trwałych liczbę cykli usuwania graffiti bez uszkodzenia powłoki oraz stopień usuwania graffiti.</w:t>
      </w:r>
    </w:p>
    <w:p w14:paraId="09C878C3" w14:textId="77777777" w:rsidR="00360836" w:rsidRPr="00BA250A" w:rsidRDefault="00360836" w:rsidP="00BA250A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</w:p>
    <w:p w14:paraId="7968FB7A" w14:textId="3C04B088" w:rsidR="00A15B4F" w:rsidRPr="00BA250A" w:rsidRDefault="00360836" w:rsidP="00455A23">
      <w:pPr>
        <w:pStyle w:val="Nagwek1"/>
        <w:numPr>
          <w:ilvl w:val="0"/>
          <w:numId w:val="1"/>
        </w:numPr>
        <w:tabs>
          <w:tab w:val="left" w:pos="1130"/>
        </w:tabs>
        <w:ind w:left="284" w:right="629" w:firstLine="0"/>
        <w:jc w:val="both"/>
      </w:pPr>
      <w:bookmarkStart w:id="32" w:name="_Toc120217176"/>
      <w:r w:rsidRPr="00BA250A">
        <w:t>SPRZĘT</w:t>
      </w:r>
      <w:bookmarkEnd w:id="32"/>
    </w:p>
    <w:p w14:paraId="68FDED3C" w14:textId="7F5C8DF9" w:rsidR="00360836" w:rsidRPr="00BA250A" w:rsidRDefault="00A15B4F" w:rsidP="002E2ABF">
      <w:pPr>
        <w:pStyle w:val="Akapitzlist"/>
        <w:numPr>
          <w:ilvl w:val="1"/>
          <w:numId w:val="2"/>
        </w:numPr>
        <w:tabs>
          <w:tab w:val="left" w:pos="1134"/>
        </w:tabs>
        <w:spacing w:before="155" w:line="278" w:lineRule="auto"/>
        <w:ind w:left="284" w:right="629" w:firstLine="0"/>
        <w:rPr>
          <w:b/>
          <w:sz w:val="20"/>
          <w:szCs w:val="20"/>
        </w:rPr>
      </w:pPr>
      <w:r w:rsidRPr="00BA250A">
        <w:rPr>
          <w:b/>
          <w:sz w:val="20"/>
          <w:szCs w:val="20"/>
        </w:rPr>
        <w:t>Szczegółowe</w:t>
      </w:r>
      <w:r w:rsidR="00360836" w:rsidRPr="00BA250A">
        <w:rPr>
          <w:b/>
          <w:sz w:val="20"/>
          <w:szCs w:val="20"/>
        </w:rPr>
        <w:t xml:space="preserve"> wymagania dotyczące sprzętu </w:t>
      </w:r>
    </w:p>
    <w:p w14:paraId="1047984B" w14:textId="5A1A7708" w:rsidR="001B1E8D" w:rsidRDefault="00A15B4F" w:rsidP="008352AD">
      <w:pPr>
        <w:tabs>
          <w:tab w:val="left" w:pos="1276"/>
        </w:tabs>
        <w:spacing w:before="155"/>
        <w:ind w:left="284" w:right="629"/>
        <w:jc w:val="both"/>
        <w:rPr>
          <w:sz w:val="20"/>
          <w:szCs w:val="20"/>
        </w:rPr>
      </w:pPr>
      <w:r w:rsidRPr="00BA250A">
        <w:rPr>
          <w:sz w:val="20"/>
          <w:szCs w:val="20"/>
        </w:rPr>
        <w:t xml:space="preserve">Szczegółowe </w:t>
      </w:r>
      <w:r w:rsidR="00360836" w:rsidRPr="00BA250A">
        <w:rPr>
          <w:sz w:val="20"/>
          <w:szCs w:val="20"/>
        </w:rPr>
        <w:t>wymagania dotyczące sprzętu podano w SST D-M-00.</w:t>
      </w:r>
      <w:r w:rsidR="008352AD">
        <w:rPr>
          <w:sz w:val="20"/>
          <w:szCs w:val="20"/>
        </w:rPr>
        <w:t>00.00 „Wymagania ogólne” pkt 3.</w:t>
      </w:r>
    </w:p>
    <w:p w14:paraId="445553F6" w14:textId="77777777" w:rsidR="008352AD" w:rsidRPr="008352AD" w:rsidRDefault="008352AD" w:rsidP="008352AD">
      <w:pPr>
        <w:tabs>
          <w:tab w:val="left" w:pos="1276"/>
        </w:tabs>
        <w:spacing w:before="155"/>
        <w:ind w:left="284" w:right="629"/>
        <w:jc w:val="both"/>
        <w:rPr>
          <w:sz w:val="20"/>
          <w:szCs w:val="20"/>
        </w:rPr>
      </w:pPr>
    </w:p>
    <w:p w14:paraId="39150A0C" w14:textId="2F1963D9" w:rsidR="00684754" w:rsidRPr="008352AD" w:rsidRDefault="00684754" w:rsidP="008352AD">
      <w:pPr>
        <w:pStyle w:val="Nagwek1"/>
        <w:spacing w:after="240"/>
      </w:pPr>
      <w:r w:rsidRPr="008352AD">
        <w:t xml:space="preserve">3.2. </w:t>
      </w:r>
      <w:r w:rsidR="008352AD">
        <w:tab/>
      </w:r>
      <w:r w:rsidRPr="008352AD">
        <w:t>Sprzęt do montażu prefabrykatów</w:t>
      </w:r>
    </w:p>
    <w:p w14:paraId="772F4712" w14:textId="77777777" w:rsidR="00684754" w:rsidRDefault="00684754" w:rsidP="008352AD">
      <w:pPr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>Do montażu i przeładunku prefabrykatów należy stosować dźwigi samochodowe o udźwigu i wysięgu odpowiadającym terenowym warunkom montażu i przeładunku oraz masie montowanych elementów. Odpowiadające tym warunkom dźwigi mogą wymagać utwardzonej powierzchni placu montażowego oraz drogi dojazdowej.</w:t>
      </w:r>
    </w:p>
    <w:p w14:paraId="4A4B0853" w14:textId="77777777" w:rsidR="008352AD" w:rsidRPr="008352AD" w:rsidRDefault="008352AD" w:rsidP="008352AD">
      <w:pPr>
        <w:ind w:left="284" w:right="629"/>
        <w:jc w:val="both"/>
        <w:rPr>
          <w:sz w:val="20"/>
          <w:szCs w:val="20"/>
        </w:rPr>
      </w:pPr>
    </w:p>
    <w:p w14:paraId="6BC68023" w14:textId="3B8B4433" w:rsidR="00684754" w:rsidRPr="008352AD" w:rsidRDefault="00684754" w:rsidP="008352AD">
      <w:pPr>
        <w:pStyle w:val="Nagwek1"/>
        <w:spacing w:after="240"/>
        <w:rPr>
          <w:caps/>
        </w:rPr>
      </w:pPr>
      <w:r w:rsidRPr="008352AD">
        <w:t xml:space="preserve">3.3. </w:t>
      </w:r>
      <w:r w:rsidR="008352AD">
        <w:tab/>
      </w:r>
      <w:r w:rsidRPr="008352AD">
        <w:t xml:space="preserve">Sprzęt  do nakładania powłok ochronnych </w:t>
      </w:r>
    </w:p>
    <w:p w14:paraId="392EAFA2" w14:textId="77777777" w:rsidR="00684754" w:rsidRPr="008352AD" w:rsidRDefault="00684754" w:rsidP="008352AD">
      <w:pPr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 xml:space="preserve">Do wykonania robót Wykonawca, w zależności od zastosowanego materiału, powinien dysponować prostym sprzętem malarskim, jak pędzle, wałki, szczotki dekarskie odporne na działanie agresywnych rozpuszczalników, głównie węglowodorów aromatycznych lub/i sprzętem do natrysku pneumatycznego lub hydrodynamicznego. </w:t>
      </w:r>
    </w:p>
    <w:p w14:paraId="4F14A980" w14:textId="77777777" w:rsidR="00684754" w:rsidRPr="008352AD" w:rsidRDefault="00684754" w:rsidP="008352AD">
      <w:pPr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 xml:space="preserve">W dyspozycji Wykonawcy powinien być też sprzęt do oczyszczania powierzchni betonowej (piaskownica z filtrem przeciwolejowym, sprężarka śrubowa, odkurzacz) oraz sprzęt do kontroli warunków atmosferycznych (wilgotnościomierz, termometry) i do wykonania badań wytrzymałości podłoża oraz jakości powłok wg pkt.6. </w:t>
      </w:r>
    </w:p>
    <w:p w14:paraId="061CCFA5" w14:textId="77777777" w:rsidR="00455A23" w:rsidRPr="004E616E" w:rsidRDefault="00455A23" w:rsidP="00455A23">
      <w:pPr>
        <w:numPr>
          <w:ilvl w:val="12"/>
          <w:numId w:val="0"/>
        </w:numPr>
        <w:ind w:firstLine="709"/>
      </w:pPr>
    </w:p>
    <w:p w14:paraId="5DEB0A9C" w14:textId="489AE5A6" w:rsidR="00A15B4F" w:rsidRPr="00BA250A" w:rsidRDefault="00A15B4F" w:rsidP="00455A23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ind w:left="284" w:right="629" w:firstLine="0"/>
        <w:jc w:val="both"/>
      </w:pPr>
      <w:bookmarkStart w:id="33" w:name="_Toc120217178"/>
      <w:r w:rsidRPr="00BA250A">
        <w:t>TRANSPORT</w:t>
      </w:r>
      <w:bookmarkEnd w:id="33"/>
      <w:r w:rsidRPr="00BA250A">
        <w:t xml:space="preserve"> </w:t>
      </w:r>
    </w:p>
    <w:p w14:paraId="4CA58ABB" w14:textId="71CE12A2" w:rsidR="00A15B4F" w:rsidRPr="00BA250A" w:rsidRDefault="00A15B4F" w:rsidP="008352AD">
      <w:pPr>
        <w:pStyle w:val="Akapitzlist"/>
        <w:numPr>
          <w:ilvl w:val="1"/>
          <w:numId w:val="1"/>
        </w:numPr>
        <w:tabs>
          <w:tab w:val="left" w:pos="1134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BA250A">
        <w:rPr>
          <w:b/>
          <w:sz w:val="20"/>
          <w:szCs w:val="20"/>
        </w:rPr>
        <w:t xml:space="preserve">Szczegółowe wymagania dotyczące transportu </w:t>
      </w:r>
    </w:p>
    <w:p w14:paraId="44B2740E" w14:textId="2C657A1A" w:rsidR="00A15B4F" w:rsidRPr="00BA250A" w:rsidRDefault="00A15B4F" w:rsidP="00BA250A">
      <w:pPr>
        <w:spacing w:line="360" w:lineRule="auto"/>
        <w:ind w:left="284" w:right="629"/>
        <w:jc w:val="both"/>
        <w:rPr>
          <w:sz w:val="20"/>
          <w:szCs w:val="20"/>
        </w:rPr>
      </w:pPr>
      <w:r w:rsidRPr="00BA250A">
        <w:rPr>
          <w:sz w:val="20"/>
          <w:szCs w:val="20"/>
        </w:rPr>
        <w:t xml:space="preserve">Szczegółowe wymagania dotyczące transportu podano w SST D-M-00.00.00 „Wymagania </w:t>
      </w:r>
      <w:r w:rsidRPr="00BA250A">
        <w:rPr>
          <w:sz w:val="20"/>
          <w:szCs w:val="20"/>
        </w:rPr>
        <w:lastRenderedPageBreak/>
        <w:t>ogólne” pkt 4.</w:t>
      </w:r>
    </w:p>
    <w:p w14:paraId="6CECBA5E" w14:textId="77777777" w:rsidR="00684754" w:rsidRPr="008352AD" w:rsidRDefault="00684754" w:rsidP="008352AD">
      <w:pPr>
        <w:pStyle w:val="Nagwek2"/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34" w:name="_Toc120217180"/>
      <w:r w:rsidRPr="008352AD">
        <w:rPr>
          <w:rFonts w:ascii="Verdana" w:hAnsi="Verdana"/>
          <w:b/>
          <w:color w:val="auto"/>
          <w:sz w:val="20"/>
          <w:szCs w:val="20"/>
        </w:rPr>
        <w:t>4.2. Transport prefabrykatów</w:t>
      </w:r>
    </w:p>
    <w:p w14:paraId="50B69146" w14:textId="77777777" w:rsidR="00684754" w:rsidRPr="008352AD" w:rsidRDefault="00684754" w:rsidP="008352AD">
      <w:pPr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>Podczas transportu prefabrykatów podwalin żelbetowych powinny być przestrzegane warunki:</w:t>
      </w:r>
    </w:p>
    <w:p w14:paraId="06EFFE47" w14:textId="77777777" w:rsidR="00684754" w:rsidRPr="008352AD" w:rsidRDefault="00684754" w:rsidP="008352AD">
      <w:pPr>
        <w:pStyle w:val="Listapunktowana"/>
        <w:numPr>
          <w:ilvl w:val="0"/>
          <w:numId w:val="31"/>
        </w:numPr>
        <w:spacing w:line="240" w:lineRule="auto"/>
        <w:ind w:left="284" w:right="629" w:firstLine="0"/>
        <w:jc w:val="both"/>
        <w:rPr>
          <w:rFonts w:ascii="Verdana" w:hAnsi="Verdana"/>
          <w:sz w:val="20"/>
        </w:rPr>
      </w:pPr>
      <w:r w:rsidRPr="008352AD">
        <w:rPr>
          <w:rFonts w:ascii="Verdana" w:hAnsi="Verdana"/>
          <w:sz w:val="20"/>
        </w:rPr>
        <w:t>elementy można transportować po osiągnięciu przez beton co najmniej 80 % wytrzymałości projektowej,</w:t>
      </w:r>
    </w:p>
    <w:p w14:paraId="3FFAA716" w14:textId="77777777" w:rsidR="00684754" w:rsidRPr="008352AD" w:rsidRDefault="00684754" w:rsidP="008352AD">
      <w:pPr>
        <w:pStyle w:val="Listapunktowana"/>
        <w:numPr>
          <w:ilvl w:val="0"/>
          <w:numId w:val="31"/>
        </w:numPr>
        <w:spacing w:line="240" w:lineRule="auto"/>
        <w:ind w:left="284" w:right="629" w:firstLine="0"/>
        <w:jc w:val="both"/>
        <w:rPr>
          <w:rFonts w:ascii="Verdana" w:hAnsi="Verdana"/>
          <w:sz w:val="20"/>
        </w:rPr>
      </w:pPr>
      <w:r w:rsidRPr="008352AD">
        <w:rPr>
          <w:rFonts w:ascii="Verdana" w:hAnsi="Verdana"/>
          <w:sz w:val="20"/>
        </w:rPr>
        <w:t>składowanie elementów na wolnym powietrzu w przypadku spadku temperatury poniżej 0°C jest dopuszczalne tylko po osiągnięciu przez beton pełniej mrozoodporności i wytrzymałości,</w:t>
      </w:r>
    </w:p>
    <w:p w14:paraId="0DE8C0CD" w14:textId="77777777" w:rsidR="00684754" w:rsidRPr="008352AD" w:rsidRDefault="00684754" w:rsidP="008352AD">
      <w:pPr>
        <w:pStyle w:val="Listapunktowana"/>
        <w:numPr>
          <w:ilvl w:val="0"/>
          <w:numId w:val="31"/>
        </w:numPr>
        <w:spacing w:line="240" w:lineRule="auto"/>
        <w:ind w:left="284" w:right="629" w:firstLine="0"/>
        <w:jc w:val="both"/>
        <w:rPr>
          <w:rFonts w:ascii="Verdana" w:hAnsi="Verdana"/>
          <w:sz w:val="20"/>
        </w:rPr>
      </w:pPr>
      <w:r w:rsidRPr="008352AD">
        <w:rPr>
          <w:rFonts w:ascii="Verdana" w:hAnsi="Verdana"/>
          <w:sz w:val="20"/>
        </w:rPr>
        <w:t>podczas przestawiania elementów, ich transportu, montażu i ponownego ustawienia niedopuszczalne są uderzenia i wstrząsy mogące spowodować mechaniczne uszkodzenia krawędzi,</w:t>
      </w:r>
    </w:p>
    <w:p w14:paraId="353928BA" w14:textId="77777777" w:rsidR="00684754" w:rsidRPr="008352AD" w:rsidRDefault="00684754" w:rsidP="008352AD">
      <w:pPr>
        <w:pStyle w:val="Listapunktowana"/>
        <w:numPr>
          <w:ilvl w:val="0"/>
          <w:numId w:val="31"/>
        </w:numPr>
        <w:spacing w:line="240" w:lineRule="auto"/>
        <w:ind w:left="284" w:right="629" w:firstLine="0"/>
        <w:jc w:val="both"/>
        <w:rPr>
          <w:rFonts w:ascii="Verdana" w:hAnsi="Verdana"/>
          <w:sz w:val="20"/>
        </w:rPr>
      </w:pPr>
      <w:r w:rsidRPr="008352AD">
        <w:rPr>
          <w:rFonts w:ascii="Verdana" w:hAnsi="Verdana"/>
          <w:sz w:val="20"/>
        </w:rPr>
        <w:t>podczas przenoszenia prefabrykat powinien być zawieszony na wystających z niego hakach przewidzianych w projekcie,</w:t>
      </w:r>
    </w:p>
    <w:p w14:paraId="6CDC4082" w14:textId="77777777" w:rsidR="00684754" w:rsidRPr="008352AD" w:rsidRDefault="00684754" w:rsidP="008352AD">
      <w:pPr>
        <w:pStyle w:val="Listapunktowana"/>
        <w:numPr>
          <w:ilvl w:val="0"/>
          <w:numId w:val="31"/>
        </w:numPr>
        <w:spacing w:line="240" w:lineRule="auto"/>
        <w:ind w:left="284" w:right="629" w:firstLine="0"/>
        <w:jc w:val="both"/>
        <w:rPr>
          <w:rFonts w:ascii="Verdana" w:hAnsi="Verdana"/>
          <w:sz w:val="20"/>
        </w:rPr>
      </w:pPr>
      <w:r w:rsidRPr="008352AD">
        <w:rPr>
          <w:rFonts w:ascii="Verdana" w:hAnsi="Verdana"/>
          <w:sz w:val="20"/>
        </w:rPr>
        <w:t>podczas składowania prefabrykatów należy zwrócić szczególną uwagę na zabezpieczenie wystającego zbrojenia przed pogięciem,</w:t>
      </w:r>
    </w:p>
    <w:p w14:paraId="58A3AC5E" w14:textId="77777777" w:rsidR="00684754" w:rsidRPr="008352AD" w:rsidRDefault="00684754" w:rsidP="008352AD">
      <w:pPr>
        <w:pStyle w:val="Listapunktowana"/>
        <w:numPr>
          <w:ilvl w:val="0"/>
          <w:numId w:val="31"/>
        </w:numPr>
        <w:spacing w:line="240" w:lineRule="auto"/>
        <w:ind w:left="284" w:right="629" w:firstLine="0"/>
        <w:jc w:val="both"/>
        <w:rPr>
          <w:rFonts w:ascii="Verdana" w:hAnsi="Verdana"/>
          <w:sz w:val="20"/>
        </w:rPr>
      </w:pPr>
      <w:r w:rsidRPr="008352AD">
        <w:rPr>
          <w:rFonts w:ascii="Verdana" w:hAnsi="Verdana"/>
          <w:sz w:val="20"/>
        </w:rPr>
        <w:t>podczas składowania prefabrykat powinien być podparty na krawędziakach drewnianych podłożonych tak, aby nie wywołać w prefabrykatach nieprzewidzianych w dokumentacji projektowej momentów zginających podczas przestawiania prefabrykatów, ich transportu i ponownego ustawiania niedopuszczalne są uderzenia i wstrząsy mogące spowodować mechaniczne uszkodzenia krawędzi betonu i betonu wokół wystających prętów zbrojeniowych,</w:t>
      </w:r>
    </w:p>
    <w:p w14:paraId="1A1876C8" w14:textId="77777777" w:rsidR="00684754" w:rsidRPr="008352AD" w:rsidRDefault="00684754" w:rsidP="008352AD">
      <w:pPr>
        <w:pStyle w:val="Listapunktowana"/>
        <w:numPr>
          <w:ilvl w:val="0"/>
          <w:numId w:val="31"/>
        </w:numPr>
        <w:spacing w:line="240" w:lineRule="auto"/>
        <w:ind w:left="284" w:right="629" w:firstLine="0"/>
        <w:jc w:val="both"/>
        <w:rPr>
          <w:rFonts w:ascii="Verdana" w:hAnsi="Verdana"/>
          <w:sz w:val="20"/>
        </w:rPr>
      </w:pPr>
      <w:r w:rsidRPr="008352AD">
        <w:rPr>
          <w:rFonts w:ascii="Verdana" w:hAnsi="Verdana"/>
          <w:sz w:val="20"/>
        </w:rPr>
        <w:t>prefabrykaty powinny być składowane w warunkach wysokiej wilgotności względnej,</w:t>
      </w:r>
    </w:p>
    <w:p w14:paraId="379187F6" w14:textId="77777777" w:rsidR="00684754" w:rsidRDefault="00684754" w:rsidP="008352AD">
      <w:pPr>
        <w:pStyle w:val="Listapunktowana"/>
        <w:numPr>
          <w:ilvl w:val="0"/>
          <w:numId w:val="31"/>
        </w:numPr>
        <w:spacing w:line="240" w:lineRule="auto"/>
        <w:ind w:left="284" w:right="629" w:firstLine="0"/>
        <w:jc w:val="both"/>
        <w:rPr>
          <w:rFonts w:ascii="Verdana" w:hAnsi="Verdana"/>
          <w:sz w:val="20"/>
        </w:rPr>
      </w:pPr>
      <w:r w:rsidRPr="008352AD">
        <w:rPr>
          <w:rFonts w:ascii="Verdana" w:hAnsi="Verdana"/>
          <w:sz w:val="20"/>
        </w:rPr>
        <w:t>powinny być przestrzegane zalecenia producenta prefabrykatów odnośnie ich składowania i transportu.</w:t>
      </w:r>
    </w:p>
    <w:p w14:paraId="2EC34754" w14:textId="77777777" w:rsidR="008352AD" w:rsidRPr="008352AD" w:rsidRDefault="008352AD" w:rsidP="008352AD">
      <w:pPr>
        <w:pStyle w:val="Listapunktowana"/>
        <w:spacing w:line="240" w:lineRule="auto"/>
        <w:ind w:left="284" w:right="629" w:firstLine="0"/>
        <w:jc w:val="both"/>
        <w:rPr>
          <w:rFonts w:ascii="Verdana" w:hAnsi="Verdana"/>
          <w:sz w:val="20"/>
        </w:rPr>
      </w:pPr>
    </w:p>
    <w:p w14:paraId="6519AFC6" w14:textId="14943BE2" w:rsidR="00684754" w:rsidRPr="008352AD" w:rsidRDefault="00684754" w:rsidP="008352AD">
      <w:pPr>
        <w:pStyle w:val="Nagwek2"/>
        <w:tabs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r w:rsidRPr="008352AD">
        <w:rPr>
          <w:rFonts w:ascii="Verdana" w:hAnsi="Verdana"/>
          <w:b/>
          <w:color w:val="auto"/>
          <w:sz w:val="20"/>
          <w:szCs w:val="20"/>
        </w:rPr>
        <w:t xml:space="preserve">4.3. </w:t>
      </w:r>
      <w:r w:rsidR="008352AD">
        <w:rPr>
          <w:rFonts w:ascii="Verdana" w:hAnsi="Verdana"/>
          <w:b/>
          <w:color w:val="auto"/>
          <w:sz w:val="20"/>
          <w:szCs w:val="20"/>
        </w:rPr>
        <w:tab/>
      </w:r>
      <w:r w:rsidRPr="008352AD">
        <w:rPr>
          <w:rFonts w:ascii="Verdana" w:hAnsi="Verdana"/>
          <w:b/>
          <w:color w:val="auto"/>
          <w:sz w:val="20"/>
          <w:szCs w:val="20"/>
        </w:rPr>
        <w:t>Transport materiałów do wykonania powłok ochronnych</w:t>
      </w:r>
    </w:p>
    <w:p w14:paraId="25791CBE" w14:textId="77777777" w:rsidR="00684754" w:rsidRPr="008352AD" w:rsidRDefault="00684754" w:rsidP="008352AD">
      <w:pPr>
        <w:pStyle w:val="10"/>
        <w:ind w:left="284" w:right="629"/>
        <w:rPr>
          <w:rFonts w:ascii="Verdana" w:hAnsi="Verdana"/>
          <w:sz w:val="20"/>
        </w:rPr>
      </w:pPr>
      <w:r w:rsidRPr="008352AD">
        <w:rPr>
          <w:rFonts w:ascii="Verdana" w:hAnsi="Verdana"/>
          <w:sz w:val="20"/>
        </w:rPr>
        <w:t xml:space="preserve">Materiały do wykonania powłok powinny być dostarczane, przechowywane i transportowane w oryginalnych, zamkniętych opakowaniach producenta, zgodnie z instrukcją producenta, w sposób zabezpieczający opakowania przed uszkodzeniem mechanicznym i zapewniającym niezmienność właściwości technicznych wyrobu.  </w:t>
      </w:r>
    </w:p>
    <w:p w14:paraId="32506863" w14:textId="77777777" w:rsidR="00684754" w:rsidRPr="008352AD" w:rsidRDefault="00684754" w:rsidP="008352AD">
      <w:pPr>
        <w:pStyle w:val="10"/>
        <w:ind w:left="284" w:right="629"/>
        <w:rPr>
          <w:rFonts w:ascii="Verdana" w:hAnsi="Verdana"/>
          <w:sz w:val="20"/>
        </w:rPr>
      </w:pPr>
      <w:r w:rsidRPr="008352AD">
        <w:rPr>
          <w:rFonts w:ascii="Verdana" w:hAnsi="Verdana"/>
          <w:sz w:val="20"/>
        </w:rPr>
        <w:t>Pojemniki powinny być magazynowane w pozycji stojącej z dala od źródeł ognia i elementów grzejnych, w warunkach zabezpieczających je przed nasłonecznieniem i wpływami atmosferycznymi. Pojemniki można ustawiać w pozycji stojącej na dowolnych paletach transportowych. Liczba pojemników oraz liczba warstw pojemników pakowanych na jednej palecie powinna być określona przez producenta.</w:t>
      </w:r>
    </w:p>
    <w:p w14:paraId="51C15CC1" w14:textId="77777777" w:rsidR="00684754" w:rsidRPr="008352AD" w:rsidRDefault="00684754" w:rsidP="008352AD">
      <w:pPr>
        <w:pStyle w:val="10"/>
        <w:ind w:left="284" w:right="629" w:firstLine="709"/>
        <w:rPr>
          <w:szCs w:val="24"/>
        </w:rPr>
      </w:pPr>
    </w:p>
    <w:p w14:paraId="67109D2F" w14:textId="71ED6039" w:rsidR="00A15B4F" w:rsidRPr="002E2ABF" w:rsidRDefault="00A15B4F" w:rsidP="002E2ABF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ind w:left="284" w:right="629" w:firstLine="0"/>
        <w:jc w:val="both"/>
      </w:pPr>
      <w:r w:rsidRPr="002E2ABF">
        <w:t>WYKONANIE ROBÓT</w:t>
      </w:r>
      <w:bookmarkEnd w:id="34"/>
      <w:r w:rsidRPr="002E2ABF">
        <w:t xml:space="preserve"> </w:t>
      </w:r>
    </w:p>
    <w:p w14:paraId="036B0897" w14:textId="15C93BA3" w:rsidR="00A15B4F" w:rsidRPr="002E2ABF" w:rsidRDefault="00A15B4F" w:rsidP="002E2ABF">
      <w:pPr>
        <w:pStyle w:val="Akapitzlist"/>
        <w:numPr>
          <w:ilvl w:val="1"/>
          <w:numId w:val="1"/>
        </w:numPr>
        <w:tabs>
          <w:tab w:val="left" w:pos="1134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2E2ABF">
        <w:rPr>
          <w:b/>
          <w:sz w:val="20"/>
          <w:szCs w:val="20"/>
        </w:rPr>
        <w:t xml:space="preserve">Szczegółowe zasady wykonania robót </w:t>
      </w:r>
    </w:p>
    <w:p w14:paraId="5BF6F31C" w14:textId="3FD01E4A" w:rsidR="00C64911" w:rsidRPr="002E2ABF" w:rsidRDefault="00A15B4F" w:rsidP="002E2ABF">
      <w:pPr>
        <w:spacing w:line="360" w:lineRule="auto"/>
        <w:ind w:left="284" w:right="629"/>
        <w:jc w:val="both"/>
        <w:rPr>
          <w:b/>
          <w:sz w:val="20"/>
          <w:szCs w:val="20"/>
        </w:rPr>
      </w:pPr>
      <w:r w:rsidRPr="002E2ABF">
        <w:rPr>
          <w:sz w:val="20"/>
          <w:szCs w:val="20"/>
        </w:rPr>
        <w:t>Szczegółowe zasady wykonania robót podano w SST D-M-00.00.00 „Wymagania ogólne” pkt 5.</w:t>
      </w:r>
    </w:p>
    <w:p w14:paraId="65702C21" w14:textId="6C044FCE" w:rsidR="00684754" w:rsidRPr="008352AD" w:rsidRDefault="00684754" w:rsidP="00FC732A">
      <w:pPr>
        <w:pStyle w:val="Nagwek2"/>
        <w:tabs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r w:rsidRPr="008352AD">
        <w:rPr>
          <w:rFonts w:ascii="Verdana" w:hAnsi="Verdana"/>
          <w:b/>
          <w:color w:val="auto"/>
          <w:sz w:val="20"/>
          <w:szCs w:val="20"/>
        </w:rPr>
        <w:t xml:space="preserve">5.2. </w:t>
      </w:r>
      <w:r w:rsidR="008352AD">
        <w:rPr>
          <w:rFonts w:ascii="Verdana" w:hAnsi="Verdana"/>
          <w:b/>
          <w:color w:val="auto"/>
          <w:sz w:val="20"/>
          <w:szCs w:val="20"/>
        </w:rPr>
        <w:tab/>
      </w:r>
      <w:r w:rsidRPr="008352AD">
        <w:rPr>
          <w:rFonts w:ascii="Verdana" w:hAnsi="Verdana"/>
          <w:b/>
          <w:color w:val="auto"/>
          <w:sz w:val="20"/>
          <w:szCs w:val="20"/>
        </w:rPr>
        <w:t>Montaż prefabrykatów</w:t>
      </w:r>
      <w:r w:rsidRPr="008352AD">
        <w:rPr>
          <w:rFonts w:ascii="Verdana" w:hAnsi="Verdana"/>
          <w:b/>
          <w:color w:val="auto"/>
          <w:sz w:val="20"/>
          <w:szCs w:val="20"/>
        </w:rPr>
        <w:tab/>
      </w:r>
    </w:p>
    <w:p w14:paraId="1B59D012" w14:textId="4DB80FDB" w:rsidR="00684754" w:rsidRPr="00FC732A" w:rsidRDefault="00684754" w:rsidP="00FC732A">
      <w:pPr>
        <w:pStyle w:val="Nagwek3"/>
        <w:tabs>
          <w:tab w:val="left" w:pos="1134"/>
        </w:tabs>
        <w:spacing w:after="240"/>
        <w:ind w:left="284" w:right="629"/>
        <w:jc w:val="both"/>
        <w:rPr>
          <w:rFonts w:ascii="Verdana" w:hAnsi="Verdana"/>
          <w:color w:val="auto"/>
          <w:sz w:val="20"/>
          <w:szCs w:val="20"/>
        </w:rPr>
      </w:pPr>
      <w:r w:rsidRPr="00FC732A">
        <w:rPr>
          <w:rFonts w:ascii="Verdana" w:hAnsi="Verdana"/>
          <w:color w:val="auto"/>
          <w:sz w:val="20"/>
          <w:szCs w:val="20"/>
        </w:rPr>
        <w:t xml:space="preserve">5.2.1. </w:t>
      </w:r>
      <w:r w:rsidR="00FC732A">
        <w:rPr>
          <w:rFonts w:ascii="Verdana" w:hAnsi="Verdana"/>
          <w:color w:val="auto"/>
          <w:sz w:val="20"/>
          <w:szCs w:val="20"/>
        </w:rPr>
        <w:tab/>
      </w:r>
      <w:r w:rsidRPr="00FC732A">
        <w:rPr>
          <w:rFonts w:ascii="Verdana" w:hAnsi="Verdana"/>
          <w:color w:val="auto"/>
          <w:sz w:val="20"/>
          <w:szCs w:val="20"/>
        </w:rPr>
        <w:t>Projekt technologiczny</w:t>
      </w:r>
    </w:p>
    <w:p w14:paraId="5F901376" w14:textId="77777777" w:rsidR="00684754" w:rsidRPr="008352AD" w:rsidRDefault="00684754" w:rsidP="008352AD">
      <w:pPr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>Prefabrykaty powinny być montowane  na podstawie projektu technologicznego Wykonawcy zawierającego:</w:t>
      </w:r>
    </w:p>
    <w:p w14:paraId="3547764D" w14:textId="77777777" w:rsidR="00684754" w:rsidRPr="008352AD" w:rsidRDefault="00684754" w:rsidP="008352AD">
      <w:pPr>
        <w:pStyle w:val="Akapitzlist"/>
        <w:widowControl/>
        <w:numPr>
          <w:ilvl w:val="0"/>
          <w:numId w:val="34"/>
        </w:numPr>
        <w:overflowPunct w:val="0"/>
        <w:adjustRightInd w:val="0"/>
        <w:spacing w:before="0"/>
        <w:ind w:left="284" w:right="629" w:firstLine="0"/>
        <w:contextualSpacing/>
        <w:textAlignment w:val="baseline"/>
        <w:rPr>
          <w:sz w:val="20"/>
          <w:szCs w:val="20"/>
        </w:rPr>
      </w:pPr>
      <w:r w:rsidRPr="008352AD">
        <w:rPr>
          <w:sz w:val="20"/>
          <w:szCs w:val="20"/>
        </w:rPr>
        <w:t>rysunki montażowe, pokazujące usytuowanie poszczególnych prefabrykatów w ekranie oraz sposoby ich połączenia,</w:t>
      </w:r>
    </w:p>
    <w:p w14:paraId="1192390C" w14:textId="77777777" w:rsidR="00684754" w:rsidRPr="008352AD" w:rsidRDefault="00684754" w:rsidP="008352AD">
      <w:pPr>
        <w:pStyle w:val="Akapitzlist"/>
        <w:widowControl/>
        <w:numPr>
          <w:ilvl w:val="0"/>
          <w:numId w:val="34"/>
        </w:numPr>
        <w:overflowPunct w:val="0"/>
        <w:adjustRightInd w:val="0"/>
        <w:spacing w:before="0"/>
        <w:ind w:left="284" w:right="629" w:firstLine="0"/>
        <w:contextualSpacing/>
        <w:textAlignment w:val="baseline"/>
        <w:rPr>
          <w:sz w:val="20"/>
          <w:szCs w:val="20"/>
        </w:rPr>
      </w:pPr>
      <w:r w:rsidRPr="008352AD">
        <w:rPr>
          <w:sz w:val="20"/>
          <w:szCs w:val="20"/>
        </w:rPr>
        <w:t>dane montażowe, zawierające wymagania odnośnie do sprzętu montażowego i materiałów pomocniczych,</w:t>
      </w:r>
    </w:p>
    <w:p w14:paraId="31A3495E" w14:textId="77777777" w:rsidR="00684754" w:rsidRPr="008352AD" w:rsidRDefault="00684754" w:rsidP="008352AD">
      <w:pPr>
        <w:pStyle w:val="Akapitzlist"/>
        <w:widowControl/>
        <w:numPr>
          <w:ilvl w:val="0"/>
          <w:numId w:val="34"/>
        </w:numPr>
        <w:overflowPunct w:val="0"/>
        <w:adjustRightInd w:val="0"/>
        <w:spacing w:before="0"/>
        <w:ind w:left="284" w:right="629" w:firstLine="0"/>
        <w:contextualSpacing/>
        <w:textAlignment w:val="baseline"/>
        <w:rPr>
          <w:sz w:val="20"/>
          <w:szCs w:val="20"/>
        </w:rPr>
      </w:pPr>
      <w:r w:rsidRPr="008352AD">
        <w:rPr>
          <w:sz w:val="20"/>
          <w:szCs w:val="20"/>
        </w:rPr>
        <w:t>instrukcję montażu, zawierającą niezbędne informacje dotyczące przenoszenia, składowania, ustawiania, pasowania, łączenia wyrobów oraz robót wykończeniowych.</w:t>
      </w:r>
    </w:p>
    <w:p w14:paraId="604263FA" w14:textId="77777777" w:rsidR="00684754" w:rsidRPr="008352AD" w:rsidRDefault="00684754" w:rsidP="008352AD">
      <w:pPr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 xml:space="preserve">Wykonawca powinien przygotować projekt technologiczny na podstawie i zgodnie z instrukcją producenta prefabrykatów. </w:t>
      </w:r>
    </w:p>
    <w:p w14:paraId="6E025CF0" w14:textId="25028978" w:rsidR="00684754" w:rsidRPr="00FC732A" w:rsidRDefault="00684754" w:rsidP="00FC732A">
      <w:pPr>
        <w:pStyle w:val="Nagwek3"/>
        <w:tabs>
          <w:tab w:val="left" w:pos="1134"/>
        </w:tabs>
        <w:spacing w:after="240"/>
        <w:ind w:left="284" w:right="629"/>
        <w:jc w:val="both"/>
        <w:rPr>
          <w:rFonts w:ascii="Verdana" w:hAnsi="Verdana"/>
          <w:color w:val="auto"/>
          <w:sz w:val="20"/>
          <w:szCs w:val="20"/>
        </w:rPr>
      </w:pPr>
      <w:r w:rsidRPr="00FC732A">
        <w:rPr>
          <w:rFonts w:ascii="Verdana" w:hAnsi="Verdana"/>
          <w:color w:val="auto"/>
          <w:sz w:val="20"/>
          <w:szCs w:val="20"/>
        </w:rPr>
        <w:lastRenderedPageBreak/>
        <w:t xml:space="preserve">5.2.2. </w:t>
      </w:r>
      <w:r w:rsidR="00FC732A">
        <w:rPr>
          <w:rFonts w:ascii="Verdana" w:hAnsi="Verdana"/>
          <w:color w:val="auto"/>
          <w:sz w:val="20"/>
          <w:szCs w:val="20"/>
        </w:rPr>
        <w:tab/>
      </w:r>
      <w:r w:rsidRPr="00FC732A">
        <w:rPr>
          <w:rFonts w:ascii="Verdana" w:hAnsi="Verdana"/>
          <w:color w:val="auto"/>
          <w:sz w:val="20"/>
          <w:szCs w:val="20"/>
        </w:rPr>
        <w:t xml:space="preserve">Montaż belek </w:t>
      </w:r>
      <w:proofErr w:type="spellStart"/>
      <w:r w:rsidRPr="00FC732A">
        <w:rPr>
          <w:rFonts w:ascii="Verdana" w:hAnsi="Verdana"/>
          <w:color w:val="auto"/>
          <w:sz w:val="20"/>
          <w:szCs w:val="20"/>
        </w:rPr>
        <w:t>podwalinowych</w:t>
      </w:r>
      <w:proofErr w:type="spellEnd"/>
    </w:p>
    <w:p w14:paraId="6BB44B56" w14:textId="77777777" w:rsidR="00684754" w:rsidRPr="008352AD" w:rsidRDefault="00684754" w:rsidP="008352AD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 xml:space="preserve">Wiek montowanych belek powinien wynosić min. 30 dni. </w:t>
      </w:r>
    </w:p>
    <w:p w14:paraId="7EBB0EA9" w14:textId="77777777" w:rsidR="00684754" w:rsidRPr="008352AD" w:rsidRDefault="00684754" w:rsidP="008352AD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 xml:space="preserve">Elementy prefabrykowane należy odbierać w miejscu ich produkcji. Belki powinny być przedmiotem odbioru w zakresie zgodności z dokumentacją projektową, atestów kontroli jakości, spełnienia tolerancji wymiarowych oraz braku uszkodzeń i defektów widocznych, dyskwalifikujących oraz uniemożliwiających montaż. </w:t>
      </w:r>
    </w:p>
    <w:p w14:paraId="692E634D" w14:textId="77777777" w:rsidR="00684754" w:rsidRPr="008352AD" w:rsidRDefault="00684754" w:rsidP="008352AD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 xml:space="preserve">Montaż prefabrykatów powinien się odbywać zgodnie z projektem technologicznym robót opracowanym przez Wykonawcę wg </w:t>
      </w:r>
      <w:proofErr w:type="spellStart"/>
      <w:r w:rsidRPr="008352AD">
        <w:rPr>
          <w:sz w:val="20"/>
          <w:szCs w:val="20"/>
        </w:rPr>
        <w:t>pktu</w:t>
      </w:r>
      <w:proofErr w:type="spellEnd"/>
      <w:r w:rsidRPr="008352AD">
        <w:rPr>
          <w:sz w:val="20"/>
          <w:szCs w:val="20"/>
        </w:rPr>
        <w:t xml:space="preserve"> 5.2.1. i zatwierdzonym przez Inżyniera. </w:t>
      </w:r>
    </w:p>
    <w:p w14:paraId="33A46F31" w14:textId="77777777" w:rsidR="00684754" w:rsidRPr="008352AD" w:rsidRDefault="00684754" w:rsidP="008352AD">
      <w:pPr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>Przed przystąpieniem do montażu należy sprawdzić sprawność sprzętu montażowego i stan belek.</w:t>
      </w:r>
    </w:p>
    <w:p w14:paraId="464A8C0F" w14:textId="77777777" w:rsidR="00684754" w:rsidRPr="008352AD" w:rsidRDefault="00684754" w:rsidP="008352AD">
      <w:pPr>
        <w:ind w:left="284" w:right="629"/>
        <w:jc w:val="both"/>
        <w:rPr>
          <w:b/>
          <w:sz w:val="20"/>
          <w:szCs w:val="20"/>
        </w:rPr>
      </w:pPr>
      <w:r w:rsidRPr="008352AD">
        <w:rPr>
          <w:sz w:val="20"/>
          <w:szCs w:val="20"/>
        </w:rPr>
        <w:t>Belki należy podnosić za otwory/uchwyty montażowe wykonane/zabetonowane w wytwórni.</w:t>
      </w:r>
    </w:p>
    <w:p w14:paraId="34EBEC73" w14:textId="77777777" w:rsidR="00684754" w:rsidRPr="008352AD" w:rsidRDefault="00684754" w:rsidP="008352AD">
      <w:pPr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>W trakcie montażu prefabrykatów powinny być spełnione warunki:</w:t>
      </w:r>
    </w:p>
    <w:p w14:paraId="59DAB8D0" w14:textId="77777777" w:rsidR="00684754" w:rsidRPr="008352AD" w:rsidRDefault="00684754" w:rsidP="008352AD">
      <w:pPr>
        <w:widowControl/>
        <w:numPr>
          <w:ilvl w:val="0"/>
          <w:numId w:val="32"/>
        </w:numPr>
        <w:shd w:val="clear" w:color="auto" w:fill="FFFFFF"/>
        <w:tabs>
          <w:tab w:val="clear" w:pos="720"/>
          <w:tab w:val="num" w:pos="426"/>
        </w:tabs>
        <w:adjustRightInd w:val="0"/>
        <w:ind w:left="284" w:right="629" w:firstLine="0"/>
        <w:jc w:val="both"/>
        <w:rPr>
          <w:sz w:val="20"/>
          <w:szCs w:val="20"/>
        </w:rPr>
      </w:pPr>
      <w:r w:rsidRPr="008352AD">
        <w:rPr>
          <w:sz w:val="20"/>
          <w:szCs w:val="20"/>
        </w:rPr>
        <w:t xml:space="preserve">urządzenia pomocnicze używane przy montażu muszą być atestowane, </w:t>
      </w:r>
    </w:p>
    <w:p w14:paraId="36F0F6E1" w14:textId="77777777" w:rsidR="00684754" w:rsidRPr="008352AD" w:rsidRDefault="00684754" w:rsidP="008352AD">
      <w:pPr>
        <w:widowControl/>
        <w:numPr>
          <w:ilvl w:val="0"/>
          <w:numId w:val="32"/>
        </w:numPr>
        <w:shd w:val="clear" w:color="auto" w:fill="FFFFFF"/>
        <w:tabs>
          <w:tab w:val="clear" w:pos="720"/>
          <w:tab w:val="num" w:pos="426"/>
        </w:tabs>
        <w:adjustRightInd w:val="0"/>
        <w:ind w:left="284" w:right="629" w:firstLine="0"/>
        <w:jc w:val="both"/>
        <w:rPr>
          <w:sz w:val="20"/>
          <w:szCs w:val="20"/>
        </w:rPr>
      </w:pPr>
      <w:r w:rsidRPr="008352AD">
        <w:rPr>
          <w:sz w:val="20"/>
          <w:szCs w:val="20"/>
        </w:rPr>
        <w:t>prowadzenie robót montażowych jest zabronione przy szybkości wiatru &gt; 10 m/sek. oraz przy złej widoczności (zmierzch, mgła i pora nocna), jeżeli miejsce pracy nie jest zabezpieczone w oświetlenie o natężeniu światła co najmniej 50 luksów,</w:t>
      </w:r>
    </w:p>
    <w:p w14:paraId="553BDE1E" w14:textId="77777777" w:rsidR="00684754" w:rsidRPr="008352AD" w:rsidRDefault="00684754" w:rsidP="008352AD">
      <w:pPr>
        <w:widowControl/>
        <w:numPr>
          <w:ilvl w:val="0"/>
          <w:numId w:val="32"/>
        </w:numPr>
        <w:shd w:val="clear" w:color="auto" w:fill="FFFFFF"/>
        <w:tabs>
          <w:tab w:val="clear" w:pos="720"/>
          <w:tab w:val="num" w:pos="426"/>
        </w:tabs>
        <w:adjustRightInd w:val="0"/>
        <w:ind w:left="284" w:right="629" w:firstLine="0"/>
        <w:jc w:val="both"/>
        <w:rPr>
          <w:sz w:val="20"/>
          <w:szCs w:val="20"/>
        </w:rPr>
      </w:pPr>
      <w:r w:rsidRPr="008352AD">
        <w:rPr>
          <w:sz w:val="20"/>
          <w:szCs w:val="20"/>
        </w:rPr>
        <w:t xml:space="preserve">elementy prefabrykowane można zwolnić z podwieszek dopiero po ich zamontowaniu, </w:t>
      </w:r>
    </w:p>
    <w:p w14:paraId="74C51091" w14:textId="77777777" w:rsidR="00684754" w:rsidRPr="008352AD" w:rsidRDefault="00684754" w:rsidP="008352AD">
      <w:pPr>
        <w:widowControl/>
        <w:numPr>
          <w:ilvl w:val="0"/>
          <w:numId w:val="32"/>
        </w:numPr>
        <w:shd w:val="clear" w:color="auto" w:fill="FFFFFF"/>
        <w:tabs>
          <w:tab w:val="clear" w:pos="720"/>
          <w:tab w:val="num" w:pos="426"/>
        </w:tabs>
        <w:adjustRightInd w:val="0"/>
        <w:ind w:left="284" w:right="629" w:firstLine="0"/>
        <w:jc w:val="both"/>
        <w:rPr>
          <w:sz w:val="20"/>
          <w:szCs w:val="20"/>
        </w:rPr>
      </w:pPr>
      <w:r w:rsidRPr="008352AD">
        <w:rPr>
          <w:sz w:val="20"/>
          <w:szCs w:val="20"/>
        </w:rPr>
        <w:t>podnoszenie i przemieszczanie wraz z elementami prefabrykowanymi jednocześnie innych przedmiotów i ludzi jest zabronione,</w:t>
      </w:r>
    </w:p>
    <w:p w14:paraId="47198B8D" w14:textId="77777777" w:rsidR="00684754" w:rsidRPr="008352AD" w:rsidRDefault="00684754" w:rsidP="008352AD">
      <w:pPr>
        <w:widowControl/>
        <w:numPr>
          <w:ilvl w:val="0"/>
          <w:numId w:val="32"/>
        </w:numPr>
        <w:shd w:val="clear" w:color="auto" w:fill="FFFFFF"/>
        <w:tabs>
          <w:tab w:val="clear" w:pos="720"/>
          <w:tab w:val="num" w:pos="426"/>
        </w:tabs>
        <w:adjustRightInd w:val="0"/>
        <w:ind w:left="284" w:right="629" w:firstLine="0"/>
        <w:jc w:val="both"/>
        <w:rPr>
          <w:sz w:val="20"/>
          <w:szCs w:val="20"/>
        </w:rPr>
      </w:pPr>
      <w:r w:rsidRPr="008352AD">
        <w:rPr>
          <w:sz w:val="20"/>
          <w:szCs w:val="20"/>
        </w:rPr>
        <w:t>prawidłowość podwieszenia elementu na haku należy kontrolować po podniesieniu go na wysokość nie większą niż 0,50 m.</w:t>
      </w:r>
    </w:p>
    <w:p w14:paraId="3A0B8A3F" w14:textId="77777777" w:rsidR="00684754" w:rsidRPr="008352AD" w:rsidRDefault="00684754" w:rsidP="008352AD">
      <w:pPr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>Belki podwalinowe powinny być montowane po wykonaniu fundamentów ekranów, pomiędzy słupami konstrukcyjnymi. W przypadku różnicy wysokości pomiędzy głowicami sąsiednich pali należy przyciąć strefę przypodporową podwaliny na odpowiednią głębokość, ale preferowane są fabrycznie prefabrykowane podwaliny z wycięciem dostosowanym do zmiennego ukształtowania terenu, wg pkt.2.2.1.</w:t>
      </w:r>
    </w:p>
    <w:p w14:paraId="67C36D8C" w14:textId="77777777" w:rsidR="00684754" w:rsidRDefault="00684754" w:rsidP="008352AD">
      <w:pPr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 xml:space="preserve">Pomiędzy podwalinę a słup stalowy w razie konieczności należy zastosować odpowiednią uszczelkę dobraną do materiałów i wymiarów elementów umożliwiającą trwałe unieruchomienie elementów. Wszystkie elementy podwalinowe powinny być zamontowane w sposób uniemożliwiający ich drganie czy ruch w konstrukcji. </w:t>
      </w:r>
    </w:p>
    <w:p w14:paraId="6ADA172C" w14:textId="77777777" w:rsidR="00FC732A" w:rsidRPr="008352AD" w:rsidRDefault="00FC732A" w:rsidP="008352AD">
      <w:pPr>
        <w:ind w:left="284" w:right="629"/>
        <w:jc w:val="both"/>
        <w:rPr>
          <w:sz w:val="20"/>
          <w:szCs w:val="20"/>
        </w:rPr>
      </w:pPr>
    </w:p>
    <w:p w14:paraId="4F4E8BD2" w14:textId="4BB7F61C" w:rsidR="00684754" w:rsidRPr="00FC732A" w:rsidRDefault="00684754" w:rsidP="00FC732A">
      <w:pPr>
        <w:pStyle w:val="Nagwek1"/>
        <w:spacing w:after="240"/>
      </w:pPr>
      <w:r w:rsidRPr="00FC732A">
        <w:t xml:space="preserve">5.3. </w:t>
      </w:r>
      <w:r w:rsidR="00FC732A">
        <w:tab/>
      </w:r>
      <w:r w:rsidRPr="00FC732A">
        <w:t>Zabezpieczenie powierzchni prefabrykatu</w:t>
      </w:r>
    </w:p>
    <w:p w14:paraId="1356C9B7" w14:textId="77777777" w:rsidR="00684754" w:rsidRPr="008352AD" w:rsidRDefault="00684754" w:rsidP="008352AD">
      <w:pPr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 xml:space="preserve">Powierzchnie prefabrykatu stykające się z gruntem powinny zostać zabezpieczone materiałem </w:t>
      </w:r>
      <w:proofErr w:type="spellStart"/>
      <w:r w:rsidRPr="008352AD">
        <w:rPr>
          <w:sz w:val="20"/>
          <w:szCs w:val="20"/>
        </w:rPr>
        <w:t>hydroizolacyjnym</w:t>
      </w:r>
      <w:proofErr w:type="spellEnd"/>
      <w:r w:rsidRPr="008352AD">
        <w:rPr>
          <w:sz w:val="20"/>
          <w:szCs w:val="20"/>
        </w:rPr>
        <w:t>, np. systemem na bazie asfaltu, zgodnym z pkt.2.6. Izolację należy wykonać do wysokości co najmniej 10 cm powyżej poziomu styku prefabrykatu z gruntem.</w:t>
      </w:r>
    </w:p>
    <w:p w14:paraId="03851D78" w14:textId="79420C4F" w:rsidR="00684754" w:rsidRPr="008352AD" w:rsidRDefault="00684754" w:rsidP="008352AD">
      <w:pPr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>Powierzchnie widoczne w trakcie eksploatacji można zabezpieczyć, jeśli dokumentacja projektowa lub S</w:t>
      </w:r>
      <w:r w:rsidR="00FC732A">
        <w:rPr>
          <w:sz w:val="20"/>
          <w:szCs w:val="20"/>
        </w:rPr>
        <w:t>S</w:t>
      </w:r>
      <w:r w:rsidRPr="008352AD">
        <w:rPr>
          <w:sz w:val="20"/>
          <w:szCs w:val="20"/>
        </w:rPr>
        <w:t>T tak przewidują, powłoką antykorozyjną wg pkt. 2.7.</w:t>
      </w:r>
    </w:p>
    <w:p w14:paraId="24C8299C" w14:textId="77777777" w:rsidR="00684754" w:rsidRDefault="00684754" w:rsidP="008352AD">
      <w:pPr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 xml:space="preserve">Powierzchni widoczne i dostępne w trakcie eksploatacji dla osób postronnych można zabezpieczyć materiałem </w:t>
      </w:r>
      <w:proofErr w:type="spellStart"/>
      <w:r w:rsidRPr="008352AD">
        <w:rPr>
          <w:sz w:val="20"/>
          <w:szCs w:val="20"/>
        </w:rPr>
        <w:t>antygraffiti</w:t>
      </w:r>
      <w:proofErr w:type="spellEnd"/>
      <w:r w:rsidRPr="008352AD">
        <w:rPr>
          <w:sz w:val="20"/>
          <w:szCs w:val="20"/>
        </w:rPr>
        <w:t xml:space="preserve"> wg pkt.2.8.  </w:t>
      </w:r>
    </w:p>
    <w:p w14:paraId="75DF343F" w14:textId="77777777" w:rsidR="00FC732A" w:rsidRPr="008352AD" w:rsidRDefault="00FC732A" w:rsidP="008352AD">
      <w:pPr>
        <w:ind w:left="284" w:right="629"/>
        <w:jc w:val="both"/>
        <w:rPr>
          <w:sz w:val="20"/>
          <w:szCs w:val="20"/>
        </w:rPr>
      </w:pPr>
    </w:p>
    <w:p w14:paraId="2DF1152C" w14:textId="0EE45757" w:rsidR="00684754" w:rsidRPr="00FC732A" w:rsidRDefault="00684754" w:rsidP="00FC732A">
      <w:pPr>
        <w:pStyle w:val="Nagwek3"/>
        <w:tabs>
          <w:tab w:val="left" w:pos="1134"/>
        </w:tabs>
        <w:spacing w:after="240"/>
        <w:ind w:left="284" w:right="629"/>
        <w:jc w:val="both"/>
        <w:rPr>
          <w:rFonts w:ascii="Verdana" w:hAnsi="Verdana"/>
          <w:color w:val="auto"/>
          <w:sz w:val="20"/>
          <w:szCs w:val="20"/>
        </w:rPr>
      </w:pPr>
      <w:r w:rsidRPr="00FC732A">
        <w:rPr>
          <w:rFonts w:ascii="Verdana" w:hAnsi="Verdana"/>
          <w:color w:val="auto"/>
          <w:sz w:val="20"/>
          <w:szCs w:val="20"/>
        </w:rPr>
        <w:t xml:space="preserve">5.3.1. </w:t>
      </w:r>
      <w:r w:rsidR="00FC732A">
        <w:rPr>
          <w:rFonts w:ascii="Verdana" w:hAnsi="Verdana"/>
          <w:color w:val="auto"/>
          <w:sz w:val="20"/>
          <w:szCs w:val="20"/>
        </w:rPr>
        <w:tab/>
      </w:r>
      <w:r w:rsidRPr="00FC732A">
        <w:rPr>
          <w:rFonts w:ascii="Verdana" w:hAnsi="Verdana"/>
          <w:color w:val="auto"/>
          <w:sz w:val="20"/>
          <w:szCs w:val="20"/>
        </w:rPr>
        <w:t>Przygotowanie podłoża do nakładania materiału ochronnego</w:t>
      </w:r>
    </w:p>
    <w:p w14:paraId="14C6081D" w14:textId="77777777" w:rsidR="00684754" w:rsidRPr="008352AD" w:rsidRDefault="00684754" w:rsidP="008352AD">
      <w:pPr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>Niezależnie od rodzaju materiału ochronnego powierzchnia betonu powinna być starannie przygotowana, zgodnie z instrukcją producenta.</w:t>
      </w:r>
    </w:p>
    <w:p w14:paraId="0C31ECD2" w14:textId="63DB0892" w:rsidR="00684754" w:rsidRPr="008352AD" w:rsidRDefault="00684754" w:rsidP="008352AD">
      <w:pPr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 xml:space="preserve">Materiał ochronny należy nakładać na, odpowiednio wytrzymałe mechanicznie, suche, czyste, niezmrożone, równe i gładkie podłoże (nierówności podłoża powinny odpowiadać wymaganiom producenta, dla powłok antykorozyjnych nie powinny być większe niż 1 mm), wolne od plam olejowych i pyłu. Jeżeli producent w kartach technicznych nie podaje inaczej, to materiał można układać na betonie po co najmniej 14 dniach od jego ułożenia. </w:t>
      </w:r>
    </w:p>
    <w:p w14:paraId="7256F52D" w14:textId="77777777" w:rsidR="00684754" w:rsidRPr="008352AD" w:rsidRDefault="00684754" w:rsidP="008352AD">
      <w:pPr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 xml:space="preserve">Z całej powierzchni należy usunąć mleczko cementowe, powierzchnię odpylić sprężonym powietrzem, miejsca zatłuszczone zmyć rozpuszczalnikami lub detergentami. Należy usunąć wszystkie luźne cząstki i zabrudzenia, które mogłyby mieć wpływ na przyczepność powłok. </w:t>
      </w:r>
    </w:p>
    <w:p w14:paraId="0D08A4BB" w14:textId="77777777" w:rsidR="00684754" w:rsidRDefault="00684754" w:rsidP="008352AD">
      <w:pPr>
        <w:pStyle w:val="Tekstpodstawowy"/>
        <w:autoSpaceDE/>
        <w:autoSpaceDN/>
        <w:ind w:left="284" w:right="629"/>
      </w:pPr>
      <w:r w:rsidRPr="008352AD">
        <w:t xml:space="preserve">Wytrzymałość na odrywanie prawidłowo przygotowanego podłoża betonowego nie powinna być mniejsza niż 1,5 </w:t>
      </w:r>
      <w:proofErr w:type="spellStart"/>
      <w:r w:rsidRPr="008352AD">
        <w:t>MPa</w:t>
      </w:r>
      <w:proofErr w:type="spellEnd"/>
      <w:r w:rsidRPr="008352AD">
        <w:t>, chyba że producent wymaga wyższej wytrzymałości. Jeśli producent nie zaleca inaczej, wilgotność podłoża nie powinna być większa niż 4%.</w:t>
      </w:r>
    </w:p>
    <w:p w14:paraId="32E3A7E0" w14:textId="77777777" w:rsidR="00FC732A" w:rsidRPr="008352AD" w:rsidRDefault="00FC732A" w:rsidP="008352AD">
      <w:pPr>
        <w:pStyle w:val="Tekstpodstawowy"/>
        <w:autoSpaceDE/>
        <w:autoSpaceDN/>
        <w:ind w:left="284" w:right="629"/>
      </w:pPr>
    </w:p>
    <w:p w14:paraId="1FA44445" w14:textId="62AC013B" w:rsidR="00684754" w:rsidRPr="00FC732A" w:rsidRDefault="00684754" w:rsidP="00FC732A">
      <w:pPr>
        <w:pStyle w:val="Nagwek3"/>
        <w:tabs>
          <w:tab w:val="left" w:pos="1134"/>
        </w:tabs>
        <w:spacing w:after="240"/>
        <w:ind w:left="284" w:right="629"/>
        <w:jc w:val="both"/>
        <w:rPr>
          <w:rFonts w:ascii="Verdana" w:hAnsi="Verdana"/>
          <w:color w:val="auto"/>
          <w:sz w:val="20"/>
          <w:szCs w:val="20"/>
        </w:rPr>
      </w:pPr>
      <w:r w:rsidRPr="00FC732A">
        <w:rPr>
          <w:rFonts w:ascii="Verdana" w:hAnsi="Verdana"/>
          <w:color w:val="auto"/>
          <w:sz w:val="20"/>
          <w:szCs w:val="20"/>
        </w:rPr>
        <w:lastRenderedPageBreak/>
        <w:t xml:space="preserve">5.3.2. </w:t>
      </w:r>
      <w:r w:rsidR="00FC732A">
        <w:rPr>
          <w:rFonts w:ascii="Verdana" w:hAnsi="Verdana"/>
          <w:color w:val="auto"/>
          <w:sz w:val="20"/>
          <w:szCs w:val="20"/>
        </w:rPr>
        <w:tab/>
      </w:r>
      <w:r w:rsidRPr="00FC732A">
        <w:rPr>
          <w:rFonts w:ascii="Verdana" w:hAnsi="Verdana"/>
          <w:color w:val="auto"/>
          <w:sz w:val="20"/>
          <w:szCs w:val="20"/>
        </w:rPr>
        <w:t>Warunki wykonywania robót</w:t>
      </w:r>
    </w:p>
    <w:p w14:paraId="7BDBD697" w14:textId="65CC2602" w:rsidR="00684754" w:rsidRPr="008352AD" w:rsidRDefault="00684754" w:rsidP="008352AD">
      <w:pPr>
        <w:pStyle w:val="Tekstpodstawowy"/>
        <w:tabs>
          <w:tab w:val="left" w:pos="709"/>
        </w:tabs>
        <w:ind w:left="284" w:right="629"/>
      </w:pPr>
      <w:r w:rsidRPr="008352AD">
        <w:t>Jeżeli producent materiałów nie podaje inaczej w karcie technicznej materiału, to podczas wykonywania ochrony powierzchniowej powinny być spełnione następujące minimalne warunki:</w:t>
      </w:r>
    </w:p>
    <w:p w14:paraId="3BC462A8" w14:textId="77777777" w:rsidR="00684754" w:rsidRPr="008352AD" w:rsidRDefault="00684754" w:rsidP="008352AD">
      <w:pPr>
        <w:pStyle w:val="Tekstpodstawowy"/>
        <w:widowControl/>
        <w:numPr>
          <w:ilvl w:val="0"/>
          <w:numId w:val="33"/>
        </w:numPr>
        <w:autoSpaceDE/>
        <w:autoSpaceDN/>
        <w:ind w:right="629" w:firstLine="0"/>
      </w:pPr>
      <w:r w:rsidRPr="008352AD">
        <w:t>prace  powinny być prowadzone w temperaturze nie wyższej niż +25°C, nie  niższej niż +</w:t>
      </w:r>
      <w:smartTag w:uri="urn:schemas-microsoft-com:office:smarttags" w:element="metricconverter">
        <w:smartTagPr>
          <w:attr w:name="ProductID" w:val="5ﾰC"/>
        </w:smartTagPr>
        <w:r w:rsidRPr="008352AD">
          <w:t>5°C</w:t>
        </w:r>
      </w:smartTag>
      <w:r w:rsidRPr="008352AD">
        <w:t xml:space="preserve">  i wyższej o min. </w:t>
      </w:r>
      <w:smartTag w:uri="urn:schemas-microsoft-com:office:smarttags" w:element="metricconverter">
        <w:smartTagPr>
          <w:attr w:name="ProductID" w:val="3ﾰC"/>
        </w:smartTagPr>
        <w:r w:rsidRPr="008352AD">
          <w:t>3°C</w:t>
        </w:r>
      </w:smartTag>
      <w:r w:rsidRPr="008352AD">
        <w:t xml:space="preserve"> od temperatury punktu rosy przy wilgotności względnej nie wyższej niż 80%. Nie wolno malować powierzchni konstrukcji pokrytych miejscowo szronem (dotyczy materiałów stosowanych w ujemnych temperaturach),</w:t>
      </w:r>
    </w:p>
    <w:p w14:paraId="78098DFC" w14:textId="77777777" w:rsidR="00684754" w:rsidRPr="008352AD" w:rsidRDefault="00684754" w:rsidP="008352AD">
      <w:pPr>
        <w:pStyle w:val="Tekstpodstawowy"/>
        <w:widowControl/>
        <w:numPr>
          <w:ilvl w:val="0"/>
          <w:numId w:val="33"/>
        </w:numPr>
        <w:autoSpaceDE/>
        <w:autoSpaceDN/>
        <w:ind w:right="629" w:firstLine="0"/>
      </w:pPr>
      <w:r w:rsidRPr="008352AD">
        <w:t>niedopuszczalne jest wykonywanie powłok podczas złej pogody - silnego wiatru, deszczu, we mgle oraz przy pojawiającej się na powierzchni betonu rosie,</w:t>
      </w:r>
    </w:p>
    <w:p w14:paraId="2198FD47" w14:textId="77777777" w:rsidR="00684754" w:rsidRPr="008352AD" w:rsidRDefault="00684754" w:rsidP="008352AD">
      <w:pPr>
        <w:pStyle w:val="Tekstpodstawowy"/>
        <w:widowControl/>
        <w:numPr>
          <w:ilvl w:val="0"/>
          <w:numId w:val="33"/>
        </w:numPr>
        <w:autoSpaceDE/>
        <w:autoSpaceDN/>
        <w:ind w:right="629" w:firstLine="0"/>
      </w:pPr>
      <w:r w:rsidRPr="008352AD">
        <w:t xml:space="preserve">temperatura materiału ochronnego powinna być zgodna z wymaganiami producenta (zwykle powinna być wyższa od </w:t>
      </w:r>
      <w:smartTag w:uri="urn:schemas-microsoft-com:office:smarttags" w:element="metricconverter">
        <w:smartTagPr>
          <w:attr w:name="ProductID" w:val="15ﾰC"/>
        </w:smartTagPr>
        <w:r w:rsidRPr="008352AD">
          <w:t>15°C</w:t>
        </w:r>
      </w:smartTag>
      <w:r w:rsidRPr="008352AD">
        <w:t xml:space="preserve"> i niższa od </w:t>
      </w:r>
      <w:smartTag w:uri="urn:schemas-microsoft-com:office:smarttags" w:element="metricconverter">
        <w:smartTagPr>
          <w:attr w:name="ProductID" w:val="25ﾰC"/>
        </w:smartTagPr>
        <w:r w:rsidRPr="008352AD">
          <w:t>25°C</w:t>
        </w:r>
      </w:smartTag>
      <w:r w:rsidRPr="008352AD">
        <w:t>).</w:t>
      </w:r>
    </w:p>
    <w:p w14:paraId="053942AC" w14:textId="77777777" w:rsidR="00684754" w:rsidRDefault="00684754" w:rsidP="008352AD">
      <w:pPr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 xml:space="preserve">Podczas nakładania powłok Wykonawca zobowiązany jest kontrolować wilgotność podłoża oraz temperaturę powietrza i podłoża. Parametry te muszą odpowiadać wymaganiom podanym w kartach technicznych lub ocenach technicznych. Pomiary warunków atmosferycznych należy wykonywać co 3-4 godziny i przy każdej odczuwalnej zmianie pogody.  </w:t>
      </w:r>
    </w:p>
    <w:p w14:paraId="64E4ADD1" w14:textId="77777777" w:rsidR="00FC732A" w:rsidRPr="008352AD" w:rsidRDefault="00FC732A" w:rsidP="008352AD">
      <w:pPr>
        <w:ind w:left="284" w:right="629"/>
        <w:jc w:val="both"/>
        <w:rPr>
          <w:sz w:val="20"/>
          <w:szCs w:val="20"/>
        </w:rPr>
      </w:pPr>
    </w:p>
    <w:p w14:paraId="00BF649B" w14:textId="33ED1088" w:rsidR="00684754" w:rsidRPr="00FC732A" w:rsidRDefault="00684754" w:rsidP="00FC732A">
      <w:pPr>
        <w:pStyle w:val="Nagwek3"/>
        <w:tabs>
          <w:tab w:val="left" w:pos="1134"/>
          <w:tab w:val="left" w:pos="1701"/>
        </w:tabs>
        <w:spacing w:after="240"/>
        <w:ind w:left="284" w:right="629"/>
        <w:jc w:val="both"/>
        <w:rPr>
          <w:rFonts w:ascii="Verdana" w:hAnsi="Verdana"/>
          <w:color w:val="auto"/>
          <w:sz w:val="20"/>
          <w:szCs w:val="20"/>
        </w:rPr>
      </w:pPr>
      <w:r w:rsidRPr="00FC732A">
        <w:rPr>
          <w:rFonts w:ascii="Verdana" w:hAnsi="Verdana"/>
          <w:color w:val="auto"/>
          <w:sz w:val="20"/>
          <w:szCs w:val="20"/>
        </w:rPr>
        <w:t xml:space="preserve">5.3.3. </w:t>
      </w:r>
      <w:r w:rsidR="00FC732A">
        <w:rPr>
          <w:rFonts w:ascii="Verdana" w:hAnsi="Verdana"/>
          <w:color w:val="auto"/>
          <w:sz w:val="20"/>
          <w:szCs w:val="20"/>
        </w:rPr>
        <w:tab/>
      </w:r>
      <w:r w:rsidRPr="00FC732A">
        <w:rPr>
          <w:rFonts w:ascii="Verdana" w:hAnsi="Verdana"/>
          <w:color w:val="auto"/>
          <w:sz w:val="20"/>
          <w:szCs w:val="20"/>
        </w:rPr>
        <w:t>Aplikacja materiału</w:t>
      </w:r>
    </w:p>
    <w:p w14:paraId="4983308D" w14:textId="77777777" w:rsidR="00684754" w:rsidRPr="008352AD" w:rsidRDefault="00684754" w:rsidP="008352AD">
      <w:pPr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 xml:space="preserve">Poszczególne warstwy materiału należy nakładać metodą wskazaną przez producenta (ręcznie, natryskiem hydrodynamicznym, pneumatycznym itp.). Przed ułożeniem kolejnej warstwy należy sprawdzić, czy poprzednia jest sucha i jednolita. Łączna grubość warstw powinna być zgodna z instrukcją producenta.    </w:t>
      </w:r>
    </w:p>
    <w:p w14:paraId="48EA6B70" w14:textId="77777777" w:rsidR="00684754" w:rsidRPr="008352AD" w:rsidRDefault="00684754" w:rsidP="008352AD">
      <w:pPr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 xml:space="preserve">Po wykonaniu powłoki ochronnej (izolacyjnej, antykorozyjnej lub </w:t>
      </w:r>
      <w:proofErr w:type="spellStart"/>
      <w:r w:rsidRPr="008352AD">
        <w:rPr>
          <w:sz w:val="20"/>
          <w:szCs w:val="20"/>
        </w:rPr>
        <w:t>antygraffiti</w:t>
      </w:r>
      <w:proofErr w:type="spellEnd"/>
      <w:r w:rsidRPr="008352AD">
        <w:rPr>
          <w:sz w:val="20"/>
          <w:szCs w:val="20"/>
        </w:rPr>
        <w:t>) zabezpieczone powierzchnie powinny być chronione przed zapyleniem, uszkodzeniem mechanicznym, światłem słonecznym, deszczem i innymi czynnikami atmosferycznymi przez okres określony przez producenta.</w:t>
      </w:r>
    </w:p>
    <w:p w14:paraId="6428814D" w14:textId="77777777" w:rsidR="00684754" w:rsidRPr="008352AD" w:rsidRDefault="00684754" w:rsidP="008352AD">
      <w:pPr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 xml:space="preserve">Powłokę </w:t>
      </w:r>
      <w:proofErr w:type="spellStart"/>
      <w:r w:rsidRPr="008352AD">
        <w:rPr>
          <w:sz w:val="20"/>
          <w:szCs w:val="20"/>
        </w:rPr>
        <w:t>hydroizolacyjną</w:t>
      </w:r>
      <w:proofErr w:type="spellEnd"/>
      <w:r w:rsidRPr="008352AD">
        <w:rPr>
          <w:sz w:val="20"/>
          <w:szCs w:val="20"/>
        </w:rPr>
        <w:t xml:space="preserve"> należy wykonać przed zamontowaniem i obsypaniem belki, pozostałe powłoki można wykonać po zamontowaniu prefabrykatu, pod warunkiem istnienia dostępu do powierzchni wymagających zabezpieczenia. </w:t>
      </w:r>
    </w:p>
    <w:p w14:paraId="235F933E" w14:textId="77777777" w:rsidR="0064773F" w:rsidRPr="008352AD" w:rsidRDefault="0064773F" w:rsidP="008352AD">
      <w:pPr>
        <w:ind w:left="284" w:right="629"/>
        <w:jc w:val="both"/>
        <w:rPr>
          <w:sz w:val="20"/>
          <w:szCs w:val="20"/>
        </w:rPr>
      </w:pPr>
    </w:p>
    <w:p w14:paraId="078F5210" w14:textId="16454AC3" w:rsidR="0064773F" w:rsidRPr="008352AD" w:rsidRDefault="0064773F" w:rsidP="008352AD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ind w:left="284" w:right="629" w:firstLine="0"/>
        <w:jc w:val="both"/>
      </w:pPr>
      <w:bookmarkStart w:id="35" w:name="_Toc120217188"/>
      <w:r w:rsidRPr="008352AD">
        <w:t>KONTROLA JAKOŚCI ROBÓT</w:t>
      </w:r>
      <w:bookmarkEnd w:id="35"/>
      <w:r w:rsidRPr="008352AD">
        <w:t xml:space="preserve"> </w:t>
      </w:r>
    </w:p>
    <w:p w14:paraId="204BEC95" w14:textId="6F6924FB" w:rsidR="0064773F" w:rsidRPr="008352AD" w:rsidRDefault="0064773F" w:rsidP="008352AD">
      <w:pPr>
        <w:pStyle w:val="Akapitzlist"/>
        <w:numPr>
          <w:ilvl w:val="1"/>
          <w:numId w:val="1"/>
        </w:numPr>
        <w:tabs>
          <w:tab w:val="left" w:pos="1134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8352AD">
        <w:rPr>
          <w:b/>
          <w:sz w:val="20"/>
          <w:szCs w:val="20"/>
        </w:rPr>
        <w:t xml:space="preserve">Szczegółowe zasady kontroli jakości robót </w:t>
      </w:r>
    </w:p>
    <w:p w14:paraId="2E9740F6" w14:textId="04153209" w:rsidR="0064773F" w:rsidRDefault="0064773F" w:rsidP="008352AD">
      <w:pPr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>Szczegółowe zasady</w:t>
      </w:r>
      <w:r w:rsidR="00F075B7" w:rsidRPr="008352AD">
        <w:rPr>
          <w:sz w:val="20"/>
          <w:szCs w:val="20"/>
        </w:rPr>
        <w:t xml:space="preserve"> kontroli jakości</w:t>
      </w:r>
      <w:r w:rsidRPr="008352AD">
        <w:rPr>
          <w:sz w:val="20"/>
          <w:szCs w:val="20"/>
        </w:rPr>
        <w:t xml:space="preserve"> robót podano w SST D-M-00.00.00 „Wymagania ogólne” pkt </w:t>
      </w:r>
      <w:r w:rsidR="00F075B7" w:rsidRPr="008352AD">
        <w:rPr>
          <w:sz w:val="20"/>
          <w:szCs w:val="20"/>
        </w:rPr>
        <w:t>6</w:t>
      </w:r>
      <w:r w:rsidRPr="008352AD">
        <w:rPr>
          <w:sz w:val="20"/>
          <w:szCs w:val="20"/>
        </w:rPr>
        <w:t>.</w:t>
      </w:r>
    </w:p>
    <w:p w14:paraId="2CE94EE4" w14:textId="77777777" w:rsidR="00FC732A" w:rsidRPr="008352AD" w:rsidRDefault="00FC732A" w:rsidP="008352AD">
      <w:pPr>
        <w:ind w:left="284" w:right="629"/>
        <w:jc w:val="both"/>
        <w:rPr>
          <w:sz w:val="20"/>
          <w:szCs w:val="20"/>
        </w:rPr>
      </w:pPr>
    </w:p>
    <w:p w14:paraId="4F6A909C" w14:textId="0D844B16" w:rsidR="00684754" w:rsidRPr="00FC732A" w:rsidRDefault="00684754" w:rsidP="00FC732A">
      <w:pPr>
        <w:pStyle w:val="Nagwek1"/>
        <w:spacing w:after="240"/>
      </w:pPr>
      <w:r w:rsidRPr="00FC732A">
        <w:t xml:space="preserve">6.2. </w:t>
      </w:r>
      <w:r w:rsidR="00FC732A">
        <w:tab/>
      </w:r>
      <w:r w:rsidRPr="00FC732A">
        <w:t>Badania przed przystąpieniem do robót</w:t>
      </w:r>
    </w:p>
    <w:p w14:paraId="463A8125" w14:textId="0989E26E" w:rsidR="00684754" w:rsidRPr="008352AD" w:rsidRDefault="00684754" w:rsidP="008352AD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>Przed przystąpieniem do robót Wykonawca powinien:</w:t>
      </w:r>
    </w:p>
    <w:p w14:paraId="4D79456D" w14:textId="77777777" w:rsidR="00684754" w:rsidRPr="008352AD" w:rsidRDefault="00684754" w:rsidP="008352AD">
      <w:pPr>
        <w:widowControl/>
        <w:numPr>
          <w:ilvl w:val="0"/>
          <w:numId w:val="35"/>
        </w:numPr>
        <w:tabs>
          <w:tab w:val="clear" w:pos="720"/>
          <w:tab w:val="num" w:pos="284"/>
        </w:tabs>
        <w:autoSpaceDE/>
        <w:autoSpaceDN/>
        <w:ind w:left="284" w:right="629" w:firstLine="0"/>
        <w:jc w:val="both"/>
        <w:rPr>
          <w:sz w:val="20"/>
          <w:szCs w:val="20"/>
        </w:rPr>
      </w:pPr>
      <w:r w:rsidRPr="008352AD">
        <w:rPr>
          <w:sz w:val="20"/>
          <w:szCs w:val="20"/>
        </w:rPr>
        <w:t xml:space="preserve">uzyskać wymagane dokumenty, dopuszczające wyroby budowlane do obrotu i powszechnego stosowania (deklaracje właściwości użytkowych, oceny/aprobaty techniczne, oświadczenia producenta, ew. badania materiałów wykonane przez dostawców itp.), potwierdzające zgodność materiałów z wymaganiami </w:t>
      </w:r>
      <w:proofErr w:type="spellStart"/>
      <w:r w:rsidRPr="008352AD">
        <w:rPr>
          <w:sz w:val="20"/>
          <w:szCs w:val="20"/>
        </w:rPr>
        <w:t>pktu</w:t>
      </w:r>
      <w:proofErr w:type="spellEnd"/>
      <w:r w:rsidRPr="008352AD">
        <w:rPr>
          <w:sz w:val="20"/>
          <w:szCs w:val="20"/>
        </w:rPr>
        <w:t xml:space="preserve"> 2 niniejszej specyfikacji,</w:t>
      </w:r>
    </w:p>
    <w:p w14:paraId="40695066" w14:textId="77777777" w:rsidR="00684754" w:rsidRPr="008352AD" w:rsidRDefault="00684754" w:rsidP="008352AD">
      <w:pPr>
        <w:widowControl/>
        <w:numPr>
          <w:ilvl w:val="0"/>
          <w:numId w:val="35"/>
        </w:numPr>
        <w:tabs>
          <w:tab w:val="clear" w:pos="720"/>
          <w:tab w:val="num" w:pos="284"/>
        </w:tabs>
        <w:autoSpaceDE/>
        <w:autoSpaceDN/>
        <w:ind w:left="284" w:right="629" w:firstLine="0"/>
        <w:jc w:val="both"/>
        <w:rPr>
          <w:sz w:val="20"/>
          <w:szCs w:val="20"/>
        </w:rPr>
      </w:pPr>
      <w:r w:rsidRPr="008352AD">
        <w:rPr>
          <w:sz w:val="20"/>
          <w:szCs w:val="20"/>
        </w:rPr>
        <w:t>przedstawić karty techniczne stosowanych materiałów,</w:t>
      </w:r>
    </w:p>
    <w:p w14:paraId="233E1ED1" w14:textId="77777777" w:rsidR="00684754" w:rsidRPr="008352AD" w:rsidRDefault="00684754" w:rsidP="008352AD">
      <w:pPr>
        <w:widowControl/>
        <w:numPr>
          <w:ilvl w:val="0"/>
          <w:numId w:val="35"/>
        </w:numPr>
        <w:tabs>
          <w:tab w:val="clear" w:pos="720"/>
          <w:tab w:val="num" w:pos="284"/>
        </w:tabs>
        <w:autoSpaceDE/>
        <w:autoSpaceDN/>
        <w:ind w:left="284" w:right="629" w:firstLine="0"/>
        <w:jc w:val="both"/>
        <w:rPr>
          <w:sz w:val="20"/>
          <w:szCs w:val="20"/>
        </w:rPr>
      </w:pPr>
      <w:r w:rsidRPr="008352AD">
        <w:rPr>
          <w:sz w:val="20"/>
          <w:szCs w:val="20"/>
        </w:rPr>
        <w:t xml:space="preserve">ew. wykonać własne badania właściwości materiałów przeznaczonych do wykonania robót, określone w </w:t>
      </w:r>
      <w:proofErr w:type="spellStart"/>
      <w:r w:rsidRPr="008352AD">
        <w:rPr>
          <w:sz w:val="20"/>
          <w:szCs w:val="20"/>
        </w:rPr>
        <w:t>pkcie</w:t>
      </w:r>
      <w:proofErr w:type="spellEnd"/>
      <w:r w:rsidRPr="008352AD">
        <w:rPr>
          <w:sz w:val="20"/>
          <w:szCs w:val="20"/>
        </w:rPr>
        <w:t xml:space="preserve"> 2 lub przez Inżyniera.</w:t>
      </w:r>
    </w:p>
    <w:p w14:paraId="2130EF86" w14:textId="77777777" w:rsidR="00684754" w:rsidRPr="008352AD" w:rsidRDefault="00684754" w:rsidP="008352AD">
      <w:pPr>
        <w:autoSpaceDE/>
        <w:autoSpaceDN/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>Wszystkie dokumenty oraz wyniki badań Wykonawca przedstawi Inżynierowi do akceptacji.</w:t>
      </w:r>
    </w:p>
    <w:p w14:paraId="6D61B8F9" w14:textId="77777777" w:rsidR="00684754" w:rsidRDefault="00684754" w:rsidP="008352AD">
      <w:pPr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>Na żądanie Inżyniera Wykonawca powinien przedstawić aktualne wyniki badań materiałów wykonywanych w ramach nadzoru wewnętrznego przez producenta.</w:t>
      </w:r>
    </w:p>
    <w:p w14:paraId="09C05C06" w14:textId="77777777" w:rsidR="00FC732A" w:rsidRPr="008352AD" w:rsidRDefault="00FC732A" w:rsidP="008352AD">
      <w:pPr>
        <w:ind w:left="284" w:right="629"/>
        <w:jc w:val="both"/>
        <w:rPr>
          <w:sz w:val="20"/>
          <w:szCs w:val="20"/>
        </w:rPr>
      </w:pPr>
    </w:p>
    <w:p w14:paraId="59022BBB" w14:textId="03A75439" w:rsidR="00684754" w:rsidRDefault="00684754" w:rsidP="00FC732A">
      <w:pPr>
        <w:pStyle w:val="Nagwek2"/>
        <w:numPr>
          <w:ilvl w:val="1"/>
          <w:numId w:val="1"/>
        </w:numPr>
        <w:tabs>
          <w:tab w:val="left" w:pos="1134"/>
        </w:tabs>
        <w:ind w:right="629"/>
        <w:jc w:val="both"/>
        <w:rPr>
          <w:rFonts w:ascii="Verdana" w:hAnsi="Verdana"/>
          <w:b/>
          <w:color w:val="auto"/>
          <w:sz w:val="20"/>
          <w:szCs w:val="20"/>
        </w:rPr>
      </w:pPr>
      <w:r w:rsidRPr="00FC732A">
        <w:rPr>
          <w:rFonts w:ascii="Verdana" w:hAnsi="Verdana"/>
          <w:b/>
          <w:color w:val="auto"/>
          <w:sz w:val="20"/>
          <w:szCs w:val="20"/>
        </w:rPr>
        <w:t>Badanie materiałów na budowie</w:t>
      </w:r>
    </w:p>
    <w:p w14:paraId="1BA42836" w14:textId="77777777" w:rsidR="00FC732A" w:rsidRPr="00FC732A" w:rsidRDefault="00FC732A" w:rsidP="00FC732A">
      <w:pPr>
        <w:ind w:left="276"/>
      </w:pPr>
    </w:p>
    <w:p w14:paraId="435487C4" w14:textId="5C8F4886" w:rsidR="00684754" w:rsidRDefault="00684754" w:rsidP="00FC732A">
      <w:pPr>
        <w:pStyle w:val="Nagwek3"/>
        <w:tabs>
          <w:tab w:val="left" w:pos="1134"/>
        </w:tabs>
        <w:ind w:left="284" w:right="629"/>
        <w:jc w:val="both"/>
        <w:rPr>
          <w:rFonts w:ascii="Verdana" w:hAnsi="Verdana"/>
          <w:color w:val="auto"/>
          <w:sz w:val="20"/>
          <w:szCs w:val="20"/>
        </w:rPr>
      </w:pPr>
      <w:r w:rsidRPr="00FC732A">
        <w:rPr>
          <w:rFonts w:ascii="Verdana" w:hAnsi="Verdana"/>
          <w:bCs/>
          <w:color w:val="auto"/>
          <w:sz w:val="20"/>
          <w:szCs w:val="20"/>
        </w:rPr>
        <w:t>6.3.1.</w:t>
      </w:r>
      <w:r w:rsidRPr="00FC732A">
        <w:rPr>
          <w:rFonts w:ascii="Verdana" w:hAnsi="Verdana"/>
          <w:color w:val="auto"/>
          <w:sz w:val="20"/>
          <w:szCs w:val="20"/>
        </w:rPr>
        <w:t xml:space="preserve"> </w:t>
      </w:r>
      <w:r w:rsidR="00FC732A">
        <w:rPr>
          <w:rFonts w:ascii="Verdana" w:hAnsi="Verdana"/>
          <w:color w:val="auto"/>
          <w:sz w:val="20"/>
          <w:szCs w:val="20"/>
        </w:rPr>
        <w:tab/>
      </w:r>
      <w:r w:rsidRPr="00FC732A">
        <w:rPr>
          <w:rFonts w:ascii="Verdana" w:hAnsi="Verdana"/>
          <w:color w:val="auto"/>
          <w:sz w:val="20"/>
          <w:szCs w:val="20"/>
        </w:rPr>
        <w:t xml:space="preserve">Kontrola belek </w:t>
      </w:r>
      <w:proofErr w:type="spellStart"/>
      <w:r w:rsidRPr="00FC732A">
        <w:rPr>
          <w:rFonts w:ascii="Verdana" w:hAnsi="Verdana"/>
          <w:color w:val="auto"/>
          <w:sz w:val="20"/>
          <w:szCs w:val="20"/>
        </w:rPr>
        <w:t>podwalinowych</w:t>
      </w:r>
      <w:proofErr w:type="spellEnd"/>
    </w:p>
    <w:p w14:paraId="1263D9B8" w14:textId="77777777" w:rsidR="00FC732A" w:rsidRPr="00FC732A" w:rsidRDefault="00FC732A" w:rsidP="00FC732A"/>
    <w:p w14:paraId="1CE93416" w14:textId="77777777" w:rsidR="00684754" w:rsidRPr="008352AD" w:rsidRDefault="00684754" w:rsidP="008352AD">
      <w:pPr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>Na placu budowy kontroli podlegają:</w:t>
      </w:r>
    </w:p>
    <w:p w14:paraId="397FE737" w14:textId="77777777" w:rsidR="00684754" w:rsidRPr="008352AD" w:rsidRDefault="00684754" w:rsidP="008352AD">
      <w:pPr>
        <w:pStyle w:val="Listanumerowana3"/>
        <w:numPr>
          <w:ilvl w:val="0"/>
          <w:numId w:val="36"/>
        </w:numPr>
        <w:tabs>
          <w:tab w:val="left" w:pos="426"/>
        </w:tabs>
        <w:spacing w:before="0" w:after="0" w:line="240" w:lineRule="auto"/>
        <w:ind w:left="284" w:right="629" w:firstLine="0"/>
        <w:rPr>
          <w:rFonts w:ascii="Verdana" w:hAnsi="Verdana"/>
        </w:rPr>
      </w:pPr>
      <w:r w:rsidRPr="008352AD">
        <w:rPr>
          <w:rFonts w:ascii="Verdana" w:hAnsi="Verdana"/>
        </w:rPr>
        <w:t>wartości odchyłek wymiarów i porównanie ich z dopuszczalnymi (kontrola wymagana, gdy  prefabrykatu nie oznakowano znakiem „CE” lub budowlanym „B”),</w:t>
      </w:r>
    </w:p>
    <w:p w14:paraId="7AD5FDCC" w14:textId="77777777" w:rsidR="00684754" w:rsidRPr="008352AD" w:rsidRDefault="00684754" w:rsidP="008352AD">
      <w:pPr>
        <w:pStyle w:val="Listanumerowana3"/>
        <w:numPr>
          <w:ilvl w:val="0"/>
          <w:numId w:val="36"/>
        </w:numPr>
        <w:tabs>
          <w:tab w:val="left" w:pos="426"/>
        </w:tabs>
        <w:spacing w:before="0" w:after="0" w:line="240" w:lineRule="auto"/>
        <w:ind w:left="284" w:right="629" w:firstLine="0"/>
        <w:rPr>
          <w:rFonts w:ascii="Verdana" w:hAnsi="Verdana"/>
        </w:rPr>
      </w:pPr>
      <w:r w:rsidRPr="008352AD">
        <w:rPr>
          <w:rFonts w:ascii="Verdana" w:hAnsi="Verdana"/>
        </w:rPr>
        <w:lastRenderedPageBreak/>
        <w:t>ogólny wygląd prefabrykatu,</w:t>
      </w:r>
    </w:p>
    <w:p w14:paraId="7E766C9F" w14:textId="77777777" w:rsidR="00684754" w:rsidRPr="008352AD" w:rsidRDefault="00684754" w:rsidP="008352AD">
      <w:pPr>
        <w:pStyle w:val="Listanumerowana3"/>
        <w:numPr>
          <w:ilvl w:val="0"/>
          <w:numId w:val="36"/>
        </w:numPr>
        <w:tabs>
          <w:tab w:val="left" w:pos="426"/>
        </w:tabs>
        <w:spacing w:before="0" w:after="0" w:line="240" w:lineRule="auto"/>
        <w:ind w:left="284" w:right="629" w:firstLine="0"/>
        <w:rPr>
          <w:rFonts w:ascii="Verdana" w:hAnsi="Verdana"/>
        </w:rPr>
      </w:pPr>
      <w:r w:rsidRPr="008352AD">
        <w:rPr>
          <w:rFonts w:ascii="Verdana" w:hAnsi="Verdana"/>
        </w:rPr>
        <w:t>zgodność z wymaganiami dokumentacji projektowej.</w:t>
      </w:r>
    </w:p>
    <w:p w14:paraId="20321729" w14:textId="77777777" w:rsidR="00684754" w:rsidRPr="008352AD" w:rsidRDefault="00684754" w:rsidP="008352AD">
      <w:pPr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>Przyjmuje się, że wymiary i wygląd ogólny prefabrykatu sprawdza się po 28 dniach dojrzewania w temperaturze w granicach od 10°C do 30°C. W trakcie wykonywania pomiarów prefabrykat  powinien być podparty w taki sposób, jak w trakcie późniejszej eksploatacji. Jeżeli jest to konieczne, należy przyjąć teoretyczne poprawki w celu uwzględnienia odchyłek wymiarów mierzonych w innych temperaturach,  po innym okresie dojrzewania lub w innych warunkach podparcia.</w:t>
      </w:r>
    </w:p>
    <w:p w14:paraId="3CAF3C10" w14:textId="452A48E9" w:rsidR="00684754" w:rsidRPr="008352AD" w:rsidRDefault="00684754" w:rsidP="008352AD">
      <w:pPr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>Miejsca pomiarowe długości, wysokości, szerokości i grubości prefabrykatu oraz sposób pomiaru zwichrowania i prostokątności określa załącznik  do PN-EN 13369.</w:t>
      </w:r>
    </w:p>
    <w:p w14:paraId="29A0062F" w14:textId="77777777" w:rsidR="00684754" w:rsidRPr="008352AD" w:rsidRDefault="00684754" w:rsidP="008352AD">
      <w:pPr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 xml:space="preserve">W trakcie odbioru Inżynier może zażądać przekazania kopii wyników badań ustalonych dla wykonania prefabrykatów w wytwórni. </w:t>
      </w:r>
    </w:p>
    <w:p w14:paraId="7B1A00C7" w14:textId="77777777" w:rsidR="00684754" w:rsidRPr="008352AD" w:rsidRDefault="00684754" w:rsidP="008352AD">
      <w:pPr>
        <w:spacing w:before="120" w:after="120"/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 xml:space="preserve">6.3.1.1. Tolerancje wymiarowe </w:t>
      </w:r>
    </w:p>
    <w:p w14:paraId="2F9CCBFA" w14:textId="023BF7F4" w:rsidR="00684754" w:rsidRPr="008352AD" w:rsidRDefault="00684754" w:rsidP="008352AD">
      <w:pPr>
        <w:ind w:left="284" w:right="629"/>
        <w:jc w:val="both"/>
        <w:rPr>
          <w:sz w:val="20"/>
          <w:szCs w:val="20"/>
        </w:rPr>
      </w:pPr>
      <w:r w:rsidRPr="008352AD">
        <w:rPr>
          <w:sz w:val="20"/>
          <w:szCs w:val="20"/>
        </w:rPr>
        <w:t>Jeżeli dokumentacja projektowa i S</w:t>
      </w:r>
      <w:r w:rsidR="00FC732A">
        <w:rPr>
          <w:sz w:val="20"/>
          <w:szCs w:val="20"/>
        </w:rPr>
        <w:t>S</w:t>
      </w:r>
      <w:r w:rsidRPr="008352AD">
        <w:rPr>
          <w:sz w:val="20"/>
          <w:szCs w:val="20"/>
        </w:rPr>
        <w:t>T nie przewidują inaczej można stosować poniższe tolerancje geometryczne dla oceny gotowego wyrobu.</w:t>
      </w:r>
    </w:p>
    <w:p w14:paraId="2D4A0F10" w14:textId="19120F82" w:rsidR="00684754" w:rsidRPr="008352AD" w:rsidRDefault="00684754" w:rsidP="008352AD">
      <w:pPr>
        <w:pStyle w:val="Akapitzlist"/>
        <w:widowControl/>
        <w:numPr>
          <w:ilvl w:val="0"/>
          <w:numId w:val="38"/>
        </w:numPr>
        <w:overflowPunct w:val="0"/>
        <w:adjustRightInd w:val="0"/>
        <w:spacing w:before="0"/>
        <w:ind w:left="284" w:right="629" w:firstLine="0"/>
        <w:contextualSpacing/>
        <w:textAlignment w:val="baseline"/>
        <w:rPr>
          <w:sz w:val="20"/>
          <w:szCs w:val="20"/>
        </w:rPr>
      </w:pPr>
      <w:r w:rsidRPr="008352AD">
        <w:rPr>
          <w:sz w:val="20"/>
          <w:szCs w:val="20"/>
        </w:rPr>
        <w:t>Tolerancje wymiarowe dla długości nie powinny przekraczać:</w:t>
      </w:r>
      <w:r w:rsidRPr="008352AD">
        <w:rPr>
          <w:sz w:val="20"/>
          <w:szCs w:val="20"/>
        </w:rPr>
        <w:br/>
        <w:t>- (20+L/2000) mm</w:t>
      </w:r>
      <w:r w:rsidR="00FC732A">
        <w:rPr>
          <w:sz w:val="20"/>
          <w:szCs w:val="20"/>
        </w:rPr>
        <w:t xml:space="preserve">, </w:t>
      </w:r>
      <w:r w:rsidRPr="008352AD">
        <w:rPr>
          <w:sz w:val="20"/>
          <w:szCs w:val="20"/>
        </w:rPr>
        <w:t>+ L/2000 mm.</w:t>
      </w:r>
    </w:p>
    <w:p w14:paraId="0D30991B" w14:textId="77777777" w:rsidR="00684754" w:rsidRPr="008352AD" w:rsidRDefault="00684754" w:rsidP="008352AD">
      <w:pPr>
        <w:pStyle w:val="Akapitzlist"/>
        <w:widowControl/>
        <w:numPr>
          <w:ilvl w:val="0"/>
          <w:numId w:val="38"/>
        </w:numPr>
        <w:overflowPunct w:val="0"/>
        <w:adjustRightInd w:val="0"/>
        <w:spacing w:before="0"/>
        <w:ind w:left="284" w:right="629" w:firstLine="0"/>
        <w:contextualSpacing/>
        <w:textAlignment w:val="baseline"/>
        <w:rPr>
          <w:sz w:val="20"/>
          <w:szCs w:val="20"/>
        </w:rPr>
      </w:pPr>
      <w:r w:rsidRPr="008352AD">
        <w:rPr>
          <w:sz w:val="20"/>
          <w:szCs w:val="20"/>
        </w:rPr>
        <w:t xml:space="preserve">Tolerancje wymiarów poprzecznych  nie powinny przekraczać wartości podanych w tabeli 6. </w:t>
      </w:r>
    </w:p>
    <w:p w14:paraId="1C6E4E71" w14:textId="77777777" w:rsidR="00684754" w:rsidRPr="008352AD" w:rsidRDefault="00684754" w:rsidP="008352AD">
      <w:pPr>
        <w:pStyle w:val="Legenda"/>
        <w:ind w:left="284" w:right="629"/>
        <w:rPr>
          <w:rFonts w:ascii="Verdana" w:hAnsi="Verdana"/>
          <w:sz w:val="20"/>
        </w:rPr>
      </w:pPr>
      <w:r w:rsidRPr="008352AD">
        <w:rPr>
          <w:rFonts w:ascii="Verdana" w:hAnsi="Verdana"/>
          <w:sz w:val="20"/>
        </w:rPr>
        <w:t>Tabela 6.</w:t>
      </w:r>
      <w:r w:rsidRPr="008352AD">
        <w:rPr>
          <w:rFonts w:ascii="Verdana" w:hAnsi="Verdana"/>
          <w:sz w:val="20"/>
        </w:rPr>
        <w:tab/>
        <w:t>Dopuszczalne odchyłki wymiarów przekrojów poprzecznych elementów prefabrykowanych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7"/>
        <w:gridCol w:w="2396"/>
      </w:tblGrid>
      <w:tr w:rsidR="00684754" w:rsidRPr="006A7C17" w14:paraId="79187935" w14:textId="77777777" w:rsidTr="00FC732A">
        <w:tc>
          <w:tcPr>
            <w:tcW w:w="5117" w:type="dxa"/>
          </w:tcPr>
          <w:p w14:paraId="4EC41047" w14:textId="77777777" w:rsidR="00684754" w:rsidRPr="00FC732A" w:rsidRDefault="00684754" w:rsidP="004B74C4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Nominalny wymiar przekroju poprzecznego</w:t>
            </w:r>
            <w:r w:rsidRPr="00FC732A">
              <w:rPr>
                <w:sz w:val="20"/>
                <w:szCs w:val="20"/>
              </w:rPr>
              <w:br/>
              <w:t>w sprawdzanym kierunku</w:t>
            </w:r>
          </w:p>
        </w:tc>
        <w:tc>
          <w:tcPr>
            <w:tcW w:w="2396" w:type="dxa"/>
          </w:tcPr>
          <w:p w14:paraId="52B15BB8" w14:textId="77777777" w:rsidR="00684754" w:rsidRPr="00FC732A" w:rsidRDefault="00684754" w:rsidP="004B74C4">
            <w:pPr>
              <w:spacing w:before="120" w:after="120"/>
              <w:jc w:val="center"/>
              <w:rPr>
                <w:sz w:val="20"/>
                <w:szCs w:val="20"/>
              </w:rPr>
            </w:pPr>
            <w:proofErr w:type="spellStart"/>
            <w:r w:rsidRPr="00FC732A">
              <w:rPr>
                <w:sz w:val="20"/>
                <w:szCs w:val="20"/>
              </w:rPr>
              <w:t>Δl</w:t>
            </w:r>
            <w:proofErr w:type="spellEnd"/>
            <w:r w:rsidRPr="00FC732A">
              <w:rPr>
                <w:sz w:val="20"/>
                <w:szCs w:val="20"/>
              </w:rPr>
              <w:br/>
              <w:t>(mm)</w:t>
            </w:r>
          </w:p>
        </w:tc>
      </w:tr>
      <w:tr w:rsidR="00684754" w:rsidRPr="00B15720" w14:paraId="1FFF5849" w14:textId="77777777" w:rsidTr="00FC732A">
        <w:tc>
          <w:tcPr>
            <w:tcW w:w="5117" w:type="dxa"/>
            <w:vAlign w:val="center"/>
          </w:tcPr>
          <w:p w14:paraId="3AEEDE84" w14:textId="77777777" w:rsidR="00684754" w:rsidRPr="00FC732A" w:rsidRDefault="00684754" w:rsidP="004B74C4">
            <w:pPr>
              <w:jc w:val="center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l≤150 mm</w:t>
            </w:r>
          </w:p>
        </w:tc>
        <w:tc>
          <w:tcPr>
            <w:tcW w:w="2396" w:type="dxa"/>
          </w:tcPr>
          <w:p w14:paraId="78DB35F5" w14:textId="77777777" w:rsidR="00684754" w:rsidRPr="00FC732A" w:rsidRDefault="00684754" w:rsidP="004B74C4">
            <w:pPr>
              <w:jc w:val="center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+10</w:t>
            </w:r>
          </w:p>
          <w:p w14:paraId="0CB1E733" w14:textId="77777777" w:rsidR="00684754" w:rsidRPr="00FC732A" w:rsidRDefault="00684754" w:rsidP="004B74C4">
            <w:pPr>
              <w:jc w:val="center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-5</w:t>
            </w:r>
          </w:p>
        </w:tc>
      </w:tr>
      <w:tr w:rsidR="00684754" w:rsidRPr="00B15720" w14:paraId="50FE4C34" w14:textId="77777777" w:rsidTr="00FC732A">
        <w:tc>
          <w:tcPr>
            <w:tcW w:w="5117" w:type="dxa"/>
            <w:vAlign w:val="center"/>
          </w:tcPr>
          <w:p w14:paraId="21EAAA4F" w14:textId="77777777" w:rsidR="00684754" w:rsidRPr="00FC732A" w:rsidRDefault="00684754" w:rsidP="004B74C4">
            <w:pPr>
              <w:jc w:val="center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l=400 mm</w:t>
            </w:r>
          </w:p>
        </w:tc>
        <w:tc>
          <w:tcPr>
            <w:tcW w:w="2396" w:type="dxa"/>
          </w:tcPr>
          <w:p w14:paraId="42945E9C" w14:textId="77777777" w:rsidR="00684754" w:rsidRPr="00FC732A" w:rsidRDefault="00684754" w:rsidP="004B74C4">
            <w:pPr>
              <w:jc w:val="center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±15</w:t>
            </w:r>
          </w:p>
        </w:tc>
      </w:tr>
      <w:tr w:rsidR="00684754" w:rsidRPr="00B15720" w14:paraId="58BB8F35" w14:textId="77777777" w:rsidTr="00FC732A">
        <w:tc>
          <w:tcPr>
            <w:tcW w:w="5117" w:type="dxa"/>
            <w:vAlign w:val="center"/>
          </w:tcPr>
          <w:p w14:paraId="46BE564F" w14:textId="77777777" w:rsidR="00684754" w:rsidRPr="00FC732A" w:rsidRDefault="00684754" w:rsidP="004B74C4">
            <w:pPr>
              <w:jc w:val="center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l≥2500 mm</w:t>
            </w:r>
          </w:p>
        </w:tc>
        <w:tc>
          <w:tcPr>
            <w:tcW w:w="2396" w:type="dxa"/>
          </w:tcPr>
          <w:p w14:paraId="0F01F25D" w14:textId="77777777" w:rsidR="00684754" w:rsidRPr="00FC732A" w:rsidRDefault="00684754" w:rsidP="004B74C4">
            <w:pPr>
              <w:jc w:val="center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±30</w:t>
            </w:r>
          </w:p>
        </w:tc>
      </w:tr>
      <w:tr w:rsidR="00684754" w:rsidRPr="00B15720" w14:paraId="1FA7BB9A" w14:textId="77777777" w:rsidTr="00FC732A">
        <w:tc>
          <w:tcPr>
            <w:tcW w:w="7513" w:type="dxa"/>
            <w:gridSpan w:val="2"/>
          </w:tcPr>
          <w:p w14:paraId="2E71D1A7" w14:textId="77777777" w:rsidR="00684754" w:rsidRPr="00FC732A" w:rsidRDefault="00684754" w:rsidP="004B74C4">
            <w:pPr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Gdzie:</w:t>
            </w:r>
          </w:p>
          <w:p w14:paraId="5F84AEA3" w14:textId="77777777" w:rsidR="00684754" w:rsidRPr="00FC732A" w:rsidRDefault="00684754" w:rsidP="004B74C4">
            <w:pPr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l-wymiar w przekroju poprzecznych</w:t>
            </w:r>
          </w:p>
          <w:p w14:paraId="002C7B2F" w14:textId="77777777" w:rsidR="00684754" w:rsidRPr="00FC732A" w:rsidRDefault="00684754" w:rsidP="004B74C4">
            <w:pPr>
              <w:rPr>
                <w:sz w:val="20"/>
                <w:szCs w:val="20"/>
              </w:rPr>
            </w:pPr>
            <w:proofErr w:type="spellStart"/>
            <w:r w:rsidRPr="00FC732A">
              <w:rPr>
                <w:sz w:val="20"/>
                <w:szCs w:val="20"/>
              </w:rPr>
              <w:t>Δl</w:t>
            </w:r>
            <w:proofErr w:type="spellEnd"/>
            <w:r w:rsidRPr="00FC732A">
              <w:rPr>
                <w:sz w:val="20"/>
                <w:szCs w:val="20"/>
              </w:rPr>
              <w:t>-dopuszczalna odchyłka wymiaru poprzecznego</w:t>
            </w:r>
          </w:p>
          <w:p w14:paraId="457E76FE" w14:textId="77777777" w:rsidR="00684754" w:rsidRPr="00FC732A" w:rsidRDefault="00684754" w:rsidP="004B74C4">
            <w:pPr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Wartości pośrednie uzyskuje się przez interpolację liniową</w:t>
            </w:r>
          </w:p>
        </w:tc>
      </w:tr>
    </w:tbl>
    <w:p w14:paraId="00D4D632" w14:textId="77777777" w:rsidR="00684754" w:rsidRDefault="00684754" w:rsidP="00684754">
      <w:pPr>
        <w:rPr>
          <w:szCs w:val="24"/>
        </w:rPr>
      </w:pPr>
    </w:p>
    <w:p w14:paraId="278BFB5D" w14:textId="08563323" w:rsidR="00684754" w:rsidRPr="00FC732A" w:rsidRDefault="00684754" w:rsidP="00FC732A">
      <w:pPr>
        <w:pStyle w:val="Akapitzlist"/>
        <w:widowControl/>
        <w:numPr>
          <w:ilvl w:val="0"/>
          <w:numId w:val="38"/>
        </w:numPr>
        <w:overflowPunct w:val="0"/>
        <w:adjustRightInd w:val="0"/>
        <w:spacing w:before="0"/>
        <w:ind w:left="284" w:right="629" w:firstLine="0"/>
        <w:contextualSpacing/>
        <w:textAlignment w:val="baseline"/>
        <w:rPr>
          <w:sz w:val="20"/>
          <w:szCs w:val="20"/>
        </w:rPr>
      </w:pPr>
      <w:r w:rsidRPr="00FC732A">
        <w:rPr>
          <w:sz w:val="20"/>
          <w:szCs w:val="20"/>
        </w:rPr>
        <w:t>dopuszczalne odchyłki skrzywienia przekroju poprzecznego nie powinny przekraczać wielkości podanych w tablicy 7.</w:t>
      </w:r>
    </w:p>
    <w:p w14:paraId="4036EC7C" w14:textId="77777777" w:rsidR="00684754" w:rsidRPr="00FC732A" w:rsidRDefault="00684754" w:rsidP="00FC732A">
      <w:pPr>
        <w:pStyle w:val="Legenda"/>
        <w:ind w:left="284" w:right="629"/>
        <w:rPr>
          <w:rFonts w:ascii="Verdana" w:hAnsi="Verdana"/>
          <w:sz w:val="20"/>
        </w:rPr>
      </w:pPr>
      <w:r w:rsidRPr="00FC732A">
        <w:rPr>
          <w:rFonts w:ascii="Verdana" w:hAnsi="Verdana"/>
          <w:sz w:val="20"/>
        </w:rPr>
        <w:t>Tabela 7. Dopuszczalne odchyłki skrzywienia przekroju (patrz rys. nr 1)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7"/>
        <w:gridCol w:w="4606"/>
      </w:tblGrid>
      <w:tr w:rsidR="00684754" w:rsidRPr="006A7C17" w14:paraId="5F1255E0" w14:textId="77777777" w:rsidTr="00FC732A">
        <w:tc>
          <w:tcPr>
            <w:tcW w:w="4497" w:type="dxa"/>
          </w:tcPr>
          <w:p w14:paraId="161B38C0" w14:textId="77777777" w:rsidR="00684754" w:rsidRPr="00FC732A" w:rsidRDefault="00684754" w:rsidP="004B74C4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Wymiar</w:t>
            </w:r>
          </w:p>
        </w:tc>
        <w:tc>
          <w:tcPr>
            <w:tcW w:w="4606" w:type="dxa"/>
          </w:tcPr>
          <w:p w14:paraId="2D5CE036" w14:textId="77777777" w:rsidR="00684754" w:rsidRPr="00FC732A" w:rsidRDefault="00684754" w:rsidP="004B74C4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Dozwolona odchyłka</w:t>
            </w:r>
          </w:p>
        </w:tc>
      </w:tr>
      <w:tr w:rsidR="00684754" w:rsidRPr="00B15720" w14:paraId="6331B6D9" w14:textId="77777777" w:rsidTr="00FC732A">
        <w:tc>
          <w:tcPr>
            <w:tcW w:w="4497" w:type="dxa"/>
          </w:tcPr>
          <w:p w14:paraId="5D755F8B" w14:textId="77777777" w:rsidR="00684754" w:rsidRPr="00FC732A" w:rsidRDefault="00684754" w:rsidP="004B74C4">
            <w:pPr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 xml:space="preserve">odchyłka kątowa „δ” przekrojów końcowych: </w:t>
            </w:r>
          </w:p>
        </w:tc>
        <w:tc>
          <w:tcPr>
            <w:tcW w:w="4606" w:type="dxa"/>
            <w:vAlign w:val="center"/>
          </w:tcPr>
          <w:p w14:paraId="7ADF4A48" w14:textId="77777777" w:rsidR="00684754" w:rsidRPr="00FC732A" w:rsidRDefault="00684754" w:rsidP="004B74C4">
            <w:pPr>
              <w:jc w:val="center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±h/100≤ 5 mm</w:t>
            </w:r>
          </w:p>
        </w:tc>
      </w:tr>
      <w:tr w:rsidR="00684754" w:rsidRPr="00B15720" w14:paraId="30A3BFAD" w14:textId="77777777" w:rsidTr="00FC732A">
        <w:tc>
          <w:tcPr>
            <w:tcW w:w="4497" w:type="dxa"/>
          </w:tcPr>
          <w:p w14:paraId="05408511" w14:textId="77777777" w:rsidR="00684754" w:rsidRPr="00FC732A" w:rsidRDefault="00684754" w:rsidP="004B74C4">
            <w:pPr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Boczne wygięcie „Ɛ” każdej z powierzchni głównych</w:t>
            </w:r>
          </w:p>
        </w:tc>
        <w:tc>
          <w:tcPr>
            <w:tcW w:w="4606" w:type="dxa"/>
            <w:vAlign w:val="center"/>
          </w:tcPr>
          <w:p w14:paraId="173D95AD" w14:textId="77777777" w:rsidR="00684754" w:rsidRPr="00FC732A" w:rsidRDefault="00684754" w:rsidP="004B74C4">
            <w:pPr>
              <w:jc w:val="center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±L/700</w:t>
            </w:r>
          </w:p>
        </w:tc>
      </w:tr>
      <w:tr w:rsidR="00684754" w:rsidRPr="00B15720" w14:paraId="2B42F5C3" w14:textId="77777777" w:rsidTr="00FC732A">
        <w:tc>
          <w:tcPr>
            <w:tcW w:w="4497" w:type="dxa"/>
          </w:tcPr>
          <w:p w14:paraId="14FD21AC" w14:textId="77777777" w:rsidR="00684754" w:rsidRPr="00FC732A" w:rsidRDefault="00684754" w:rsidP="004B74C4">
            <w:pPr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 xml:space="preserve">Skośność „θ” centralnej płaszczyzny pionowej </w:t>
            </w:r>
          </w:p>
        </w:tc>
        <w:tc>
          <w:tcPr>
            <w:tcW w:w="4606" w:type="dxa"/>
            <w:vAlign w:val="center"/>
          </w:tcPr>
          <w:p w14:paraId="4E018472" w14:textId="77777777" w:rsidR="00684754" w:rsidRPr="00FC732A" w:rsidRDefault="00684754" w:rsidP="004B74C4">
            <w:pPr>
              <w:jc w:val="center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±L/700</w:t>
            </w:r>
          </w:p>
        </w:tc>
      </w:tr>
      <w:tr w:rsidR="00684754" w:rsidRPr="00B15720" w14:paraId="793AD5F3" w14:textId="77777777" w:rsidTr="00FC732A">
        <w:tc>
          <w:tcPr>
            <w:tcW w:w="4497" w:type="dxa"/>
          </w:tcPr>
          <w:p w14:paraId="42DB0657" w14:textId="77777777" w:rsidR="00684754" w:rsidRPr="00FC732A" w:rsidRDefault="00684754" w:rsidP="004B74C4">
            <w:pPr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Wypukłość „v” w płaszczyźnie pionowej</w:t>
            </w:r>
          </w:p>
        </w:tc>
        <w:tc>
          <w:tcPr>
            <w:tcW w:w="4606" w:type="dxa"/>
            <w:vAlign w:val="center"/>
          </w:tcPr>
          <w:p w14:paraId="678F22E7" w14:textId="77777777" w:rsidR="00684754" w:rsidRPr="00FC732A" w:rsidRDefault="00684754" w:rsidP="004B74C4">
            <w:pPr>
              <w:jc w:val="center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L/700</w:t>
            </w:r>
          </w:p>
        </w:tc>
      </w:tr>
    </w:tbl>
    <w:p w14:paraId="612EC9E8" w14:textId="77777777" w:rsidR="00684754" w:rsidRDefault="00684754" w:rsidP="00684754">
      <w:pPr>
        <w:rPr>
          <w:szCs w:val="24"/>
        </w:rPr>
      </w:pPr>
    </w:p>
    <w:p w14:paraId="5B04A238" w14:textId="77777777" w:rsidR="00684754" w:rsidRDefault="00684754" w:rsidP="00FC732A">
      <w:pPr>
        <w:ind w:left="284"/>
        <w:rPr>
          <w:szCs w:val="24"/>
        </w:rPr>
      </w:pPr>
      <w:r w:rsidRPr="00093069">
        <w:rPr>
          <w:noProof/>
          <w:szCs w:val="24"/>
        </w:rPr>
        <w:lastRenderedPageBreak/>
        <w:drawing>
          <wp:inline distT="0" distB="0" distL="0" distR="0" wp14:anchorId="24C5C0AB" wp14:editId="517D13AC">
            <wp:extent cx="4603750" cy="3043009"/>
            <wp:effectExtent l="0" t="0" r="0" b="0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1712" cy="3061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BD02F7C" w14:textId="77777777" w:rsidR="00684754" w:rsidRPr="00FC732A" w:rsidRDefault="00684754" w:rsidP="00FC732A">
      <w:pPr>
        <w:pStyle w:val="Legenda"/>
        <w:ind w:left="284" w:right="629"/>
        <w:rPr>
          <w:rFonts w:ascii="Verdana" w:hAnsi="Verdana"/>
          <w:sz w:val="20"/>
        </w:rPr>
      </w:pPr>
      <w:r w:rsidRPr="00FC732A">
        <w:rPr>
          <w:rFonts w:ascii="Verdana" w:hAnsi="Verdana"/>
          <w:sz w:val="20"/>
        </w:rPr>
        <w:t>Rys 1. Dopuszczalne odchyłki skrzywienia przekroju</w:t>
      </w:r>
    </w:p>
    <w:p w14:paraId="5CBA8C86" w14:textId="77777777" w:rsidR="00684754" w:rsidRPr="00FC732A" w:rsidRDefault="00684754" w:rsidP="00FC732A">
      <w:pPr>
        <w:tabs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FC732A">
        <w:rPr>
          <w:sz w:val="20"/>
          <w:szCs w:val="20"/>
        </w:rPr>
        <w:t xml:space="preserve">6.3.1.2. Ogólny wygląd prefabrykatu </w:t>
      </w:r>
    </w:p>
    <w:p w14:paraId="7BADE0C5" w14:textId="77777777" w:rsidR="00684754" w:rsidRPr="00FC732A" w:rsidRDefault="00684754" w:rsidP="00FC732A">
      <w:pPr>
        <w:autoSpaceDE/>
        <w:autoSpaceDN/>
        <w:ind w:left="284" w:right="629"/>
        <w:jc w:val="both"/>
        <w:rPr>
          <w:sz w:val="20"/>
          <w:szCs w:val="20"/>
        </w:rPr>
      </w:pPr>
      <w:r w:rsidRPr="00FC732A">
        <w:rPr>
          <w:sz w:val="20"/>
          <w:szCs w:val="20"/>
        </w:rPr>
        <w:t xml:space="preserve">W każdym przypadku powierzchnia elementów prefabrykowanych powinna być gładka, bez raków, uszkodzonych krawędzi, zagłębień. Zacieranie powierzchni elementów po ich wyjęciu z formy jest niedopuszczalne  Dopuszcza się drobne pory jako pozostałości po pęcherzykach powietrza i po wodzie, których głębokość nie przekracza </w:t>
      </w:r>
      <w:smartTag w:uri="urn:schemas-microsoft-com:office:smarttags" w:element="metricconverter">
        <w:smartTagPr>
          <w:attr w:name="ProductID" w:val="3 mm"/>
        </w:smartTagPr>
        <w:r w:rsidRPr="00FC732A">
          <w:rPr>
            <w:sz w:val="20"/>
            <w:szCs w:val="20"/>
          </w:rPr>
          <w:t>3 mm</w:t>
        </w:r>
      </w:smartTag>
      <w:r w:rsidRPr="00FC732A">
        <w:rPr>
          <w:sz w:val="20"/>
          <w:szCs w:val="20"/>
        </w:rPr>
        <w:t>,</w:t>
      </w:r>
    </w:p>
    <w:p w14:paraId="5894DB94" w14:textId="650F3221" w:rsidR="00684754" w:rsidRPr="00FC732A" w:rsidRDefault="00684754" w:rsidP="00FC732A">
      <w:pPr>
        <w:ind w:left="284" w:right="629"/>
        <w:jc w:val="both"/>
        <w:rPr>
          <w:sz w:val="20"/>
          <w:szCs w:val="20"/>
        </w:rPr>
      </w:pPr>
      <w:r w:rsidRPr="00FC732A">
        <w:rPr>
          <w:sz w:val="20"/>
          <w:szCs w:val="20"/>
        </w:rPr>
        <w:t>W przypadku, gdy w dokumentacji projektowej i/lub S</w:t>
      </w:r>
      <w:r w:rsidR="00FC732A">
        <w:rPr>
          <w:sz w:val="20"/>
          <w:szCs w:val="20"/>
        </w:rPr>
        <w:t>S</w:t>
      </w:r>
      <w:r w:rsidRPr="00FC732A">
        <w:rPr>
          <w:sz w:val="20"/>
          <w:szCs w:val="20"/>
        </w:rPr>
        <w:t xml:space="preserve">T zostały postawione szczególne wymagania dla wykończenia powierzchni belek (a ich spełnienie zostało zadeklarowane przez producenta), należy skontrolować gotowy prefabrykat na zgodność z tymi wymaganiami.  </w:t>
      </w:r>
    </w:p>
    <w:p w14:paraId="61B899E6" w14:textId="77777777" w:rsidR="00684754" w:rsidRPr="00FC732A" w:rsidRDefault="00684754" w:rsidP="00FC732A">
      <w:pPr>
        <w:ind w:left="284" w:right="629"/>
        <w:jc w:val="both"/>
        <w:rPr>
          <w:sz w:val="20"/>
          <w:szCs w:val="20"/>
        </w:rPr>
      </w:pPr>
      <w:r w:rsidRPr="00FC732A">
        <w:rPr>
          <w:sz w:val="20"/>
          <w:szCs w:val="20"/>
        </w:rPr>
        <w:t xml:space="preserve">W przypadku niewielkich uszkodzeń powierzchni (ubytków, bruzd o głębokości mniejszej niż 0,5 cm lub naddatków, garbów o wysokości nie większej niż 1 cm), za zgodą Inżyniera można element poddać naprawie przez  uzupełnienie ubytków zaprawami </w:t>
      </w:r>
      <w:proofErr w:type="spellStart"/>
      <w:r w:rsidRPr="00FC732A">
        <w:rPr>
          <w:sz w:val="20"/>
          <w:szCs w:val="20"/>
        </w:rPr>
        <w:t>niskoskurczowymi</w:t>
      </w:r>
      <w:proofErr w:type="spellEnd"/>
      <w:r w:rsidRPr="00FC732A">
        <w:rPr>
          <w:sz w:val="20"/>
          <w:szCs w:val="20"/>
        </w:rPr>
        <w:t xml:space="preserve"> lub zniwelowanie naddatków betonie np. przez frezowanie. W przypadku braku zgody Inżyniera element należy odrzucić.</w:t>
      </w:r>
    </w:p>
    <w:p w14:paraId="01F5044B" w14:textId="77777777" w:rsidR="00684754" w:rsidRDefault="00684754" w:rsidP="00FC732A">
      <w:pPr>
        <w:ind w:left="284" w:right="629"/>
        <w:jc w:val="both"/>
        <w:rPr>
          <w:sz w:val="20"/>
          <w:szCs w:val="20"/>
        </w:rPr>
      </w:pPr>
      <w:r w:rsidRPr="00FC732A">
        <w:rPr>
          <w:sz w:val="20"/>
          <w:szCs w:val="20"/>
        </w:rPr>
        <w:t>Kontroli wizualnej należy poddać każdy element.</w:t>
      </w:r>
    </w:p>
    <w:p w14:paraId="13030BC9" w14:textId="77777777" w:rsidR="00FC732A" w:rsidRPr="00FC732A" w:rsidRDefault="00FC732A" w:rsidP="00FC732A">
      <w:pPr>
        <w:ind w:left="284" w:right="629"/>
        <w:jc w:val="both"/>
        <w:rPr>
          <w:sz w:val="20"/>
          <w:szCs w:val="20"/>
        </w:rPr>
      </w:pPr>
    </w:p>
    <w:p w14:paraId="2FB26EC3" w14:textId="76E7D1CB" w:rsidR="00684754" w:rsidRPr="00FC732A" w:rsidRDefault="00684754" w:rsidP="00FC732A">
      <w:pPr>
        <w:pStyle w:val="Nagwek3"/>
        <w:tabs>
          <w:tab w:val="left" w:pos="1134"/>
        </w:tabs>
        <w:spacing w:after="240"/>
        <w:ind w:left="284" w:right="629"/>
        <w:jc w:val="both"/>
        <w:rPr>
          <w:rFonts w:ascii="Verdana" w:hAnsi="Verdana"/>
          <w:color w:val="auto"/>
          <w:sz w:val="20"/>
          <w:szCs w:val="20"/>
        </w:rPr>
      </w:pPr>
      <w:r w:rsidRPr="00FC732A">
        <w:rPr>
          <w:rFonts w:ascii="Verdana" w:hAnsi="Verdana"/>
          <w:bCs/>
          <w:color w:val="auto"/>
          <w:sz w:val="20"/>
          <w:szCs w:val="20"/>
        </w:rPr>
        <w:t>6.3.2.</w:t>
      </w:r>
      <w:r w:rsidRPr="00FC732A">
        <w:rPr>
          <w:rFonts w:ascii="Verdana" w:hAnsi="Verdana"/>
          <w:color w:val="auto"/>
          <w:sz w:val="20"/>
          <w:szCs w:val="20"/>
        </w:rPr>
        <w:t xml:space="preserve"> </w:t>
      </w:r>
      <w:r w:rsidR="00FC732A">
        <w:rPr>
          <w:rFonts w:ascii="Verdana" w:hAnsi="Verdana"/>
          <w:color w:val="auto"/>
          <w:sz w:val="20"/>
          <w:szCs w:val="20"/>
        </w:rPr>
        <w:tab/>
      </w:r>
      <w:r w:rsidRPr="00FC732A">
        <w:rPr>
          <w:rFonts w:ascii="Verdana" w:hAnsi="Verdana"/>
          <w:color w:val="auto"/>
          <w:sz w:val="20"/>
          <w:szCs w:val="20"/>
        </w:rPr>
        <w:t>Kontrola materiałów ochronnych</w:t>
      </w:r>
    </w:p>
    <w:p w14:paraId="6B500D8D" w14:textId="77777777" w:rsidR="00684754" w:rsidRPr="00FC732A" w:rsidRDefault="00684754" w:rsidP="00FC732A">
      <w:pPr>
        <w:ind w:left="284" w:right="629"/>
        <w:jc w:val="both"/>
        <w:rPr>
          <w:sz w:val="20"/>
          <w:szCs w:val="20"/>
        </w:rPr>
      </w:pPr>
      <w:r w:rsidRPr="00FC732A">
        <w:rPr>
          <w:sz w:val="20"/>
          <w:szCs w:val="20"/>
        </w:rPr>
        <w:t>Przed zastosowaniem materiałów Wykonawca zobowiązany jest sprawdzić:</w:t>
      </w:r>
    </w:p>
    <w:p w14:paraId="7924BB7A" w14:textId="77777777" w:rsidR="00684754" w:rsidRPr="00FC732A" w:rsidRDefault="00684754" w:rsidP="00FC732A">
      <w:pPr>
        <w:widowControl/>
        <w:numPr>
          <w:ilvl w:val="1"/>
          <w:numId w:val="37"/>
        </w:numPr>
        <w:tabs>
          <w:tab w:val="clear" w:pos="1364"/>
          <w:tab w:val="num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FC732A">
        <w:rPr>
          <w:sz w:val="20"/>
          <w:szCs w:val="20"/>
        </w:rPr>
        <w:t>nr produktu,</w:t>
      </w:r>
    </w:p>
    <w:p w14:paraId="11392ED6" w14:textId="77777777" w:rsidR="00684754" w:rsidRPr="00FC732A" w:rsidRDefault="00684754" w:rsidP="00FC732A">
      <w:pPr>
        <w:widowControl/>
        <w:numPr>
          <w:ilvl w:val="1"/>
          <w:numId w:val="37"/>
        </w:numPr>
        <w:tabs>
          <w:tab w:val="clear" w:pos="1364"/>
          <w:tab w:val="num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FC732A">
        <w:rPr>
          <w:sz w:val="20"/>
          <w:szCs w:val="20"/>
        </w:rPr>
        <w:t>stan opakowań materiału,</w:t>
      </w:r>
    </w:p>
    <w:p w14:paraId="59C6706D" w14:textId="77777777" w:rsidR="00684754" w:rsidRPr="00FC732A" w:rsidRDefault="00684754" w:rsidP="00FC732A">
      <w:pPr>
        <w:widowControl/>
        <w:numPr>
          <w:ilvl w:val="1"/>
          <w:numId w:val="37"/>
        </w:numPr>
        <w:tabs>
          <w:tab w:val="clear" w:pos="1364"/>
          <w:tab w:val="num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FC732A">
        <w:rPr>
          <w:sz w:val="20"/>
          <w:szCs w:val="20"/>
        </w:rPr>
        <w:t>warunki przechowywania materiału,</w:t>
      </w:r>
    </w:p>
    <w:p w14:paraId="2CD3F7A4" w14:textId="77777777" w:rsidR="00684754" w:rsidRPr="00FC732A" w:rsidRDefault="00684754" w:rsidP="00FC732A">
      <w:pPr>
        <w:widowControl/>
        <w:numPr>
          <w:ilvl w:val="1"/>
          <w:numId w:val="37"/>
        </w:numPr>
        <w:tabs>
          <w:tab w:val="clear" w:pos="1364"/>
          <w:tab w:val="num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FC732A">
        <w:rPr>
          <w:sz w:val="20"/>
          <w:szCs w:val="20"/>
        </w:rPr>
        <w:t>datę produkcji i datę przydatności do stosowania.</w:t>
      </w:r>
    </w:p>
    <w:p w14:paraId="5AD01396" w14:textId="77777777" w:rsidR="00684754" w:rsidRDefault="00684754" w:rsidP="00FC732A">
      <w:pPr>
        <w:ind w:left="284" w:right="629"/>
        <w:jc w:val="both"/>
        <w:rPr>
          <w:sz w:val="20"/>
          <w:szCs w:val="20"/>
        </w:rPr>
      </w:pPr>
      <w:r w:rsidRPr="00FC732A">
        <w:rPr>
          <w:sz w:val="20"/>
          <w:szCs w:val="20"/>
        </w:rPr>
        <w:t>Dodatkowo po otwarciu pojemnika ze środkiem ochronnym Wykonawca powinien ocenić jego wygląd.</w:t>
      </w:r>
    </w:p>
    <w:p w14:paraId="7B55D7AF" w14:textId="77777777" w:rsidR="00FC732A" w:rsidRPr="00FC732A" w:rsidRDefault="00FC732A" w:rsidP="00FC732A">
      <w:pPr>
        <w:ind w:left="284" w:right="629"/>
        <w:jc w:val="both"/>
        <w:rPr>
          <w:sz w:val="20"/>
          <w:szCs w:val="20"/>
        </w:rPr>
      </w:pPr>
    </w:p>
    <w:p w14:paraId="7B8C467E" w14:textId="27403CE0" w:rsidR="00684754" w:rsidRPr="00FC732A" w:rsidRDefault="00684754" w:rsidP="00FC732A">
      <w:pPr>
        <w:pStyle w:val="Nagwek2"/>
        <w:tabs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r w:rsidRPr="00FC732A">
        <w:rPr>
          <w:rFonts w:ascii="Verdana" w:hAnsi="Verdana"/>
          <w:b/>
          <w:color w:val="auto"/>
          <w:sz w:val="20"/>
          <w:szCs w:val="20"/>
        </w:rPr>
        <w:t xml:space="preserve">6.4. </w:t>
      </w:r>
      <w:r w:rsidR="00FC732A">
        <w:rPr>
          <w:rFonts w:ascii="Verdana" w:hAnsi="Verdana"/>
          <w:b/>
          <w:color w:val="auto"/>
          <w:sz w:val="20"/>
          <w:szCs w:val="20"/>
        </w:rPr>
        <w:tab/>
      </w:r>
      <w:r w:rsidRPr="00FC732A">
        <w:rPr>
          <w:rFonts w:ascii="Verdana" w:hAnsi="Verdana"/>
          <w:b/>
          <w:color w:val="auto"/>
          <w:sz w:val="20"/>
          <w:szCs w:val="20"/>
        </w:rPr>
        <w:t>Kontrola zamontowania prefabrykatów</w:t>
      </w:r>
    </w:p>
    <w:p w14:paraId="4F794A48" w14:textId="77777777" w:rsidR="00684754" w:rsidRPr="00FC732A" w:rsidRDefault="00684754" w:rsidP="00FC732A">
      <w:pPr>
        <w:ind w:left="284" w:right="629"/>
        <w:jc w:val="both"/>
        <w:rPr>
          <w:sz w:val="20"/>
          <w:szCs w:val="20"/>
        </w:rPr>
      </w:pPr>
      <w:r w:rsidRPr="00FC732A">
        <w:rPr>
          <w:sz w:val="20"/>
          <w:szCs w:val="20"/>
        </w:rPr>
        <w:t>W trakcie montażu należy na bieżąco kontrolować:</w:t>
      </w:r>
    </w:p>
    <w:p w14:paraId="7B238564" w14:textId="77777777" w:rsidR="00684754" w:rsidRPr="00FC732A" w:rsidRDefault="00684754" w:rsidP="00FC732A">
      <w:pPr>
        <w:pStyle w:val="Akapitzlist"/>
        <w:widowControl/>
        <w:numPr>
          <w:ilvl w:val="0"/>
          <w:numId w:val="39"/>
        </w:numPr>
        <w:overflowPunct w:val="0"/>
        <w:adjustRightInd w:val="0"/>
        <w:spacing w:before="0"/>
        <w:ind w:left="284" w:right="629" w:firstLine="0"/>
        <w:contextualSpacing/>
        <w:textAlignment w:val="baseline"/>
        <w:rPr>
          <w:sz w:val="20"/>
          <w:szCs w:val="20"/>
        </w:rPr>
      </w:pPr>
      <w:r w:rsidRPr="00FC732A">
        <w:rPr>
          <w:sz w:val="20"/>
          <w:szCs w:val="20"/>
        </w:rPr>
        <w:t>wiek montowanych prefabrykatów – powinien wynosić co najmniej 30 dni,</w:t>
      </w:r>
    </w:p>
    <w:p w14:paraId="1CC15A58" w14:textId="77777777" w:rsidR="00684754" w:rsidRPr="00FC732A" w:rsidRDefault="00684754" w:rsidP="00FC732A">
      <w:pPr>
        <w:pStyle w:val="Akapitzlist"/>
        <w:widowControl/>
        <w:numPr>
          <w:ilvl w:val="0"/>
          <w:numId w:val="39"/>
        </w:numPr>
        <w:overflowPunct w:val="0"/>
        <w:adjustRightInd w:val="0"/>
        <w:spacing w:before="0"/>
        <w:ind w:left="284" w:right="629" w:firstLine="0"/>
        <w:contextualSpacing/>
        <w:textAlignment w:val="baseline"/>
        <w:rPr>
          <w:sz w:val="20"/>
          <w:szCs w:val="20"/>
        </w:rPr>
      </w:pPr>
      <w:r w:rsidRPr="00FC732A">
        <w:rPr>
          <w:sz w:val="20"/>
          <w:szCs w:val="20"/>
        </w:rPr>
        <w:t>warunki atmosferyczne w trakcie montażu – powinny odpowiadać pkt. 5.2.2.,</w:t>
      </w:r>
    </w:p>
    <w:p w14:paraId="40B3B61D" w14:textId="77777777" w:rsidR="00684754" w:rsidRPr="00FC732A" w:rsidRDefault="00684754" w:rsidP="00FC732A">
      <w:pPr>
        <w:pStyle w:val="Akapitzlist"/>
        <w:widowControl/>
        <w:numPr>
          <w:ilvl w:val="0"/>
          <w:numId w:val="39"/>
        </w:numPr>
        <w:overflowPunct w:val="0"/>
        <w:adjustRightInd w:val="0"/>
        <w:spacing w:before="0"/>
        <w:ind w:left="284" w:right="629" w:firstLine="0"/>
        <w:contextualSpacing/>
        <w:textAlignment w:val="baseline"/>
        <w:rPr>
          <w:sz w:val="20"/>
          <w:szCs w:val="20"/>
        </w:rPr>
      </w:pPr>
      <w:r w:rsidRPr="00FC732A">
        <w:rPr>
          <w:sz w:val="20"/>
          <w:szCs w:val="20"/>
        </w:rPr>
        <w:t>atesty sprzętu montażowego.</w:t>
      </w:r>
    </w:p>
    <w:p w14:paraId="495E4FB3" w14:textId="77777777" w:rsidR="00684754" w:rsidRPr="00FC732A" w:rsidRDefault="00684754" w:rsidP="00FC732A">
      <w:pPr>
        <w:ind w:left="284" w:right="629"/>
        <w:jc w:val="both"/>
        <w:rPr>
          <w:sz w:val="20"/>
          <w:szCs w:val="20"/>
        </w:rPr>
      </w:pPr>
      <w:r w:rsidRPr="00FC732A">
        <w:rPr>
          <w:sz w:val="20"/>
          <w:szCs w:val="20"/>
        </w:rPr>
        <w:t xml:space="preserve">Przed zamontowaniem każdego z prefabrykatów należy skontrolować usytuowanie słupków i oczepów pali na zgodność z wymiarami belki, która między nimi będzie montowana.   </w:t>
      </w:r>
    </w:p>
    <w:p w14:paraId="422465B6" w14:textId="77777777" w:rsidR="00684754" w:rsidRDefault="00684754" w:rsidP="00FC732A">
      <w:pPr>
        <w:ind w:left="284" w:right="629"/>
        <w:jc w:val="both"/>
        <w:rPr>
          <w:sz w:val="20"/>
          <w:szCs w:val="20"/>
        </w:rPr>
      </w:pPr>
      <w:r w:rsidRPr="00FC732A">
        <w:rPr>
          <w:sz w:val="20"/>
          <w:szCs w:val="20"/>
        </w:rPr>
        <w:t xml:space="preserve">Po zamontowaniu belki należy skontrolować sposób jej podparcia na głowicy/oczepie pala, a także stabilność zamontowania przy słupie - wszystkie elementy podwalinowe powinny być zamontowane w sposób uniemożliwiający ich drganie czy ruch w konstrukcji. </w:t>
      </w:r>
    </w:p>
    <w:p w14:paraId="06848E7C" w14:textId="77777777" w:rsidR="00FC732A" w:rsidRPr="00FC732A" w:rsidRDefault="00FC732A" w:rsidP="00FC732A">
      <w:pPr>
        <w:ind w:left="284" w:right="629"/>
        <w:jc w:val="both"/>
        <w:rPr>
          <w:sz w:val="20"/>
          <w:szCs w:val="20"/>
        </w:rPr>
      </w:pPr>
    </w:p>
    <w:p w14:paraId="095ECF3D" w14:textId="61013614" w:rsidR="00684754" w:rsidRDefault="00684754" w:rsidP="00FC732A">
      <w:pPr>
        <w:pStyle w:val="Nagwek1"/>
      </w:pPr>
      <w:r w:rsidRPr="00FC732A">
        <w:lastRenderedPageBreak/>
        <w:t xml:space="preserve">6.5. </w:t>
      </w:r>
      <w:r w:rsidR="00FC732A">
        <w:tab/>
      </w:r>
      <w:r w:rsidRPr="00FC732A">
        <w:t>Kontrola wykonania zabezpieczenia materiałem ochronnym</w:t>
      </w:r>
    </w:p>
    <w:p w14:paraId="2A738554" w14:textId="77777777" w:rsidR="00FC732A" w:rsidRPr="00FC732A" w:rsidRDefault="00FC732A" w:rsidP="00FC732A">
      <w:pPr>
        <w:pStyle w:val="Nagwek1"/>
      </w:pPr>
    </w:p>
    <w:p w14:paraId="1540FBA7" w14:textId="68136663" w:rsidR="00684754" w:rsidRPr="00FC732A" w:rsidRDefault="00684754" w:rsidP="00FC732A">
      <w:pPr>
        <w:pStyle w:val="Nagwek3"/>
        <w:tabs>
          <w:tab w:val="left" w:pos="1134"/>
        </w:tabs>
        <w:spacing w:after="240"/>
        <w:ind w:left="284" w:right="629"/>
        <w:jc w:val="both"/>
        <w:rPr>
          <w:rFonts w:ascii="Verdana" w:hAnsi="Verdana"/>
          <w:color w:val="auto"/>
          <w:sz w:val="20"/>
          <w:szCs w:val="20"/>
        </w:rPr>
      </w:pPr>
      <w:r w:rsidRPr="00FC732A">
        <w:rPr>
          <w:rFonts w:ascii="Verdana" w:hAnsi="Verdana"/>
          <w:color w:val="auto"/>
          <w:sz w:val="20"/>
          <w:szCs w:val="20"/>
        </w:rPr>
        <w:t xml:space="preserve">6.5.1. </w:t>
      </w:r>
      <w:r w:rsidR="00FC732A">
        <w:rPr>
          <w:rFonts w:ascii="Verdana" w:hAnsi="Verdana"/>
          <w:color w:val="auto"/>
          <w:sz w:val="20"/>
          <w:szCs w:val="20"/>
        </w:rPr>
        <w:tab/>
      </w:r>
      <w:r w:rsidRPr="00FC732A">
        <w:rPr>
          <w:rFonts w:ascii="Verdana" w:hAnsi="Verdana"/>
          <w:color w:val="auto"/>
          <w:sz w:val="20"/>
          <w:szCs w:val="20"/>
        </w:rPr>
        <w:t>Kontrola przygotowania podłoża</w:t>
      </w:r>
    </w:p>
    <w:p w14:paraId="7902FAC0" w14:textId="77777777" w:rsidR="00684754" w:rsidRDefault="00684754" w:rsidP="00FC732A">
      <w:pPr>
        <w:ind w:left="284" w:right="629"/>
        <w:jc w:val="both"/>
        <w:rPr>
          <w:sz w:val="20"/>
          <w:szCs w:val="20"/>
        </w:rPr>
      </w:pPr>
      <w:r w:rsidRPr="00FC732A">
        <w:rPr>
          <w:sz w:val="20"/>
          <w:szCs w:val="20"/>
        </w:rPr>
        <w:t>Podłoże powinno spełniać warunki podane przez producenta danego materiału, w przypadku braku szczegółowych danych powinno być przygotowane i odpowiadać warunkom wg pkt.5.3.1.</w:t>
      </w:r>
    </w:p>
    <w:p w14:paraId="1994C91E" w14:textId="77777777" w:rsidR="00FC732A" w:rsidRPr="00FC732A" w:rsidRDefault="00FC732A" w:rsidP="00FC732A">
      <w:pPr>
        <w:ind w:left="284" w:right="629"/>
        <w:jc w:val="both"/>
        <w:rPr>
          <w:sz w:val="20"/>
          <w:szCs w:val="20"/>
        </w:rPr>
      </w:pPr>
    </w:p>
    <w:p w14:paraId="025A83BA" w14:textId="1F2A07A2" w:rsidR="00684754" w:rsidRPr="00FC732A" w:rsidRDefault="00684754" w:rsidP="00FC732A">
      <w:pPr>
        <w:pStyle w:val="Nagwek3"/>
        <w:tabs>
          <w:tab w:val="left" w:pos="1134"/>
        </w:tabs>
        <w:spacing w:after="240"/>
        <w:ind w:left="284" w:right="629"/>
        <w:jc w:val="both"/>
        <w:rPr>
          <w:rFonts w:ascii="Verdana" w:hAnsi="Verdana"/>
          <w:color w:val="auto"/>
          <w:sz w:val="20"/>
          <w:szCs w:val="20"/>
        </w:rPr>
      </w:pPr>
      <w:r w:rsidRPr="00FC732A">
        <w:rPr>
          <w:rFonts w:ascii="Verdana" w:hAnsi="Verdana"/>
          <w:color w:val="auto"/>
          <w:sz w:val="20"/>
          <w:szCs w:val="20"/>
        </w:rPr>
        <w:t xml:space="preserve">6.5.2. </w:t>
      </w:r>
      <w:r w:rsidR="00FC732A">
        <w:rPr>
          <w:rFonts w:ascii="Verdana" w:hAnsi="Verdana"/>
          <w:color w:val="auto"/>
          <w:sz w:val="20"/>
          <w:szCs w:val="20"/>
        </w:rPr>
        <w:tab/>
      </w:r>
      <w:r w:rsidRPr="00FC732A">
        <w:rPr>
          <w:rFonts w:ascii="Verdana" w:hAnsi="Verdana"/>
          <w:color w:val="auto"/>
          <w:sz w:val="20"/>
          <w:szCs w:val="20"/>
        </w:rPr>
        <w:t>Kontrola wykonania hydroizolacji przed zamontowaniem belki</w:t>
      </w:r>
    </w:p>
    <w:p w14:paraId="657C204E" w14:textId="77777777" w:rsidR="00684754" w:rsidRPr="00FC732A" w:rsidRDefault="00684754" w:rsidP="00FC732A">
      <w:pPr>
        <w:ind w:left="284" w:right="629"/>
        <w:jc w:val="both"/>
        <w:rPr>
          <w:sz w:val="20"/>
          <w:szCs w:val="20"/>
        </w:rPr>
      </w:pPr>
      <w:r w:rsidRPr="00FC732A">
        <w:rPr>
          <w:sz w:val="20"/>
          <w:szCs w:val="20"/>
        </w:rPr>
        <w:t>Kontrola wykonania hydroizolacji polega na:</w:t>
      </w:r>
    </w:p>
    <w:p w14:paraId="65F030D8" w14:textId="77777777" w:rsidR="00684754" w:rsidRPr="00FC732A" w:rsidRDefault="00684754" w:rsidP="00FC732A">
      <w:pPr>
        <w:widowControl/>
        <w:numPr>
          <w:ilvl w:val="0"/>
          <w:numId w:val="37"/>
        </w:numPr>
        <w:tabs>
          <w:tab w:val="clear" w:pos="567"/>
          <w:tab w:val="num" w:pos="426"/>
        </w:tabs>
        <w:autoSpaceDE/>
        <w:autoSpaceDN/>
        <w:ind w:left="284" w:right="629" w:firstLine="0"/>
        <w:jc w:val="both"/>
        <w:rPr>
          <w:sz w:val="20"/>
          <w:szCs w:val="20"/>
        </w:rPr>
      </w:pPr>
      <w:r w:rsidRPr="00FC732A">
        <w:rPr>
          <w:sz w:val="20"/>
          <w:szCs w:val="20"/>
        </w:rPr>
        <w:t>kontroli zużycia środka izolacyjnego - powinna być zgodna z kartą techniczną materiału,</w:t>
      </w:r>
    </w:p>
    <w:p w14:paraId="4A8EBD83" w14:textId="77777777" w:rsidR="00684754" w:rsidRPr="00FC732A" w:rsidRDefault="00684754" w:rsidP="00FC732A">
      <w:pPr>
        <w:widowControl/>
        <w:numPr>
          <w:ilvl w:val="0"/>
          <w:numId w:val="37"/>
        </w:numPr>
        <w:tabs>
          <w:tab w:val="clear" w:pos="567"/>
          <w:tab w:val="num" w:pos="426"/>
        </w:tabs>
        <w:autoSpaceDE/>
        <w:autoSpaceDN/>
        <w:ind w:left="284" w:right="629" w:firstLine="0"/>
        <w:jc w:val="both"/>
        <w:rPr>
          <w:sz w:val="20"/>
          <w:szCs w:val="20"/>
        </w:rPr>
      </w:pPr>
      <w:r w:rsidRPr="00FC732A">
        <w:rPr>
          <w:sz w:val="20"/>
          <w:szCs w:val="20"/>
        </w:rPr>
        <w:t xml:space="preserve">całkowitej grubości wykonanej izolacji - powinna wynosić co najmniej </w:t>
      </w:r>
      <w:smartTag w:uri="urn:schemas-microsoft-com:office:smarttags" w:element="metricconverter">
        <w:smartTagPr>
          <w:attr w:name="ProductID" w:val="2 mm"/>
        </w:smartTagPr>
        <w:r w:rsidRPr="00FC732A">
          <w:rPr>
            <w:sz w:val="20"/>
            <w:szCs w:val="20"/>
          </w:rPr>
          <w:t>2 mm</w:t>
        </w:r>
      </w:smartTag>
      <w:r w:rsidRPr="00FC732A">
        <w:rPr>
          <w:sz w:val="20"/>
          <w:szCs w:val="20"/>
        </w:rPr>
        <w:t>,</w:t>
      </w:r>
    </w:p>
    <w:p w14:paraId="61092BC5" w14:textId="77777777" w:rsidR="00684754" w:rsidRDefault="00684754" w:rsidP="00FC732A">
      <w:pPr>
        <w:widowControl/>
        <w:numPr>
          <w:ilvl w:val="0"/>
          <w:numId w:val="37"/>
        </w:numPr>
        <w:tabs>
          <w:tab w:val="clear" w:pos="567"/>
          <w:tab w:val="num" w:pos="426"/>
        </w:tabs>
        <w:autoSpaceDE/>
        <w:autoSpaceDN/>
        <w:ind w:left="284" w:right="629" w:firstLine="0"/>
        <w:jc w:val="both"/>
        <w:rPr>
          <w:sz w:val="20"/>
          <w:szCs w:val="20"/>
        </w:rPr>
      </w:pPr>
      <w:r w:rsidRPr="00FC732A">
        <w:rPr>
          <w:sz w:val="20"/>
          <w:szCs w:val="20"/>
        </w:rPr>
        <w:t>wyglądu zaizolowanej powierzchni - warstwa izolacji powinna stanowić jednolitą, czystą powłokę, o jednolitej barwie, bez pęcherzy, złuszczeń i innych wad, powłoka powinna ściśle przylegać do zagruntowanego podłoża.</w:t>
      </w:r>
    </w:p>
    <w:p w14:paraId="3B662407" w14:textId="77777777" w:rsidR="00FC732A" w:rsidRPr="00FC732A" w:rsidRDefault="00FC732A" w:rsidP="00FC732A">
      <w:pPr>
        <w:widowControl/>
        <w:autoSpaceDE/>
        <w:autoSpaceDN/>
        <w:ind w:left="284" w:right="629"/>
        <w:jc w:val="both"/>
        <w:rPr>
          <w:sz w:val="20"/>
          <w:szCs w:val="20"/>
        </w:rPr>
      </w:pPr>
    </w:p>
    <w:p w14:paraId="37E114F6" w14:textId="5880F4E9" w:rsidR="00684754" w:rsidRPr="00FC732A" w:rsidRDefault="00684754" w:rsidP="00FC732A">
      <w:pPr>
        <w:pStyle w:val="Nagwek3"/>
        <w:tabs>
          <w:tab w:val="left" w:pos="1134"/>
        </w:tabs>
        <w:spacing w:after="240"/>
        <w:ind w:left="284" w:right="629"/>
        <w:jc w:val="both"/>
        <w:rPr>
          <w:rFonts w:ascii="Verdana" w:hAnsi="Verdana"/>
          <w:color w:val="auto"/>
          <w:sz w:val="20"/>
          <w:szCs w:val="20"/>
        </w:rPr>
      </w:pPr>
      <w:r w:rsidRPr="00FC732A">
        <w:rPr>
          <w:rFonts w:ascii="Verdana" w:hAnsi="Verdana"/>
          <w:color w:val="auto"/>
          <w:sz w:val="20"/>
          <w:szCs w:val="20"/>
        </w:rPr>
        <w:t xml:space="preserve">6.5.3. </w:t>
      </w:r>
      <w:r w:rsidR="00FC732A">
        <w:rPr>
          <w:rFonts w:ascii="Verdana" w:hAnsi="Verdana"/>
          <w:color w:val="auto"/>
          <w:sz w:val="20"/>
          <w:szCs w:val="20"/>
        </w:rPr>
        <w:tab/>
      </w:r>
      <w:r w:rsidRPr="00FC732A">
        <w:rPr>
          <w:rFonts w:ascii="Verdana" w:hAnsi="Verdana"/>
          <w:color w:val="auto"/>
          <w:sz w:val="20"/>
          <w:szCs w:val="20"/>
        </w:rPr>
        <w:t xml:space="preserve">Kontrola wykonania powłoki antykorozyjnej i </w:t>
      </w:r>
      <w:proofErr w:type="spellStart"/>
      <w:r w:rsidRPr="00FC732A">
        <w:rPr>
          <w:rFonts w:ascii="Verdana" w:hAnsi="Verdana"/>
          <w:color w:val="auto"/>
          <w:sz w:val="20"/>
          <w:szCs w:val="20"/>
        </w:rPr>
        <w:t>antygraffiti</w:t>
      </w:r>
      <w:proofErr w:type="spellEnd"/>
    </w:p>
    <w:p w14:paraId="50EDE686" w14:textId="6550A60E" w:rsidR="00684754" w:rsidRPr="00FC732A" w:rsidRDefault="00684754" w:rsidP="00FC732A">
      <w:pPr>
        <w:tabs>
          <w:tab w:val="num" w:pos="426"/>
        </w:tabs>
        <w:autoSpaceDE/>
        <w:autoSpaceDN/>
        <w:ind w:left="284" w:right="629"/>
        <w:jc w:val="both"/>
        <w:rPr>
          <w:sz w:val="20"/>
          <w:szCs w:val="20"/>
        </w:rPr>
      </w:pPr>
      <w:r w:rsidRPr="00FC732A">
        <w:rPr>
          <w:sz w:val="20"/>
          <w:szCs w:val="20"/>
        </w:rPr>
        <w:t xml:space="preserve">Powłokę należy skontrolować wizualnie. Powinna być pozbawiona ubytków, zacieków, marszczeń, rys, pęknięć, pęcherzy, </w:t>
      </w:r>
      <w:proofErr w:type="spellStart"/>
      <w:r w:rsidRPr="00FC732A">
        <w:rPr>
          <w:sz w:val="20"/>
          <w:szCs w:val="20"/>
        </w:rPr>
        <w:t>odspojeń</w:t>
      </w:r>
      <w:proofErr w:type="spellEnd"/>
      <w:r w:rsidRPr="00FC732A">
        <w:rPr>
          <w:sz w:val="20"/>
          <w:szCs w:val="20"/>
        </w:rPr>
        <w:t>. Barwa i połysk powłoki powinny być jednolite na całej powierzchni.</w:t>
      </w:r>
    </w:p>
    <w:p w14:paraId="51B1959E" w14:textId="057B391F" w:rsidR="00684754" w:rsidRPr="00FC732A" w:rsidRDefault="00684754" w:rsidP="00FC732A">
      <w:pPr>
        <w:tabs>
          <w:tab w:val="num" w:pos="426"/>
        </w:tabs>
        <w:autoSpaceDE/>
        <w:autoSpaceDN/>
        <w:ind w:left="284" w:right="629"/>
        <w:jc w:val="both"/>
        <w:rPr>
          <w:sz w:val="20"/>
          <w:szCs w:val="20"/>
        </w:rPr>
      </w:pPr>
      <w:r w:rsidRPr="00FC732A">
        <w:rPr>
          <w:sz w:val="20"/>
          <w:szCs w:val="20"/>
        </w:rPr>
        <w:t>Kontrola powinna też obejmować sprawdzenie przyczepności powłoki do podłoża</w:t>
      </w:r>
      <w:r w:rsidR="00FC732A">
        <w:rPr>
          <w:sz w:val="20"/>
          <w:szCs w:val="20"/>
        </w:rPr>
        <w:t xml:space="preserve"> zgodnie z normą PN-EN 1542</w:t>
      </w:r>
      <w:r w:rsidRPr="00FC732A">
        <w:rPr>
          <w:sz w:val="20"/>
          <w:szCs w:val="20"/>
        </w:rPr>
        <w:t xml:space="preserve"> oraz grubości powłoki. Grubość powłok można mierzyć np. na próbkach pobranych przy badaniach ich przyczepności do podłoża betonowego. Badanie przyczepności i grubości powłoki powinno być wykonane z częstotliwością zgodną z S</w:t>
      </w:r>
      <w:r w:rsidR="00FC732A">
        <w:rPr>
          <w:sz w:val="20"/>
          <w:szCs w:val="20"/>
        </w:rPr>
        <w:t>S</w:t>
      </w:r>
      <w:r w:rsidRPr="00FC732A">
        <w:rPr>
          <w:sz w:val="20"/>
          <w:szCs w:val="20"/>
        </w:rPr>
        <w:t>T (zaleca się raz na 50 m</w:t>
      </w:r>
      <w:r w:rsidRPr="00FC732A">
        <w:rPr>
          <w:sz w:val="20"/>
          <w:szCs w:val="20"/>
          <w:vertAlign w:val="superscript"/>
        </w:rPr>
        <w:t>2</w:t>
      </w:r>
      <w:r w:rsidRPr="00FC732A">
        <w:rPr>
          <w:sz w:val="20"/>
          <w:szCs w:val="20"/>
        </w:rPr>
        <w:t xml:space="preserve"> wykonanej podwaliny).</w:t>
      </w:r>
    </w:p>
    <w:p w14:paraId="63C1D5C5" w14:textId="77777777" w:rsidR="00BE6D78" w:rsidRPr="00FC732A" w:rsidRDefault="00BE6D78" w:rsidP="00FC732A">
      <w:pPr>
        <w:ind w:right="629"/>
        <w:jc w:val="both"/>
        <w:rPr>
          <w:sz w:val="20"/>
          <w:szCs w:val="20"/>
        </w:rPr>
      </w:pPr>
    </w:p>
    <w:p w14:paraId="152147CA" w14:textId="3C73CBB7" w:rsidR="00F075B7" w:rsidRPr="00FC732A" w:rsidRDefault="00F075B7" w:rsidP="00FC732A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ind w:left="284" w:right="629" w:firstLine="0"/>
        <w:jc w:val="both"/>
      </w:pPr>
      <w:bookmarkStart w:id="36" w:name="_Toc120217193"/>
      <w:r w:rsidRPr="00FC732A">
        <w:t>OBMIAR ROBÓT</w:t>
      </w:r>
      <w:bookmarkEnd w:id="36"/>
    </w:p>
    <w:p w14:paraId="38CBCEA6" w14:textId="51D151A6" w:rsidR="00F075B7" w:rsidRPr="00FC732A" w:rsidRDefault="00F075B7" w:rsidP="00FC732A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FC732A">
        <w:rPr>
          <w:b/>
          <w:sz w:val="20"/>
          <w:szCs w:val="20"/>
        </w:rPr>
        <w:t xml:space="preserve">Szczegółowe zasady obmiaru robót </w:t>
      </w:r>
    </w:p>
    <w:p w14:paraId="6A0F9F46" w14:textId="1B85A8F2" w:rsidR="00F075B7" w:rsidRPr="00FC732A" w:rsidRDefault="00F075B7" w:rsidP="00FC732A">
      <w:pPr>
        <w:spacing w:line="360" w:lineRule="auto"/>
        <w:ind w:left="284" w:right="629"/>
        <w:jc w:val="both"/>
        <w:rPr>
          <w:sz w:val="20"/>
          <w:szCs w:val="20"/>
        </w:rPr>
      </w:pPr>
      <w:r w:rsidRPr="00FC732A">
        <w:rPr>
          <w:sz w:val="20"/>
          <w:szCs w:val="20"/>
        </w:rPr>
        <w:t>Szczegółowe zasady obmiaru robót podano w SST D-M-00.00.00 „Wymagania ogólne” pkt 7.</w:t>
      </w:r>
    </w:p>
    <w:p w14:paraId="1E9A7B6D" w14:textId="1DBB0E0F" w:rsidR="00F075B7" w:rsidRPr="00FC732A" w:rsidRDefault="00F075B7" w:rsidP="00FC732A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FC732A">
        <w:rPr>
          <w:b/>
          <w:sz w:val="20"/>
          <w:szCs w:val="20"/>
        </w:rPr>
        <w:t xml:space="preserve">Jednostka obmiarowa </w:t>
      </w:r>
    </w:p>
    <w:p w14:paraId="56880257" w14:textId="72A86408" w:rsidR="00684754" w:rsidRPr="00FC732A" w:rsidRDefault="00FC732A" w:rsidP="00FC732A">
      <w:pPr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Jednostką obmiaru jest 1 szt. </w:t>
      </w:r>
      <w:r w:rsidR="00684754" w:rsidRPr="00FC732A">
        <w:rPr>
          <w:sz w:val="20"/>
          <w:szCs w:val="20"/>
        </w:rPr>
        <w:t>(sztuka) zamontowanego prefabrykatu podwaliny pod ekran akustyczny, o danej masie.</w:t>
      </w:r>
    </w:p>
    <w:p w14:paraId="235B3DD6" w14:textId="77777777" w:rsidR="00455A23" w:rsidRPr="00FC732A" w:rsidRDefault="00455A23" w:rsidP="00FC732A">
      <w:pPr>
        <w:tabs>
          <w:tab w:val="left" w:pos="0"/>
        </w:tabs>
        <w:ind w:left="284" w:right="629"/>
        <w:jc w:val="both"/>
        <w:rPr>
          <w:sz w:val="20"/>
          <w:szCs w:val="20"/>
        </w:rPr>
      </w:pPr>
    </w:p>
    <w:p w14:paraId="522A50DD" w14:textId="2D38AE15" w:rsidR="00F075B7" w:rsidRPr="00FC732A" w:rsidRDefault="00F075B7" w:rsidP="00FC732A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ind w:left="284" w:right="629" w:firstLine="0"/>
        <w:jc w:val="both"/>
      </w:pPr>
      <w:bookmarkStart w:id="37" w:name="_Toc120217194"/>
      <w:r w:rsidRPr="00FC732A">
        <w:t>ODBIÓR ROBÓT</w:t>
      </w:r>
      <w:bookmarkEnd w:id="37"/>
      <w:r w:rsidRPr="00FC732A">
        <w:t xml:space="preserve"> </w:t>
      </w:r>
    </w:p>
    <w:p w14:paraId="3C6D0C2C" w14:textId="6037549F" w:rsidR="00F075B7" w:rsidRPr="00FC732A" w:rsidRDefault="00F075B7" w:rsidP="00FC732A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FC732A">
        <w:rPr>
          <w:b/>
          <w:sz w:val="20"/>
          <w:szCs w:val="20"/>
        </w:rPr>
        <w:t>Szczegółowe zasady odbioru robót</w:t>
      </w:r>
    </w:p>
    <w:p w14:paraId="7DC38DF8" w14:textId="3FC01023" w:rsidR="00F075B7" w:rsidRPr="00FC732A" w:rsidRDefault="00F075B7" w:rsidP="00FC732A">
      <w:pPr>
        <w:tabs>
          <w:tab w:val="left" w:pos="1276"/>
        </w:tabs>
        <w:spacing w:line="360" w:lineRule="auto"/>
        <w:ind w:left="284" w:right="629"/>
        <w:jc w:val="both"/>
        <w:rPr>
          <w:sz w:val="20"/>
          <w:szCs w:val="20"/>
        </w:rPr>
      </w:pPr>
      <w:r w:rsidRPr="00FC732A">
        <w:rPr>
          <w:sz w:val="20"/>
          <w:szCs w:val="20"/>
        </w:rPr>
        <w:t>Szczegółowe zasady odbioru robót podano w SST D-M-00.00.00 „Wymagania ogólne” pkt 8.</w:t>
      </w:r>
    </w:p>
    <w:p w14:paraId="55288C4D" w14:textId="4472A31A" w:rsidR="0099682D" w:rsidRPr="00FC732A" w:rsidRDefault="00684754" w:rsidP="00FC732A">
      <w:pPr>
        <w:ind w:left="284" w:right="629"/>
        <w:jc w:val="both"/>
        <w:rPr>
          <w:sz w:val="20"/>
          <w:szCs w:val="20"/>
        </w:rPr>
      </w:pPr>
      <w:r w:rsidRPr="00FC732A">
        <w:rPr>
          <w:sz w:val="20"/>
          <w:szCs w:val="20"/>
        </w:rPr>
        <w:t>Odbiór robót jest dokonywany na podstawie wyników pomiarów, badań i oceny wizualnej. Jeżeli wszystkie badania przewidziane w pkt. 6 dały wynik pozytywny, wykonane roboty należy uznać za wykonane zgodnie</w:t>
      </w:r>
      <w:r w:rsidR="008E405E">
        <w:rPr>
          <w:sz w:val="20"/>
          <w:szCs w:val="20"/>
        </w:rPr>
        <w:t xml:space="preserve"> z wymaganiami </w:t>
      </w:r>
      <w:r w:rsidRPr="00FC732A">
        <w:rPr>
          <w:sz w:val="20"/>
          <w:szCs w:val="20"/>
        </w:rPr>
        <w:t>S</w:t>
      </w:r>
      <w:r w:rsidR="008E405E">
        <w:rPr>
          <w:sz w:val="20"/>
          <w:szCs w:val="20"/>
        </w:rPr>
        <w:t>S</w:t>
      </w:r>
      <w:r w:rsidRPr="00FC732A">
        <w:rPr>
          <w:sz w:val="20"/>
          <w:szCs w:val="20"/>
        </w:rPr>
        <w:t>T. Jeżeli choć jedno badanie dało wynik ujemny wykonane roboty należy uznać za niezgodne z wymaganiami. W tym wypadku Wykonawca jest zobowiązany doprowadzić roboty do zgodności i przedstawić je do ponownego odbioru.</w:t>
      </w:r>
    </w:p>
    <w:p w14:paraId="5095CFA0" w14:textId="77777777" w:rsidR="0099682D" w:rsidRPr="00FC732A" w:rsidRDefault="0099682D" w:rsidP="008E405E">
      <w:pPr>
        <w:tabs>
          <w:tab w:val="left" w:pos="1276"/>
        </w:tabs>
        <w:ind w:right="629"/>
        <w:jc w:val="both"/>
        <w:rPr>
          <w:b/>
          <w:sz w:val="20"/>
          <w:szCs w:val="20"/>
        </w:rPr>
      </w:pPr>
    </w:p>
    <w:p w14:paraId="3929E418" w14:textId="0E31ECDC" w:rsidR="00F075B7" w:rsidRPr="00FC732A" w:rsidRDefault="00FF2C81" w:rsidP="00FC732A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ind w:left="284" w:right="629" w:firstLine="0"/>
        <w:jc w:val="both"/>
      </w:pPr>
      <w:bookmarkStart w:id="38" w:name="_Toc120217199"/>
      <w:r w:rsidRPr="00FC732A">
        <w:t>PODSTAWA PŁATNOŚCI</w:t>
      </w:r>
      <w:bookmarkEnd w:id="38"/>
    </w:p>
    <w:p w14:paraId="17204F2D" w14:textId="270E91FA" w:rsidR="00F075B7" w:rsidRPr="00FC732A" w:rsidRDefault="00F075B7" w:rsidP="008E405E">
      <w:pPr>
        <w:pStyle w:val="Akapitzlist"/>
        <w:numPr>
          <w:ilvl w:val="1"/>
          <w:numId w:val="1"/>
        </w:numPr>
        <w:tabs>
          <w:tab w:val="left" w:pos="1134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FC732A">
        <w:rPr>
          <w:b/>
          <w:sz w:val="20"/>
          <w:szCs w:val="20"/>
        </w:rPr>
        <w:t xml:space="preserve">Szczegółowe </w:t>
      </w:r>
      <w:r w:rsidR="00FF2C81" w:rsidRPr="00FC732A">
        <w:rPr>
          <w:b/>
          <w:sz w:val="20"/>
          <w:szCs w:val="20"/>
        </w:rPr>
        <w:t xml:space="preserve">ustalenia dotyczące podstawy płatności </w:t>
      </w:r>
    </w:p>
    <w:p w14:paraId="599CE208" w14:textId="497B2E3A" w:rsidR="00FF2C81" w:rsidRPr="00FC732A" w:rsidRDefault="00FF2C81" w:rsidP="00FC732A">
      <w:pPr>
        <w:tabs>
          <w:tab w:val="left" w:pos="1276"/>
        </w:tabs>
        <w:ind w:left="284" w:right="629"/>
        <w:jc w:val="both"/>
        <w:rPr>
          <w:sz w:val="20"/>
          <w:szCs w:val="20"/>
        </w:rPr>
      </w:pPr>
      <w:r w:rsidRPr="00FC732A">
        <w:rPr>
          <w:sz w:val="20"/>
          <w:szCs w:val="20"/>
        </w:rPr>
        <w:t>Szczegółowe ustalenia dotyczące podstawy płatności podano w SST D-M-00.00.00 „Wymagania ogólne” pkt 9.</w:t>
      </w:r>
    </w:p>
    <w:p w14:paraId="1EEA7E78" w14:textId="77777777" w:rsidR="00FF2C81" w:rsidRPr="00FC732A" w:rsidRDefault="00FF2C81" w:rsidP="00FC732A">
      <w:pPr>
        <w:tabs>
          <w:tab w:val="left" w:pos="1276"/>
        </w:tabs>
        <w:ind w:left="284" w:right="629"/>
        <w:jc w:val="both"/>
        <w:rPr>
          <w:sz w:val="20"/>
          <w:szCs w:val="20"/>
        </w:rPr>
      </w:pPr>
    </w:p>
    <w:p w14:paraId="7F4DDD47" w14:textId="7CE80857" w:rsidR="00684754" w:rsidRPr="00FC732A" w:rsidRDefault="00684754" w:rsidP="008E405E">
      <w:pPr>
        <w:pStyle w:val="Nagwek1"/>
        <w:spacing w:after="240"/>
      </w:pPr>
      <w:bookmarkStart w:id="39" w:name="_Toc120217200"/>
      <w:r w:rsidRPr="00FC732A">
        <w:t xml:space="preserve">9.2. </w:t>
      </w:r>
      <w:r w:rsidR="008E405E">
        <w:tab/>
      </w:r>
      <w:r w:rsidRPr="00FC732A">
        <w:t>Cena jednostki obmiarowej</w:t>
      </w:r>
    </w:p>
    <w:p w14:paraId="692EF011" w14:textId="77777777" w:rsidR="00684754" w:rsidRPr="00FC732A" w:rsidRDefault="00684754" w:rsidP="00FC732A">
      <w:pPr>
        <w:ind w:left="284" w:right="629"/>
        <w:jc w:val="both"/>
        <w:rPr>
          <w:sz w:val="20"/>
          <w:szCs w:val="20"/>
        </w:rPr>
      </w:pPr>
      <w:r w:rsidRPr="00FC732A">
        <w:rPr>
          <w:sz w:val="20"/>
          <w:szCs w:val="20"/>
        </w:rPr>
        <w:t>Cena wykonania i montażu prefabrykatu podwaliny pod ekran obejmuje:</w:t>
      </w:r>
    </w:p>
    <w:p w14:paraId="48BC9F02" w14:textId="77777777" w:rsidR="00684754" w:rsidRPr="00FC732A" w:rsidRDefault="00684754" w:rsidP="00FC732A">
      <w:pPr>
        <w:widowControl/>
        <w:numPr>
          <w:ilvl w:val="0"/>
          <w:numId w:val="40"/>
        </w:numPr>
        <w:autoSpaceDE/>
        <w:autoSpaceDN/>
        <w:ind w:left="284" w:right="629" w:firstLine="0"/>
        <w:jc w:val="both"/>
        <w:rPr>
          <w:sz w:val="20"/>
          <w:szCs w:val="20"/>
        </w:rPr>
      </w:pPr>
      <w:r w:rsidRPr="00FC732A">
        <w:rPr>
          <w:sz w:val="20"/>
          <w:szCs w:val="20"/>
        </w:rPr>
        <w:t>prace przygotowawcze i geodezyjne,</w:t>
      </w:r>
    </w:p>
    <w:p w14:paraId="072CD99C" w14:textId="77777777" w:rsidR="00684754" w:rsidRPr="00FC732A" w:rsidRDefault="00684754" w:rsidP="00FC732A">
      <w:pPr>
        <w:widowControl/>
        <w:numPr>
          <w:ilvl w:val="0"/>
          <w:numId w:val="40"/>
        </w:numPr>
        <w:autoSpaceDE/>
        <w:autoSpaceDN/>
        <w:ind w:left="284" w:right="629" w:firstLine="0"/>
        <w:jc w:val="both"/>
        <w:rPr>
          <w:sz w:val="20"/>
          <w:szCs w:val="20"/>
        </w:rPr>
      </w:pPr>
      <w:r w:rsidRPr="00FC732A">
        <w:rPr>
          <w:sz w:val="20"/>
          <w:szCs w:val="20"/>
        </w:rPr>
        <w:t>opracowanie projektu technologicznego montażu prefabrykatów,</w:t>
      </w:r>
    </w:p>
    <w:p w14:paraId="5EA4ECE4" w14:textId="77777777" w:rsidR="00684754" w:rsidRPr="00FC732A" w:rsidRDefault="00684754" w:rsidP="00FC732A">
      <w:pPr>
        <w:widowControl/>
        <w:numPr>
          <w:ilvl w:val="0"/>
          <w:numId w:val="40"/>
        </w:numPr>
        <w:autoSpaceDE/>
        <w:autoSpaceDN/>
        <w:ind w:left="284" w:right="629" w:firstLine="0"/>
        <w:jc w:val="both"/>
        <w:rPr>
          <w:sz w:val="20"/>
          <w:szCs w:val="20"/>
        </w:rPr>
      </w:pPr>
      <w:r w:rsidRPr="00FC732A">
        <w:rPr>
          <w:sz w:val="20"/>
          <w:szCs w:val="20"/>
        </w:rPr>
        <w:t>zakup i transport wszystkich czynników produkcji koniecznych  do wykonania robót,</w:t>
      </w:r>
    </w:p>
    <w:p w14:paraId="7820E202" w14:textId="77777777" w:rsidR="00684754" w:rsidRPr="00FC732A" w:rsidRDefault="00684754" w:rsidP="00FC732A">
      <w:pPr>
        <w:widowControl/>
        <w:numPr>
          <w:ilvl w:val="0"/>
          <w:numId w:val="40"/>
        </w:numPr>
        <w:autoSpaceDE/>
        <w:autoSpaceDN/>
        <w:ind w:left="284" w:right="629" w:firstLine="0"/>
        <w:jc w:val="both"/>
        <w:rPr>
          <w:sz w:val="20"/>
          <w:szCs w:val="20"/>
        </w:rPr>
      </w:pPr>
      <w:r w:rsidRPr="00FC732A">
        <w:rPr>
          <w:sz w:val="20"/>
          <w:szCs w:val="20"/>
        </w:rPr>
        <w:lastRenderedPageBreak/>
        <w:t>montaż gotowych prefabrykatów,</w:t>
      </w:r>
    </w:p>
    <w:p w14:paraId="208B583F" w14:textId="77777777" w:rsidR="00684754" w:rsidRPr="00FC732A" w:rsidRDefault="00684754" w:rsidP="00FC732A">
      <w:pPr>
        <w:widowControl/>
        <w:numPr>
          <w:ilvl w:val="0"/>
          <w:numId w:val="40"/>
        </w:numPr>
        <w:autoSpaceDE/>
        <w:autoSpaceDN/>
        <w:ind w:left="284" w:right="629" w:firstLine="0"/>
        <w:jc w:val="both"/>
        <w:rPr>
          <w:sz w:val="20"/>
          <w:szCs w:val="20"/>
        </w:rPr>
      </w:pPr>
      <w:r w:rsidRPr="00FC732A">
        <w:rPr>
          <w:sz w:val="20"/>
          <w:szCs w:val="20"/>
        </w:rPr>
        <w:t>wykonanie hydroizolacji na powierzchniach stykających się z gruntem,</w:t>
      </w:r>
    </w:p>
    <w:p w14:paraId="1CC5238F" w14:textId="77777777" w:rsidR="00684754" w:rsidRPr="00FC732A" w:rsidRDefault="00684754" w:rsidP="00FC732A">
      <w:pPr>
        <w:widowControl/>
        <w:numPr>
          <w:ilvl w:val="0"/>
          <w:numId w:val="40"/>
        </w:numPr>
        <w:autoSpaceDE/>
        <w:autoSpaceDN/>
        <w:ind w:left="284" w:right="629" w:firstLine="0"/>
        <w:jc w:val="both"/>
        <w:rPr>
          <w:sz w:val="20"/>
          <w:szCs w:val="20"/>
        </w:rPr>
      </w:pPr>
      <w:r w:rsidRPr="00FC732A">
        <w:rPr>
          <w:sz w:val="20"/>
          <w:szCs w:val="20"/>
        </w:rPr>
        <w:t>ewentualne wykonanie powłoki antykorozyjnej,</w:t>
      </w:r>
    </w:p>
    <w:p w14:paraId="51F1E10A" w14:textId="77777777" w:rsidR="00684754" w:rsidRPr="00FC732A" w:rsidRDefault="00684754" w:rsidP="00FC732A">
      <w:pPr>
        <w:widowControl/>
        <w:numPr>
          <w:ilvl w:val="0"/>
          <w:numId w:val="40"/>
        </w:numPr>
        <w:autoSpaceDE/>
        <w:autoSpaceDN/>
        <w:ind w:left="284" w:right="629" w:firstLine="0"/>
        <w:jc w:val="both"/>
        <w:rPr>
          <w:sz w:val="20"/>
          <w:szCs w:val="20"/>
        </w:rPr>
      </w:pPr>
      <w:r w:rsidRPr="00FC732A">
        <w:rPr>
          <w:sz w:val="20"/>
          <w:szCs w:val="20"/>
        </w:rPr>
        <w:t xml:space="preserve">ewentualne wykonanie powłoki </w:t>
      </w:r>
      <w:proofErr w:type="spellStart"/>
      <w:r w:rsidRPr="00FC732A">
        <w:rPr>
          <w:sz w:val="20"/>
          <w:szCs w:val="20"/>
        </w:rPr>
        <w:t>antygraffiti</w:t>
      </w:r>
      <w:proofErr w:type="spellEnd"/>
      <w:r w:rsidRPr="00FC732A">
        <w:rPr>
          <w:sz w:val="20"/>
          <w:szCs w:val="20"/>
        </w:rPr>
        <w:t>,</w:t>
      </w:r>
    </w:p>
    <w:p w14:paraId="47533066" w14:textId="77777777" w:rsidR="00684754" w:rsidRPr="00FC732A" w:rsidRDefault="00684754" w:rsidP="00FC732A">
      <w:pPr>
        <w:widowControl/>
        <w:numPr>
          <w:ilvl w:val="0"/>
          <w:numId w:val="40"/>
        </w:numPr>
        <w:autoSpaceDE/>
        <w:autoSpaceDN/>
        <w:ind w:left="284" w:right="629" w:firstLine="0"/>
        <w:jc w:val="both"/>
        <w:rPr>
          <w:sz w:val="20"/>
          <w:szCs w:val="20"/>
        </w:rPr>
      </w:pPr>
      <w:r w:rsidRPr="00FC732A">
        <w:rPr>
          <w:sz w:val="20"/>
          <w:szCs w:val="20"/>
        </w:rPr>
        <w:t>oczyszczenie i uporządkowanie terenu budowy,</w:t>
      </w:r>
    </w:p>
    <w:p w14:paraId="5D7484E1" w14:textId="77777777" w:rsidR="00684754" w:rsidRPr="00FC732A" w:rsidRDefault="00684754" w:rsidP="00FC732A">
      <w:pPr>
        <w:widowControl/>
        <w:numPr>
          <w:ilvl w:val="0"/>
          <w:numId w:val="40"/>
        </w:numPr>
        <w:autoSpaceDE/>
        <w:autoSpaceDN/>
        <w:ind w:left="284" w:right="629" w:firstLine="0"/>
        <w:jc w:val="both"/>
        <w:rPr>
          <w:sz w:val="20"/>
          <w:szCs w:val="20"/>
        </w:rPr>
      </w:pPr>
      <w:r w:rsidRPr="00FC732A">
        <w:rPr>
          <w:sz w:val="20"/>
          <w:szCs w:val="20"/>
        </w:rPr>
        <w:t>przeprowadzenie niezbędnych badań laboratoryjnych i pomiarów wymaganych w specyfikacji i sporządzenie metryk pali,</w:t>
      </w:r>
    </w:p>
    <w:p w14:paraId="5A1AA50C" w14:textId="5EF8722B" w:rsidR="00684754" w:rsidRDefault="00684754" w:rsidP="00FC732A">
      <w:pPr>
        <w:autoSpaceDE/>
        <w:autoSpaceDN/>
        <w:ind w:left="284" w:right="629"/>
        <w:jc w:val="both"/>
        <w:rPr>
          <w:sz w:val="20"/>
          <w:szCs w:val="20"/>
        </w:rPr>
      </w:pPr>
      <w:r w:rsidRPr="00FC732A">
        <w:rPr>
          <w:sz w:val="20"/>
          <w:szCs w:val="20"/>
        </w:rPr>
        <w:t>Wszystkie roboty powinny być wykonane według wymagań dokumentacji projektowej, S</w:t>
      </w:r>
      <w:r w:rsidR="008E405E">
        <w:rPr>
          <w:sz w:val="20"/>
          <w:szCs w:val="20"/>
        </w:rPr>
        <w:t>S</w:t>
      </w:r>
      <w:r w:rsidRPr="00FC732A">
        <w:rPr>
          <w:sz w:val="20"/>
          <w:szCs w:val="20"/>
        </w:rPr>
        <w:t>T i niniejszej specyfikacji technicznej.</w:t>
      </w:r>
    </w:p>
    <w:p w14:paraId="7C40CD22" w14:textId="77777777" w:rsidR="008E405E" w:rsidRPr="00FC732A" w:rsidRDefault="008E405E" w:rsidP="00FC732A">
      <w:pPr>
        <w:autoSpaceDE/>
        <w:autoSpaceDN/>
        <w:ind w:left="284" w:right="629"/>
        <w:jc w:val="both"/>
        <w:rPr>
          <w:sz w:val="20"/>
          <w:szCs w:val="20"/>
        </w:rPr>
      </w:pPr>
    </w:p>
    <w:p w14:paraId="4B3A9A1F" w14:textId="7BAFB6B8" w:rsidR="00684754" w:rsidRPr="00FC732A" w:rsidRDefault="00684754" w:rsidP="008E405E">
      <w:pPr>
        <w:pStyle w:val="Nagwek1"/>
        <w:spacing w:after="240"/>
      </w:pPr>
      <w:r w:rsidRPr="00FC732A">
        <w:t xml:space="preserve">9.3. </w:t>
      </w:r>
      <w:r w:rsidR="008E405E">
        <w:tab/>
      </w:r>
      <w:r w:rsidRPr="00FC732A">
        <w:t xml:space="preserve">Sposób rozliczenia robót tymczasowych i prac towarzyszących  </w:t>
      </w:r>
    </w:p>
    <w:p w14:paraId="22376C28" w14:textId="25419B00" w:rsidR="00684754" w:rsidRPr="00FC732A" w:rsidRDefault="00684754" w:rsidP="00FC732A">
      <w:pPr>
        <w:ind w:left="284" w:right="629"/>
        <w:jc w:val="both"/>
        <w:rPr>
          <w:sz w:val="20"/>
          <w:szCs w:val="20"/>
        </w:rPr>
      </w:pPr>
      <w:r w:rsidRPr="00FC732A">
        <w:rPr>
          <w:sz w:val="20"/>
          <w:szCs w:val="20"/>
        </w:rPr>
        <w:t>Cena wykonan</w:t>
      </w:r>
      <w:r w:rsidR="008E405E">
        <w:rPr>
          <w:sz w:val="20"/>
          <w:szCs w:val="20"/>
        </w:rPr>
        <w:t>ia robót określonych niniejszą S</w:t>
      </w:r>
      <w:r w:rsidRPr="00FC732A">
        <w:rPr>
          <w:sz w:val="20"/>
          <w:szCs w:val="20"/>
        </w:rPr>
        <w:t>ST obejmuje:</w:t>
      </w:r>
    </w:p>
    <w:p w14:paraId="433D0CA7" w14:textId="77777777" w:rsidR="00684754" w:rsidRPr="00FC732A" w:rsidRDefault="00684754" w:rsidP="00FC732A">
      <w:pPr>
        <w:widowControl/>
        <w:numPr>
          <w:ilvl w:val="0"/>
          <w:numId w:val="41"/>
        </w:numPr>
        <w:autoSpaceDE/>
        <w:autoSpaceDN/>
        <w:ind w:left="284" w:right="629" w:firstLine="0"/>
        <w:jc w:val="both"/>
        <w:rPr>
          <w:sz w:val="20"/>
          <w:szCs w:val="20"/>
        </w:rPr>
      </w:pPr>
      <w:r w:rsidRPr="00FC732A">
        <w:rPr>
          <w:sz w:val="20"/>
          <w:szCs w:val="20"/>
        </w:rPr>
        <w:t>roboty tymczasowe, które są potrzebne do wykonania robót podstawowych, ale nie są przekazywane Zamawiającemu i są usuwane po wykonaniu robót podstawowych,</w:t>
      </w:r>
    </w:p>
    <w:p w14:paraId="181B3F82" w14:textId="77777777" w:rsidR="00684754" w:rsidRDefault="00684754" w:rsidP="00FC732A">
      <w:pPr>
        <w:widowControl/>
        <w:numPr>
          <w:ilvl w:val="0"/>
          <w:numId w:val="41"/>
        </w:numPr>
        <w:autoSpaceDE/>
        <w:autoSpaceDN/>
        <w:ind w:left="284" w:right="629" w:firstLine="0"/>
        <w:jc w:val="both"/>
        <w:rPr>
          <w:sz w:val="20"/>
          <w:szCs w:val="20"/>
        </w:rPr>
      </w:pPr>
      <w:r w:rsidRPr="00FC732A">
        <w:rPr>
          <w:sz w:val="20"/>
          <w:szCs w:val="20"/>
        </w:rPr>
        <w:t>prace towarzyszące, które są niezbędne do wykonania robót podstawowych, niezaliczane do robót tymczasowych.</w:t>
      </w:r>
    </w:p>
    <w:p w14:paraId="60E41C8D" w14:textId="77777777" w:rsidR="008E405E" w:rsidRPr="00FC732A" w:rsidRDefault="008E405E" w:rsidP="008E405E">
      <w:pPr>
        <w:widowControl/>
        <w:autoSpaceDE/>
        <w:autoSpaceDN/>
        <w:ind w:left="284" w:right="629"/>
        <w:jc w:val="both"/>
        <w:rPr>
          <w:sz w:val="20"/>
          <w:szCs w:val="20"/>
        </w:rPr>
      </w:pPr>
    </w:p>
    <w:bookmarkEnd w:id="39"/>
    <w:p w14:paraId="06617186" w14:textId="616C829D" w:rsidR="00455A23" w:rsidRPr="00FC732A" w:rsidRDefault="008E405E" w:rsidP="00FC732A">
      <w:pPr>
        <w:pStyle w:val="Nagwek1"/>
        <w:numPr>
          <w:ilvl w:val="0"/>
          <w:numId w:val="1"/>
        </w:numPr>
        <w:tabs>
          <w:tab w:val="left" w:pos="1134"/>
        </w:tabs>
        <w:ind w:left="284" w:right="629" w:firstLine="0"/>
        <w:jc w:val="both"/>
      </w:pPr>
      <w:r>
        <w:t>PRZEPISY ZWIĄZANE</w:t>
      </w:r>
    </w:p>
    <w:p w14:paraId="48A6944C" w14:textId="77777777" w:rsidR="0099682D" w:rsidRPr="00FC732A" w:rsidRDefault="0099682D" w:rsidP="00FC732A">
      <w:pPr>
        <w:pStyle w:val="Nagwek1"/>
        <w:tabs>
          <w:tab w:val="left" w:pos="1134"/>
        </w:tabs>
        <w:ind w:left="284" w:right="629" w:firstLine="0"/>
        <w:jc w:val="both"/>
      </w:pPr>
    </w:p>
    <w:p w14:paraId="4D912F4C" w14:textId="5CC67893" w:rsidR="00684754" w:rsidRPr="008E405E" w:rsidRDefault="008E405E" w:rsidP="008E405E">
      <w:pPr>
        <w:pStyle w:val="Nagwek2"/>
        <w:tabs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r>
        <w:rPr>
          <w:rFonts w:ascii="Verdana" w:hAnsi="Verdana"/>
          <w:b/>
          <w:color w:val="auto"/>
          <w:sz w:val="20"/>
          <w:szCs w:val="20"/>
        </w:rPr>
        <w:t>10.1</w:t>
      </w:r>
      <w:r w:rsidR="00684754" w:rsidRPr="008E405E">
        <w:rPr>
          <w:rFonts w:ascii="Verdana" w:hAnsi="Verdana"/>
          <w:b/>
          <w:color w:val="auto"/>
          <w:sz w:val="20"/>
          <w:szCs w:val="20"/>
        </w:rPr>
        <w:t xml:space="preserve">. </w:t>
      </w:r>
      <w:r>
        <w:rPr>
          <w:rFonts w:ascii="Verdana" w:hAnsi="Verdana"/>
          <w:b/>
          <w:color w:val="auto"/>
          <w:sz w:val="20"/>
          <w:szCs w:val="20"/>
        </w:rPr>
        <w:tab/>
      </w:r>
      <w:r w:rsidR="00684754" w:rsidRPr="008E405E">
        <w:rPr>
          <w:rFonts w:ascii="Verdana" w:hAnsi="Verdana"/>
          <w:b/>
          <w:color w:val="auto"/>
          <w:sz w:val="20"/>
          <w:szCs w:val="20"/>
        </w:rPr>
        <w:t>Normy</w:t>
      </w:r>
    </w:p>
    <w:tbl>
      <w:tblPr>
        <w:tblW w:w="8789" w:type="dxa"/>
        <w:tblInd w:w="108" w:type="dxa"/>
        <w:tblLook w:val="01E0" w:firstRow="1" w:lastRow="1" w:firstColumn="1" w:lastColumn="1" w:noHBand="0" w:noVBand="0"/>
      </w:tblPr>
      <w:tblGrid>
        <w:gridCol w:w="567"/>
        <w:gridCol w:w="2552"/>
        <w:gridCol w:w="5670"/>
      </w:tblGrid>
      <w:tr w:rsidR="00FC732A" w:rsidRPr="00FC732A" w14:paraId="58480B2C" w14:textId="77777777" w:rsidTr="004B74C4">
        <w:tc>
          <w:tcPr>
            <w:tcW w:w="567" w:type="dxa"/>
          </w:tcPr>
          <w:p w14:paraId="55D06427" w14:textId="06D368C2" w:rsidR="00684754" w:rsidRPr="00FC732A" w:rsidRDefault="008E405E" w:rsidP="008E40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84754" w:rsidRPr="00FC732A"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14:paraId="369F1B70" w14:textId="77777777" w:rsidR="00684754" w:rsidRPr="00FC732A" w:rsidRDefault="00684754" w:rsidP="008E405E">
            <w:pPr>
              <w:ind w:left="284" w:right="142"/>
              <w:jc w:val="both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PN-EN 10080</w:t>
            </w:r>
          </w:p>
        </w:tc>
        <w:tc>
          <w:tcPr>
            <w:tcW w:w="5670" w:type="dxa"/>
          </w:tcPr>
          <w:p w14:paraId="10EC676A" w14:textId="77777777" w:rsidR="00684754" w:rsidRPr="00FC732A" w:rsidRDefault="00684754" w:rsidP="008E405E">
            <w:pPr>
              <w:ind w:left="284" w:right="142"/>
              <w:jc w:val="both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 xml:space="preserve">Stal do zbrojenia Stal do zbrojenia betonu. </w:t>
            </w:r>
            <w:proofErr w:type="spellStart"/>
            <w:r w:rsidRPr="00FC732A">
              <w:rPr>
                <w:sz w:val="20"/>
                <w:szCs w:val="20"/>
              </w:rPr>
              <w:t>Spajalna</w:t>
            </w:r>
            <w:proofErr w:type="spellEnd"/>
            <w:r w:rsidRPr="00FC732A">
              <w:rPr>
                <w:sz w:val="20"/>
                <w:szCs w:val="20"/>
              </w:rPr>
              <w:t xml:space="preserve"> stal zbrojeniowa. Postanowienia ogólne</w:t>
            </w:r>
          </w:p>
        </w:tc>
      </w:tr>
      <w:tr w:rsidR="00FC732A" w:rsidRPr="00FC732A" w14:paraId="6E74EA9D" w14:textId="77777777" w:rsidTr="004B74C4">
        <w:tc>
          <w:tcPr>
            <w:tcW w:w="567" w:type="dxa"/>
          </w:tcPr>
          <w:p w14:paraId="5EE183A1" w14:textId="32F0ABDE" w:rsidR="00684754" w:rsidRPr="00FC732A" w:rsidRDefault="008E405E" w:rsidP="008E40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84754" w:rsidRPr="00FC732A"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14:paraId="0C839FDE" w14:textId="77777777" w:rsidR="00684754" w:rsidRPr="00FC732A" w:rsidRDefault="00684754" w:rsidP="008E405E">
            <w:pPr>
              <w:ind w:left="284" w:right="142"/>
              <w:jc w:val="both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PN-EN 197-1</w:t>
            </w:r>
          </w:p>
        </w:tc>
        <w:tc>
          <w:tcPr>
            <w:tcW w:w="5670" w:type="dxa"/>
          </w:tcPr>
          <w:p w14:paraId="3098BC19" w14:textId="77777777" w:rsidR="00684754" w:rsidRPr="00FC732A" w:rsidRDefault="00684754" w:rsidP="008E405E">
            <w:pPr>
              <w:ind w:left="284" w:right="142"/>
              <w:jc w:val="both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Cement -- Część 1: Skład, wymagania i kryteria zgodności dotyczące cementów powszechnego użytku</w:t>
            </w:r>
          </w:p>
        </w:tc>
      </w:tr>
      <w:tr w:rsidR="00FC732A" w:rsidRPr="00FC732A" w14:paraId="5DAAEB32" w14:textId="77777777" w:rsidTr="004B74C4">
        <w:tc>
          <w:tcPr>
            <w:tcW w:w="567" w:type="dxa"/>
          </w:tcPr>
          <w:p w14:paraId="16597995" w14:textId="140E4728" w:rsidR="00684754" w:rsidRPr="00FC732A" w:rsidRDefault="008E405E" w:rsidP="008E40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84754" w:rsidRPr="00FC732A"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14:paraId="0199F604" w14:textId="77777777" w:rsidR="00684754" w:rsidRPr="00FC732A" w:rsidRDefault="00684754" w:rsidP="008E405E">
            <w:pPr>
              <w:ind w:left="284" w:right="142"/>
              <w:jc w:val="both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PN-EN 932-3</w:t>
            </w:r>
          </w:p>
        </w:tc>
        <w:tc>
          <w:tcPr>
            <w:tcW w:w="5670" w:type="dxa"/>
          </w:tcPr>
          <w:p w14:paraId="0A7FA35D" w14:textId="77777777" w:rsidR="00684754" w:rsidRPr="00FC732A" w:rsidRDefault="00684754" w:rsidP="008E405E">
            <w:pPr>
              <w:ind w:left="284" w:right="142"/>
              <w:jc w:val="both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Badania podstawowych właściwości kruszyw -- Procedura i terminologia uproszczonego opisu petrograficznego</w:t>
            </w:r>
          </w:p>
        </w:tc>
      </w:tr>
      <w:tr w:rsidR="00FC732A" w:rsidRPr="00FC732A" w14:paraId="659E8378" w14:textId="77777777" w:rsidTr="004B74C4">
        <w:tc>
          <w:tcPr>
            <w:tcW w:w="567" w:type="dxa"/>
          </w:tcPr>
          <w:p w14:paraId="010DBC4A" w14:textId="7ADBBC46" w:rsidR="00684754" w:rsidRPr="00FC732A" w:rsidRDefault="008E405E" w:rsidP="008E40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84754" w:rsidRPr="00FC732A"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14:paraId="06FD19E2" w14:textId="77777777" w:rsidR="00684754" w:rsidRPr="00FC732A" w:rsidRDefault="00684754" w:rsidP="008E405E">
            <w:pPr>
              <w:ind w:left="284" w:right="142"/>
              <w:jc w:val="both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PN-EN 933-1:</w:t>
            </w:r>
          </w:p>
        </w:tc>
        <w:tc>
          <w:tcPr>
            <w:tcW w:w="5670" w:type="dxa"/>
          </w:tcPr>
          <w:p w14:paraId="36D6B304" w14:textId="77777777" w:rsidR="00684754" w:rsidRPr="00FC732A" w:rsidRDefault="00684754" w:rsidP="008E405E">
            <w:pPr>
              <w:ind w:left="284" w:right="142"/>
              <w:jc w:val="both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Badania geometrycznych właściwości kruszyw - Oznaczenie składu ziarnowego - Metoda przesiewania</w:t>
            </w:r>
          </w:p>
        </w:tc>
      </w:tr>
      <w:tr w:rsidR="00FC732A" w:rsidRPr="00FC732A" w14:paraId="3B1B3988" w14:textId="77777777" w:rsidTr="004B74C4">
        <w:tc>
          <w:tcPr>
            <w:tcW w:w="567" w:type="dxa"/>
          </w:tcPr>
          <w:p w14:paraId="0D26810B" w14:textId="621E4514" w:rsidR="00684754" w:rsidRPr="00FC732A" w:rsidRDefault="008E405E" w:rsidP="008E40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84754" w:rsidRPr="00FC732A"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14:paraId="19312C6F" w14:textId="77777777" w:rsidR="00684754" w:rsidRPr="00FC732A" w:rsidRDefault="00684754" w:rsidP="008E405E">
            <w:pPr>
              <w:tabs>
                <w:tab w:val="left" w:pos="426"/>
                <w:tab w:val="left" w:pos="2268"/>
              </w:tabs>
              <w:suppressAutoHyphens/>
              <w:ind w:left="284" w:right="142"/>
              <w:jc w:val="both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PN-EN 933-3</w:t>
            </w:r>
          </w:p>
        </w:tc>
        <w:tc>
          <w:tcPr>
            <w:tcW w:w="5670" w:type="dxa"/>
          </w:tcPr>
          <w:p w14:paraId="0E8262F6" w14:textId="77777777" w:rsidR="00684754" w:rsidRPr="00FC732A" w:rsidRDefault="00684754" w:rsidP="008E405E">
            <w:pPr>
              <w:tabs>
                <w:tab w:val="left" w:pos="426"/>
                <w:tab w:val="left" w:pos="2268"/>
              </w:tabs>
              <w:suppressAutoHyphens/>
              <w:ind w:left="284" w:right="142"/>
              <w:jc w:val="both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 xml:space="preserve">Badania geometrycznych właściwości kruszyw -- Część 3: Oznaczanie kształtu </w:t>
            </w:r>
            <w:proofErr w:type="spellStart"/>
            <w:r w:rsidRPr="00FC732A">
              <w:rPr>
                <w:sz w:val="20"/>
                <w:szCs w:val="20"/>
              </w:rPr>
              <w:t>ziarn</w:t>
            </w:r>
            <w:proofErr w:type="spellEnd"/>
            <w:r w:rsidRPr="00FC732A">
              <w:rPr>
                <w:sz w:val="20"/>
                <w:szCs w:val="20"/>
              </w:rPr>
              <w:t xml:space="preserve"> za pomocą wskaźnika płaskości</w:t>
            </w:r>
          </w:p>
        </w:tc>
      </w:tr>
      <w:tr w:rsidR="00FC732A" w:rsidRPr="00FC732A" w14:paraId="69E4155D" w14:textId="77777777" w:rsidTr="004B74C4">
        <w:tc>
          <w:tcPr>
            <w:tcW w:w="567" w:type="dxa"/>
          </w:tcPr>
          <w:p w14:paraId="1E7AD8CC" w14:textId="2AA09E3F" w:rsidR="00684754" w:rsidRPr="00FC732A" w:rsidRDefault="008E405E" w:rsidP="008E40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684754" w:rsidRPr="00FC732A"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14:paraId="69DBBB09" w14:textId="77777777" w:rsidR="00684754" w:rsidRPr="00FC732A" w:rsidRDefault="00684754" w:rsidP="008E405E">
            <w:pPr>
              <w:ind w:left="284" w:right="142"/>
              <w:jc w:val="both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PN-EN 933-4</w:t>
            </w:r>
          </w:p>
        </w:tc>
        <w:tc>
          <w:tcPr>
            <w:tcW w:w="5670" w:type="dxa"/>
          </w:tcPr>
          <w:p w14:paraId="2DA33990" w14:textId="77777777" w:rsidR="00684754" w:rsidRPr="00FC732A" w:rsidRDefault="00684754" w:rsidP="008E405E">
            <w:pPr>
              <w:ind w:left="284" w:right="142"/>
              <w:jc w:val="both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 xml:space="preserve">Badania geometrycznych właściwości kruszyw – Część 4: Oznaczenie kształtu </w:t>
            </w:r>
            <w:proofErr w:type="spellStart"/>
            <w:r w:rsidRPr="00FC732A">
              <w:rPr>
                <w:sz w:val="20"/>
                <w:szCs w:val="20"/>
              </w:rPr>
              <w:t>ziarn</w:t>
            </w:r>
            <w:proofErr w:type="spellEnd"/>
            <w:r w:rsidRPr="00FC732A">
              <w:rPr>
                <w:sz w:val="20"/>
                <w:szCs w:val="20"/>
              </w:rPr>
              <w:t xml:space="preserve"> – Wskaźnik kształtu</w:t>
            </w:r>
          </w:p>
        </w:tc>
      </w:tr>
      <w:tr w:rsidR="00FC732A" w:rsidRPr="00FC732A" w14:paraId="3A81C684" w14:textId="77777777" w:rsidTr="004B74C4">
        <w:tc>
          <w:tcPr>
            <w:tcW w:w="567" w:type="dxa"/>
          </w:tcPr>
          <w:p w14:paraId="6E1478A2" w14:textId="2C706A3D" w:rsidR="00684754" w:rsidRPr="00FC732A" w:rsidRDefault="008E405E" w:rsidP="008E40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684754" w:rsidRPr="00FC732A"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14:paraId="2264D59D" w14:textId="77777777" w:rsidR="00684754" w:rsidRPr="00FC732A" w:rsidRDefault="00684754" w:rsidP="008E405E">
            <w:pPr>
              <w:ind w:left="284" w:right="142"/>
              <w:jc w:val="both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PN-EN 933-5</w:t>
            </w:r>
          </w:p>
        </w:tc>
        <w:tc>
          <w:tcPr>
            <w:tcW w:w="5670" w:type="dxa"/>
          </w:tcPr>
          <w:p w14:paraId="1163BE22" w14:textId="77777777" w:rsidR="00684754" w:rsidRPr="00FC732A" w:rsidRDefault="00684754" w:rsidP="008E405E">
            <w:pPr>
              <w:tabs>
                <w:tab w:val="left" w:pos="2694"/>
              </w:tabs>
              <w:ind w:left="284" w:right="142"/>
              <w:jc w:val="both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 xml:space="preserve">Badania geometrycznych właściwości kruszyw -- Oznaczanie procentowej zawartości </w:t>
            </w:r>
            <w:proofErr w:type="spellStart"/>
            <w:r w:rsidRPr="00FC732A">
              <w:rPr>
                <w:sz w:val="20"/>
                <w:szCs w:val="20"/>
              </w:rPr>
              <w:t>ziarn</w:t>
            </w:r>
            <w:proofErr w:type="spellEnd"/>
            <w:r w:rsidRPr="00FC732A">
              <w:rPr>
                <w:sz w:val="20"/>
                <w:szCs w:val="20"/>
              </w:rPr>
              <w:t xml:space="preserve"> o powierzchniach powstałych w wyniku </w:t>
            </w:r>
            <w:proofErr w:type="spellStart"/>
            <w:r w:rsidRPr="00FC732A">
              <w:rPr>
                <w:sz w:val="20"/>
                <w:szCs w:val="20"/>
              </w:rPr>
              <w:t>przekruszenia</w:t>
            </w:r>
            <w:proofErr w:type="spellEnd"/>
            <w:r w:rsidRPr="00FC732A">
              <w:rPr>
                <w:sz w:val="20"/>
                <w:szCs w:val="20"/>
              </w:rPr>
              <w:t xml:space="preserve"> lub łamania kruszyw grubych</w:t>
            </w:r>
          </w:p>
        </w:tc>
      </w:tr>
      <w:tr w:rsidR="00FC732A" w:rsidRPr="00FC732A" w14:paraId="3B5DE00F" w14:textId="77777777" w:rsidTr="004B74C4">
        <w:tc>
          <w:tcPr>
            <w:tcW w:w="567" w:type="dxa"/>
          </w:tcPr>
          <w:p w14:paraId="1FA97738" w14:textId="2E828ED4" w:rsidR="00684754" w:rsidRPr="00FC732A" w:rsidRDefault="008E405E" w:rsidP="008E40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684754" w:rsidRPr="00FC732A"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14:paraId="434F5AD6" w14:textId="77777777" w:rsidR="00684754" w:rsidRPr="00FC732A" w:rsidRDefault="00684754" w:rsidP="008E405E">
            <w:pPr>
              <w:ind w:left="284" w:right="142"/>
              <w:jc w:val="both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 xml:space="preserve">PN-EN 934-1     </w:t>
            </w:r>
          </w:p>
        </w:tc>
        <w:tc>
          <w:tcPr>
            <w:tcW w:w="5670" w:type="dxa"/>
          </w:tcPr>
          <w:p w14:paraId="565CA61F" w14:textId="77777777" w:rsidR="00684754" w:rsidRPr="00FC732A" w:rsidRDefault="00684754" w:rsidP="008E405E">
            <w:pPr>
              <w:tabs>
                <w:tab w:val="left" w:pos="2694"/>
              </w:tabs>
              <w:ind w:left="284" w:right="142"/>
              <w:jc w:val="both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Domieszki do betonu, zaprawy i zaczynu. – Część 1:  Wymagania podstawowe</w:t>
            </w:r>
          </w:p>
        </w:tc>
      </w:tr>
      <w:tr w:rsidR="00FC732A" w:rsidRPr="00FC732A" w14:paraId="02A30F49" w14:textId="77777777" w:rsidTr="004B74C4">
        <w:tc>
          <w:tcPr>
            <w:tcW w:w="567" w:type="dxa"/>
          </w:tcPr>
          <w:p w14:paraId="1B696F66" w14:textId="7106A00F" w:rsidR="00684754" w:rsidRPr="00FC732A" w:rsidRDefault="008E405E" w:rsidP="008E40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684754" w:rsidRPr="00FC732A"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14:paraId="36E36EA0" w14:textId="77777777" w:rsidR="00684754" w:rsidRPr="00FC732A" w:rsidRDefault="00684754" w:rsidP="008E405E">
            <w:pPr>
              <w:tabs>
                <w:tab w:val="left" w:pos="426"/>
                <w:tab w:val="left" w:pos="2268"/>
              </w:tabs>
              <w:suppressAutoHyphens/>
              <w:ind w:left="284" w:right="142"/>
              <w:jc w:val="both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PN-EN 934-2</w:t>
            </w:r>
            <w:r w:rsidRPr="00FC732A">
              <w:rPr>
                <w:sz w:val="20"/>
                <w:szCs w:val="20"/>
              </w:rPr>
              <w:br/>
            </w:r>
          </w:p>
        </w:tc>
        <w:tc>
          <w:tcPr>
            <w:tcW w:w="5670" w:type="dxa"/>
          </w:tcPr>
          <w:p w14:paraId="4E17D068" w14:textId="77777777" w:rsidR="00684754" w:rsidRPr="00FC732A" w:rsidRDefault="00684754" w:rsidP="008E405E">
            <w:pPr>
              <w:tabs>
                <w:tab w:val="left" w:pos="426"/>
                <w:tab w:val="left" w:pos="2268"/>
              </w:tabs>
              <w:suppressAutoHyphens/>
              <w:ind w:left="284" w:right="142"/>
              <w:jc w:val="both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Domieszki do betonu, zaprawy i zaczynu – Część 2: Domieszki do betonu - Definicje, wymagania, zgodność, oznakowanie i etykietowanie</w:t>
            </w:r>
          </w:p>
        </w:tc>
      </w:tr>
      <w:tr w:rsidR="00FC732A" w:rsidRPr="00FC732A" w14:paraId="746244EC" w14:textId="77777777" w:rsidTr="004B74C4">
        <w:tc>
          <w:tcPr>
            <w:tcW w:w="567" w:type="dxa"/>
          </w:tcPr>
          <w:p w14:paraId="448E0D68" w14:textId="33243506" w:rsidR="00684754" w:rsidRPr="00FC732A" w:rsidRDefault="008E405E" w:rsidP="008E40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684754" w:rsidRPr="00FC732A"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14:paraId="18A516DE" w14:textId="77777777" w:rsidR="00684754" w:rsidRPr="00FC732A" w:rsidRDefault="00684754" w:rsidP="008E405E">
            <w:pPr>
              <w:ind w:left="284" w:right="142"/>
              <w:jc w:val="both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PN-EN 206</w:t>
            </w:r>
          </w:p>
        </w:tc>
        <w:tc>
          <w:tcPr>
            <w:tcW w:w="5670" w:type="dxa"/>
          </w:tcPr>
          <w:p w14:paraId="106B0317" w14:textId="77777777" w:rsidR="00684754" w:rsidRPr="00FC732A" w:rsidRDefault="00684754" w:rsidP="008E405E">
            <w:pPr>
              <w:ind w:left="284" w:right="142"/>
              <w:jc w:val="both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Beton -- Wymagania, właściwości, produkcja i zgodność</w:t>
            </w:r>
          </w:p>
        </w:tc>
      </w:tr>
      <w:tr w:rsidR="00FC732A" w:rsidRPr="00FC732A" w14:paraId="508C3B18" w14:textId="77777777" w:rsidTr="004B74C4">
        <w:tc>
          <w:tcPr>
            <w:tcW w:w="567" w:type="dxa"/>
          </w:tcPr>
          <w:p w14:paraId="78FAFB15" w14:textId="63E1F39A" w:rsidR="00684754" w:rsidRPr="00FC732A" w:rsidRDefault="008E405E" w:rsidP="008E40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684754" w:rsidRPr="00FC732A"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14:paraId="4F7F3D74" w14:textId="77777777" w:rsidR="00684754" w:rsidRPr="00FC732A" w:rsidRDefault="00684754" w:rsidP="008E405E">
            <w:pPr>
              <w:ind w:left="284" w:right="142"/>
              <w:jc w:val="both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PN-EN 12620</w:t>
            </w:r>
          </w:p>
        </w:tc>
        <w:tc>
          <w:tcPr>
            <w:tcW w:w="5670" w:type="dxa"/>
          </w:tcPr>
          <w:p w14:paraId="5F656979" w14:textId="77777777" w:rsidR="00684754" w:rsidRPr="00FC732A" w:rsidRDefault="00684754" w:rsidP="008E405E">
            <w:pPr>
              <w:ind w:left="284" w:right="142"/>
              <w:jc w:val="both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Kruszywa do betonu</w:t>
            </w:r>
          </w:p>
        </w:tc>
      </w:tr>
      <w:tr w:rsidR="00FC732A" w:rsidRPr="00FC732A" w14:paraId="79F473C2" w14:textId="77777777" w:rsidTr="004B74C4">
        <w:tc>
          <w:tcPr>
            <w:tcW w:w="567" w:type="dxa"/>
          </w:tcPr>
          <w:p w14:paraId="2EC3F664" w14:textId="5AE93E81" w:rsidR="00684754" w:rsidRPr="00FC732A" w:rsidRDefault="008E405E" w:rsidP="008E40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684754" w:rsidRPr="00FC732A"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14:paraId="2ED018AB" w14:textId="77777777" w:rsidR="00684754" w:rsidRPr="00FC732A" w:rsidRDefault="00684754" w:rsidP="008E405E">
            <w:pPr>
              <w:tabs>
                <w:tab w:val="left" w:pos="2268"/>
              </w:tabs>
              <w:ind w:left="284" w:right="142"/>
              <w:jc w:val="both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PN-EN 1367-6</w:t>
            </w:r>
          </w:p>
        </w:tc>
        <w:tc>
          <w:tcPr>
            <w:tcW w:w="5670" w:type="dxa"/>
          </w:tcPr>
          <w:p w14:paraId="004F36C2" w14:textId="77777777" w:rsidR="00684754" w:rsidRPr="00FC732A" w:rsidRDefault="00684754" w:rsidP="008E405E">
            <w:pPr>
              <w:ind w:left="284" w:right="142"/>
              <w:jc w:val="both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Badania właściwości cieplnych i odporności kruszyw na działanie czynników atmosferycznych -- Część 6: Mrozoodporność w obecności soli</w:t>
            </w:r>
          </w:p>
        </w:tc>
      </w:tr>
      <w:tr w:rsidR="00FC732A" w:rsidRPr="00FC732A" w14:paraId="77386CA7" w14:textId="77777777" w:rsidTr="004B74C4">
        <w:tc>
          <w:tcPr>
            <w:tcW w:w="567" w:type="dxa"/>
          </w:tcPr>
          <w:p w14:paraId="3209DE07" w14:textId="1277705C" w:rsidR="00684754" w:rsidRPr="00FC732A" w:rsidRDefault="008E405E" w:rsidP="008E40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684754" w:rsidRPr="00FC732A"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14:paraId="3F9780D8" w14:textId="77777777" w:rsidR="00684754" w:rsidRPr="00FC732A" w:rsidRDefault="00684754" w:rsidP="008E405E">
            <w:pPr>
              <w:ind w:left="284" w:right="142"/>
              <w:jc w:val="both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PN-EN 1744-1</w:t>
            </w:r>
            <w:r w:rsidRPr="00FC732A">
              <w:rPr>
                <w:sz w:val="20"/>
                <w:szCs w:val="20"/>
              </w:rPr>
              <w:br/>
            </w:r>
          </w:p>
        </w:tc>
        <w:tc>
          <w:tcPr>
            <w:tcW w:w="5670" w:type="dxa"/>
          </w:tcPr>
          <w:p w14:paraId="3236B131" w14:textId="77777777" w:rsidR="00684754" w:rsidRPr="00FC732A" w:rsidRDefault="00684754" w:rsidP="008E405E">
            <w:pPr>
              <w:ind w:left="284" w:right="142"/>
              <w:jc w:val="both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Badania chemicznych właściwości kruszyw - Analiza chemiczna.</w:t>
            </w:r>
          </w:p>
        </w:tc>
      </w:tr>
      <w:tr w:rsidR="00FC732A" w:rsidRPr="00FC732A" w14:paraId="5CAA99F6" w14:textId="77777777" w:rsidTr="004B74C4">
        <w:tc>
          <w:tcPr>
            <w:tcW w:w="567" w:type="dxa"/>
          </w:tcPr>
          <w:p w14:paraId="4AAD4A4A" w14:textId="20094117" w:rsidR="00684754" w:rsidRPr="00FC732A" w:rsidRDefault="008E405E" w:rsidP="008E40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684754" w:rsidRPr="00FC732A"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14:paraId="7507CA07" w14:textId="77777777" w:rsidR="00684754" w:rsidRPr="00FC732A" w:rsidRDefault="00684754" w:rsidP="008E405E">
            <w:pPr>
              <w:ind w:left="284" w:right="142"/>
              <w:jc w:val="both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PN-EN 1097-2</w:t>
            </w:r>
          </w:p>
        </w:tc>
        <w:tc>
          <w:tcPr>
            <w:tcW w:w="5670" w:type="dxa"/>
          </w:tcPr>
          <w:p w14:paraId="46DE63E1" w14:textId="77777777" w:rsidR="00684754" w:rsidRPr="00FC732A" w:rsidRDefault="00684754" w:rsidP="008E405E">
            <w:pPr>
              <w:ind w:left="284" w:right="142"/>
              <w:jc w:val="both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Badania mechanicznych i fizycznych właściwości kruszyw -- Metody oznaczania odporności na rozdrabnianie</w:t>
            </w:r>
          </w:p>
        </w:tc>
      </w:tr>
      <w:tr w:rsidR="00FC732A" w:rsidRPr="00FC732A" w14:paraId="22C48923" w14:textId="77777777" w:rsidTr="004B74C4">
        <w:tc>
          <w:tcPr>
            <w:tcW w:w="567" w:type="dxa"/>
          </w:tcPr>
          <w:p w14:paraId="17E14970" w14:textId="53F3D294" w:rsidR="00684754" w:rsidRPr="00FC732A" w:rsidRDefault="008E405E" w:rsidP="008E40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  <w:r w:rsidR="00684754" w:rsidRPr="00FC732A"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14:paraId="38CB03B6" w14:textId="77777777" w:rsidR="00684754" w:rsidRPr="00FC732A" w:rsidRDefault="00684754" w:rsidP="008E405E">
            <w:pPr>
              <w:ind w:left="284" w:right="142"/>
              <w:jc w:val="both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PN-EN 1097-3</w:t>
            </w:r>
          </w:p>
        </w:tc>
        <w:tc>
          <w:tcPr>
            <w:tcW w:w="5670" w:type="dxa"/>
          </w:tcPr>
          <w:p w14:paraId="5F5A3588" w14:textId="77777777" w:rsidR="00684754" w:rsidRPr="00FC732A" w:rsidRDefault="00684754" w:rsidP="008E405E">
            <w:pPr>
              <w:ind w:left="284" w:right="142"/>
              <w:jc w:val="both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Badania mechanicznych i fizycznych właściwości kruszyw -- Oznaczanie gęstości nasypowej i jamistości</w:t>
            </w:r>
          </w:p>
        </w:tc>
      </w:tr>
      <w:tr w:rsidR="00FC732A" w:rsidRPr="00FC732A" w14:paraId="142BCA9A" w14:textId="77777777" w:rsidTr="004B74C4">
        <w:tc>
          <w:tcPr>
            <w:tcW w:w="567" w:type="dxa"/>
          </w:tcPr>
          <w:p w14:paraId="68CDB850" w14:textId="4860CAF1" w:rsidR="00684754" w:rsidRPr="00FC732A" w:rsidRDefault="008E405E" w:rsidP="008E40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684754" w:rsidRPr="00FC732A"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14:paraId="3724C289" w14:textId="77777777" w:rsidR="00684754" w:rsidRPr="00FC732A" w:rsidRDefault="00684754" w:rsidP="008E405E">
            <w:pPr>
              <w:ind w:left="284" w:right="142"/>
              <w:jc w:val="both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PN-EN1097-6</w:t>
            </w:r>
          </w:p>
        </w:tc>
        <w:tc>
          <w:tcPr>
            <w:tcW w:w="5670" w:type="dxa"/>
          </w:tcPr>
          <w:p w14:paraId="1847C3B6" w14:textId="77777777" w:rsidR="00684754" w:rsidRPr="00FC732A" w:rsidRDefault="00684754" w:rsidP="008E405E">
            <w:pPr>
              <w:ind w:left="284" w:right="142"/>
              <w:jc w:val="both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 xml:space="preserve">Badania mechanicznych i fizycznych właściwości kruszyw - Część 6:  Oznaczenie gęstości </w:t>
            </w:r>
            <w:proofErr w:type="spellStart"/>
            <w:r w:rsidRPr="00FC732A">
              <w:rPr>
                <w:sz w:val="20"/>
                <w:szCs w:val="20"/>
              </w:rPr>
              <w:t>ziarn</w:t>
            </w:r>
            <w:proofErr w:type="spellEnd"/>
            <w:r w:rsidRPr="00FC732A">
              <w:rPr>
                <w:sz w:val="20"/>
                <w:szCs w:val="20"/>
              </w:rPr>
              <w:t xml:space="preserve"> i nasiąkliwości</w:t>
            </w:r>
          </w:p>
        </w:tc>
      </w:tr>
      <w:tr w:rsidR="00FC732A" w:rsidRPr="00FC732A" w14:paraId="45C65524" w14:textId="77777777" w:rsidTr="004B74C4">
        <w:tc>
          <w:tcPr>
            <w:tcW w:w="567" w:type="dxa"/>
          </w:tcPr>
          <w:p w14:paraId="6F08333C" w14:textId="3E3A73D0" w:rsidR="00684754" w:rsidRPr="00FC732A" w:rsidRDefault="008E405E" w:rsidP="008E40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684754" w:rsidRPr="00FC732A"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14:paraId="28A274F7" w14:textId="77777777" w:rsidR="00684754" w:rsidRPr="00FC732A" w:rsidRDefault="00684754" w:rsidP="008E405E">
            <w:pPr>
              <w:ind w:left="284" w:right="142"/>
              <w:jc w:val="both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PN-B-06714-34</w:t>
            </w:r>
          </w:p>
        </w:tc>
        <w:tc>
          <w:tcPr>
            <w:tcW w:w="5670" w:type="dxa"/>
          </w:tcPr>
          <w:p w14:paraId="7B6DFE6B" w14:textId="77777777" w:rsidR="00684754" w:rsidRPr="00FC732A" w:rsidRDefault="00684754" w:rsidP="008E405E">
            <w:pPr>
              <w:ind w:left="284" w:right="142"/>
              <w:jc w:val="both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Kruszywa mineralne. Badania. Oznaczenie reaktywności alkalicznej</w:t>
            </w:r>
          </w:p>
        </w:tc>
      </w:tr>
      <w:tr w:rsidR="00FC732A" w:rsidRPr="00FC732A" w14:paraId="2DCFA71A" w14:textId="77777777" w:rsidTr="004B74C4">
        <w:tc>
          <w:tcPr>
            <w:tcW w:w="567" w:type="dxa"/>
          </w:tcPr>
          <w:p w14:paraId="64BD3319" w14:textId="525E6031" w:rsidR="00684754" w:rsidRPr="00FC732A" w:rsidRDefault="008E405E" w:rsidP="008E40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684754" w:rsidRPr="00FC732A"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14:paraId="495E2AEF" w14:textId="77777777" w:rsidR="00684754" w:rsidRPr="00FC732A" w:rsidRDefault="00684754" w:rsidP="008E405E">
            <w:pPr>
              <w:ind w:left="284" w:right="142"/>
              <w:jc w:val="both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PN-B-06714-46</w:t>
            </w:r>
          </w:p>
        </w:tc>
        <w:tc>
          <w:tcPr>
            <w:tcW w:w="5670" w:type="dxa"/>
          </w:tcPr>
          <w:p w14:paraId="3CA1FF65" w14:textId="77777777" w:rsidR="00684754" w:rsidRPr="00FC732A" w:rsidRDefault="00684754" w:rsidP="008E405E">
            <w:pPr>
              <w:ind w:left="284" w:right="142"/>
              <w:jc w:val="both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Kruszywa mineralne -- Badania -- Oznaczanie potencjalnej reaktywności alkalicznej metodą szybką</w:t>
            </w:r>
          </w:p>
        </w:tc>
      </w:tr>
      <w:tr w:rsidR="00FC732A" w:rsidRPr="00FC732A" w14:paraId="227A3D00" w14:textId="77777777" w:rsidTr="004B74C4">
        <w:tc>
          <w:tcPr>
            <w:tcW w:w="567" w:type="dxa"/>
          </w:tcPr>
          <w:p w14:paraId="124A4905" w14:textId="6CFC2CBE" w:rsidR="00684754" w:rsidRPr="00FC732A" w:rsidRDefault="008E405E" w:rsidP="008E40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684754" w:rsidRPr="00FC732A"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14:paraId="46DFFD9D" w14:textId="77777777" w:rsidR="00684754" w:rsidRPr="00FC732A" w:rsidRDefault="00684754" w:rsidP="008E405E">
            <w:pPr>
              <w:ind w:left="284" w:right="142"/>
              <w:jc w:val="both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PN-EN 1008</w:t>
            </w:r>
          </w:p>
        </w:tc>
        <w:tc>
          <w:tcPr>
            <w:tcW w:w="5670" w:type="dxa"/>
          </w:tcPr>
          <w:p w14:paraId="1A113DBD" w14:textId="77777777" w:rsidR="00684754" w:rsidRPr="00FC732A" w:rsidRDefault="00684754" w:rsidP="008E405E">
            <w:pPr>
              <w:ind w:left="284" w:right="142"/>
              <w:jc w:val="both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Woda zarobowa do betonu – Specyfikacja pobierania próbek, badanie i ocena przydatności wody zarobowej do betonu, w tym wody odzyskanej z procesów produkcji betonu</w:t>
            </w:r>
          </w:p>
        </w:tc>
      </w:tr>
      <w:tr w:rsidR="00FC732A" w:rsidRPr="00FC732A" w14:paraId="77278288" w14:textId="77777777" w:rsidTr="004B74C4">
        <w:tc>
          <w:tcPr>
            <w:tcW w:w="567" w:type="dxa"/>
          </w:tcPr>
          <w:p w14:paraId="4682EB76" w14:textId="32A58EAE" w:rsidR="00684754" w:rsidRPr="00FC732A" w:rsidRDefault="008E405E" w:rsidP="008E40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684754" w:rsidRPr="00FC732A"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14:paraId="278FEC21" w14:textId="77777777" w:rsidR="00684754" w:rsidRPr="00FC732A" w:rsidRDefault="00684754" w:rsidP="008E405E">
            <w:pPr>
              <w:ind w:left="284" w:right="142"/>
              <w:jc w:val="both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PN-EN 10025-1</w:t>
            </w:r>
          </w:p>
        </w:tc>
        <w:tc>
          <w:tcPr>
            <w:tcW w:w="5670" w:type="dxa"/>
          </w:tcPr>
          <w:p w14:paraId="576274CB" w14:textId="77777777" w:rsidR="00684754" w:rsidRPr="00FC732A" w:rsidRDefault="00684754" w:rsidP="008E405E">
            <w:pPr>
              <w:tabs>
                <w:tab w:val="left" w:pos="2694"/>
              </w:tabs>
              <w:ind w:left="284" w:right="142"/>
              <w:jc w:val="both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Wyroby walcowane na gorąco ze stali konstrukcyjnych - Część 1: Warunki techniczne dostawy</w:t>
            </w:r>
          </w:p>
        </w:tc>
      </w:tr>
      <w:tr w:rsidR="00FC732A" w:rsidRPr="00FC732A" w14:paraId="5E3B6BEC" w14:textId="77777777" w:rsidTr="004B74C4">
        <w:tc>
          <w:tcPr>
            <w:tcW w:w="567" w:type="dxa"/>
          </w:tcPr>
          <w:p w14:paraId="41C7A619" w14:textId="304FEE98" w:rsidR="00684754" w:rsidRPr="00FC732A" w:rsidRDefault="008E405E" w:rsidP="008E405E">
            <w:pPr>
              <w:pStyle w:val="Tekstpodstawowy"/>
              <w:ind w:left="0"/>
            </w:pPr>
            <w:r>
              <w:t>21</w:t>
            </w:r>
            <w:r w:rsidR="00684754" w:rsidRPr="00FC732A">
              <w:t>.</w:t>
            </w:r>
          </w:p>
        </w:tc>
        <w:tc>
          <w:tcPr>
            <w:tcW w:w="2552" w:type="dxa"/>
          </w:tcPr>
          <w:p w14:paraId="233BEF51" w14:textId="77777777" w:rsidR="00684754" w:rsidRPr="00FC732A" w:rsidRDefault="00684754" w:rsidP="008E405E">
            <w:pPr>
              <w:pStyle w:val="Tekstpodstawowy"/>
              <w:ind w:left="284" w:right="142"/>
            </w:pPr>
            <w:r w:rsidRPr="00FC732A">
              <w:t>PN-EN ISO 2808</w:t>
            </w:r>
          </w:p>
        </w:tc>
        <w:tc>
          <w:tcPr>
            <w:tcW w:w="5670" w:type="dxa"/>
          </w:tcPr>
          <w:p w14:paraId="4D58AEEC" w14:textId="77777777" w:rsidR="00684754" w:rsidRPr="00FC732A" w:rsidRDefault="00684754" w:rsidP="008E405E">
            <w:pPr>
              <w:pStyle w:val="Tekstpodstawowy"/>
              <w:ind w:left="284" w:right="142"/>
            </w:pPr>
            <w:r w:rsidRPr="00FC732A">
              <w:t>Farby i lakiery - Oznaczanie grubości powłoki</w:t>
            </w:r>
          </w:p>
        </w:tc>
      </w:tr>
      <w:tr w:rsidR="00FC732A" w:rsidRPr="00FC732A" w14:paraId="29FC6698" w14:textId="77777777" w:rsidTr="004B74C4">
        <w:tc>
          <w:tcPr>
            <w:tcW w:w="567" w:type="dxa"/>
          </w:tcPr>
          <w:p w14:paraId="28A834EC" w14:textId="40A6F6EE" w:rsidR="00684754" w:rsidRPr="00FC732A" w:rsidRDefault="008E405E" w:rsidP="008E405E">
            <w:pPr>
              <w:pStyle w:val="Tekstpodstawowy"/>
              <w:ind w:left="0"/>
            </w:pPr>
            <w:r>
              <w:t>22</w:t>
            </w:r>
            <w:r w:rsidR="00684754" w:rsidRPr="00FC732A">
              <w:t>.</w:t>
            </w:r>
          </w:p>
        </w:tc>
        <w:tc>
          <w:tcPr>
            <w:tcW w:w="2552" w:type="dxa"/>
          </w:tcPr>
          <w:p w14:paraId="580302B2" w14:textId="77777777" w:rsidR="00684754" w:rsidRPr="00FC732A" w:rsidRDefault="00684754" w:rsidP="008E405E">
            <w:pPr>
              <w:pStyle w:val="Tekstpodstawowy"/>
              <w:ind w:left="284" w:right="142"/>
            </w:pPr>
            <w:r w:rsidRPr="00FC732A">
              <w:t>PN-EN 1542</w:t>
            </w:r>
          </w:p>
        </w:tc>
        <w:tc>
          <w:tcPr>
            <w:tcW w:w="5670" w:type="dxa"/>
          </w:tcPr>
          <w:p w14:paraId="068B5304" w14:textId="77777777" w:rsidR="00684754" w:rsidRPr="00FC732A" w:rsidRDefault="00684754" w:rsidP="008E405E">
            <w:pPr>
              <w:pStyle w:val="Tekstpodstawowy"/>
              <w:ind w:left="284" w:right="142"/>
            </w:pPr>
            <w:r w:rsidRPr="00FC732A">
              <w:t>Wyroby i systemy do ochrony i  napraw konstrukcji betonowych - Metody badań - Pomiar przyczepności przez odrywanie</w:t>
            </w:r>
          </w:p>
        </w:tc>
      </w:tr>
      <w:tr w:rsidR="00FC732A" w:rsidRPr="00FC732A" w14:paraId="03DF8B00" w14:textId="77777777" w:rsidTr="004B74C4">
        <w:tc>
          <w:tcPr>
            <w:tcW w:w="567" w:type="dxa"/>
          </w:tcPr>
          <w:p w14:paraId="52F89A27" w14:textId="3D67B3C7" w:rsidR="00684754" w:rsidRPr="00FC732A" w:rsidRDefault="008E405E" w:rsidP="008E405E">
            <w:pPr>
              <w:pStyle w:val="Tekstpodstawowy"/>
              <w:ind w:left="0"/>
            </w:pPr>
            <w:r>
              <w:t>23</w:t>
            </w:r>
            <w:r w:rsidR="00684754" w:rsidRPr="00FC732A">
              <w:t>.</w:t>
            </w:r>
          </w:p>
        </w:tc>
        <w:tc>
          <w:tcPr>
            <w:tcW w:w="2552" w:type="dxa"/>
          </w:tcPr>
          <w:p w14:paraId="263EA834" w14:textId="77777777" w:rsidR="00684754" w:rsidRPr="00FC732A" w:rsidRDefault="00684754" w:rsidP="008E405E">
            <w:pPr>
              <w:pStyle w:val="Tekstpodstawowy"/>
              <w:ind w:left="284" w:right="142"/>
            </w:pPr>
            <w:r w:rsidRPr="00FC732A">
              <w:t xml:space="preserve">PN-EN ISO </w:t>
            </w:r>
          </w:p>
          <w:p w14:paraId="4CC7AB28" w14:textId="77777777" w:rsidR="00684754" w:rsidRPr="00FC732A" w:rsidRDefault="00684754" w:rsidP="008E405E">
            <w:pPr>
              <w:pStyle w:val="Tekstpodstawowy"/>
              <w:ind w:left="284" w:right="142"/>
            </w:pPr>
            <w:r w:rsidRPr="00FC732A">
              <w:t>7783</w:t>
            </w:r>
          </w:p>
        </w:tc>
        <w:tc>
          <w:tcPr>
            <w:tcW w:w="5670" w:type="dxa"/>
          </w:tcPr>
          <w:p w14:paraId="22FDF653" w14:textId="77777777" w:rsidR="00684754" w:rsidRPr="00FC732A" w:rsidRDefault="00684754" w:rsidP="008E405E">
            <w:pPr>
              <w:pStyle w:val="Tekstpodstawowy"/>
              <w:ind w:left="284" w:right="142"/>
            </w:pPr>
            <w:r w:rsidRPr="00FC732A">
              <w:t>Farby i lakiery - Oznaczanie właściwości przenikania pary wodnej – Metoda z zastosowaniem naczynka</w:t>
            </w:r>
          </w:p>
        </w:tc>
      </w:tr>
      <w:tr w:rsidR="00FC732A" w:rsidRPr="00FC732A" w14:paraId="101E1344" w14:textId="77777777" w:rsidTr="004B74C4">
        <w:tc>
          <w:tcPr>
            <w:tcW w:w="567" w:type="dxa"/>
          </w:tcPr>
          <w:p w14:paraId="31E41EFF" w14:textId="21C6CFDD" w:rsidR="00684754" w:rsidRPr="00FC732A" w:rsidRDefault="008E405E" w:rsidP="008E405E">
            <w:pPr>
              <w:pStyle w:val="Tekstpodstawowy"/>
              <w:ind w:left="0"/>
            </w:pPr>
            <w:r>
              <w:t>24</w:t>
            </w:r>
            <w:r w:rsidR="00684754" w:rsidRPr="00FC732A">
              <w:t>.</w:t>
            </w:r>
          </w:p>
        </w:tc>
        <w:tc>
          <w:tcPr>
            <w:tcW w:w="2552" w:type="dxa"/>
          </w:tcPr>
          <w:p w14:paraId="1785E59F" w14:textId="77777777" w:rsidR="00684754" w:rsidRPr="00FC732A" w:rsidRDefault="00684754" w:rsidP="008E405E">
            <w:pPr>
              <w:pStyle w:val="Tekstpodstawowy"/>
              <w:ind w:left="284" w:right="142"/>
            </w:pPr>
            <w:r w:rsidRPr="00FC732A">
              <w:t>PN-EN 1062-6</w:t>
            </w:r>
          </w:p>
        </w:tc>
        <w:tc>
          <w:tcPr>
            <w:tcW w:w="5670" w:type="dxa"/>
          </w:tcPr>
          <w:p w14:paraId="06C6B518" w14:textId="77777777" w:rsidR="00684754" w:rsidRPr="00FC732A" w:rsidRDefault="00684754" w:rsidP="008E405E">
            <w:pPr>
              <w:pStyle w:val="Tekstpodstawowy"/>
              <w:ind w:left="284" w:right="142"/>
            </w:pPr>
            <w:r w:rsidRPr="00FC732A">
              <w:t xml:space="preserve">Farby i lakiery - Wyroby lakierowe i systemy powłokowe stosowane na zewnątrz na mury i beton - Część 6: Oznaczanie przepuszczalności </w:t>
            </w:r>
            <w:proofErr w:type="spellStart"/>
            <w:r w:rsidRPr="00FC732A">
              <w:t>ditlenku</w:t>
            </w:r>
            <w:proofErr w:type="spellEnd"/>
            <w:r w:rsidRPr="00FC732A">
              <w:t xml:space="preserve"> węgla</w:t>
            </w:r>
          </w:p>
        </w:tc>
      </w:tr>
      <w:tr w:rsidR="00FC732A" w:rsidRPr="00FC732A" w14:paraId="68561725" w14:textId="77777777" w:rsidTr="004B74C4">
        <w:tc>
          <w:tcPr>
            <w:tcW w:w="567" w:type="dxa"/>
          </w:tcPr>
          <w:p w14:paraId="6CD5DE5C" w14:textId="04E01D18" w:rsidR="00684754" w:rsidRPr="00FC732A" w:rsidRDefault="008E405E" w:rsidP="008E405E">
            <w:pPr>
              <w:pStyle w:val="Tekstpodstawowy"/>
              <w:ind w:left="0"/>
            </w:pPr>
            <w:r>
              <w:t>25</w:t>
            </w:r>
            <w:r w:rsidR="00684754" w:rsidRPr="00FC732A">
              <w:t>.</w:t>
            </w:r>
          </w:p>
        </w:tc>
        <w:tc>
          <w:tcPr>
            <w:tcW w:w="2552" w:type="dxa"/>
          </w:tcPr>
          <w:p w14:paraId="63C05446" w14:textId="77777777" w:rsidR="00684754" w:rsidRPr="00FC732A" w:rsidRDefault="00684754" w:rsidP="008E405E">
            <w:pPr>
              <w:pStyle w:val="Tekstpodstawowy"/>
              <w:ind w:left="284" w:right="142"/>
            </w:pPr>
            <w:r w:rsidRPr="00FC732A">
              <w:t>PN-EN 13687-1</w:t>
            </w:r>
          </w:p>
        </w:tc>
        <w:tc>
          <w:tcPr>
            <w:tcW w:w="5670" w:type="dxa"/>
          </w:tcPr>
          <w:p w14:paraId="646DEE26" w14:textId="77777777" w:rsidR="00684754" w:rsidRPr="00FC732A" w:rsidRDefault="00684754" w:rsidP="008E405E">
            <w:pPr>
              <w:pStyle w:val="Tekstpodstawowy"/>
              <w:ind w:left="284" w:right="142"/>
            </w:pPr>
            <w:r w:rsidRPr="00FC732A">
              <w:t>Wyroby i systemy do ochrony i napraw konstrukcji betonowych - Metody badań - Oznaczanie kompatybilności cieplnej - Część 1: Cykliczne zamrażanie-rozmrażanie przy zanurzeniu w roztworze soli odladzającej</w:t>
            </w:r>
          </w:p>
        </w:tc>
      </w:tr>
      <w:tr w:rsidR="00FC732A" w:rsidRPr="00FC732A" w14:paraId="56A67C4E" w14:textId="77777777" w:rsidTr="004B74C4">
        <w:tc>
          <w:tcPr>
            <w:tcW w:w="567" w:type="dxa"/>
          </w:tcPr>
          <w:p w14:paraId="49C2E37F" w14:textId="468B1DA4" w:rsidR="00684754" w:rsidRPr="00FC732A" w:rsidRDefault="008E405E" w:rsidP="008E405E">
            <w:pPr>
              <w:pStyle w:val="Tekstpodstawowy"/>
              <w:ind w:left="0"/>
            </w:pPr>
            <w:r>
              <w:t>26</w:t>
            </w:r>
            <w:r w:rsidR="00684754" w:rsidRPr="00FC732A">
              <w:t>.</w:t>
            </w:r>
          </w:p>
        </w:tc>
        <w:tc>
          <w:tcPr>
            <w:tcW w:w="2552" w:type="dxa"/>
          </w:tcPr>
          <w:p w14:paraId="549E5F0B" w14:textId="77777777" w:rsidR="00684754" w:rsidRPr="00FC732A" w:rsidRDefault="00684754" w:rsidP="008E405E">
            <w:pPr>
              <w:pStyle w:val="Tekstpodstawowy"/>
              <w:ind w:left="284" w:right="142"/>
            </w:pPr>
            <w:r w:rsidRPr="00FC732A">
              <w:t>PN EN ISO 6272-1</w:t>
            </w:r>
          </w:p>
        </w:tc>
        <w:tc>
          <w:tcPr>
            <w:tcW w:w="5670" w:type="dxa"/>
          </w:tcPr>
          <w:p w14:paraId="5AB11604" w14:textId="77777777" w:rsidR="00684754" w:rsidRPr="00FC732A" w:rsidRDefault="00684754" w:rsidP="008E405E">
            <w:pPr>
              <w:pStyle w:val="Tekstpodstawowy"/>
              <w:ind w:left="284" w:right="142"/>
            </w:pPr>
            <w:r w:rsidRPr="00FC732A">
              <w:t>Farby i lakiery - Badania nagłego odkształcenia (odporność na uderzenie) - Część 1: Badanie za pomocą spadającego ciężarka, wgłębnik o dużej powierzchni</w:t>
            </w:r>
          </w:p>
        </w:tc>
      </w:tr>
      <w:tr w:rsidR="00FC732A" w:rsidRPr="00FC732A" w14:paraId="7B07A52B" w14:textId="77777777" w:rsidTr="004B74C4">
        <w:tc>
          <w:tcPr>
            <w:tcW w:w="567" w:type="dxa"/>
          </w:tcPr>
          <w:p w14:paraId="4BFBA8E8" w14:textId="3E5B7181" w:rsidR="00684754" w:rsidRPr="00FC732A" w:rsidRDefault="008E405E" w:rsidP="008E405E">
            <w:pPr>
              <w:pStyle w:val="Tekstpodstawowy"/>
              <w:ind w:left="0"/>
            </w:pPr>
            <w:r>
              <w:t>27</w:t>
            </w:r>
            <w:r w:rsidR="00684754" w:rsidRPr="00FC732A">
              <w:t>.</w:t>
            </w:r>
          </w:p>
        </w:tc>
        <w:tc>
          <w:tcPr>
            <w:tcW w:w="2552" w:type="dxa"/>
          </w:tcPr>
          <w:p w14:paraId="108BADB1" w14:textId="77777777" w:rsidR="00684754" w:rsidRPr="00FC732A" w:rsidRDefault="00684754" w:rsidP="008E405E">
            <w:pPr>
              <w:pStyle w:val="Tekstpodstawowy"/>
              <w:ind w:left="284" w:right="142"/>
            </w:pPr>
            <w:r w:rsidRPr="00FC732A">
              <w:t>PN-EN ISO 4628-7</w:t>
            </w:r>
          </w:p>
        </w:tc>
        <w:tc>
          <w:tcPr>
            <w:tcW w:w="5670" w:type="dxa"/>
          </w:tcPr>
          <w:p w14:paraId="599317DF" w14:textId="77777777" w:rsidR="00684754" w:rsidRPr="00FC732A" w:rsidRDefault="00684754" w:rsidP="008E405E">
            <w:pPr>
              <w:pStyle w:val="Tekstpodstawowy"/>
              <w:ind w:left="284" w:right="142"/>
            </w:pPr>
            <w:r w:rsidRPr="00FC732A">
              <w:t xml:space="preserve">Farby i lakiery - Ocena zniszczenia powłok - Określanie ilości i rozmiaru uszkodzeń oraz intensywności jednolitych zmian w wyglądzie - Część 7: Ocena stopnia </w:t>
            </w:r>
            <w:proofErr w:type="spellStart"/>
            <w:r w:rsidRPr="00FC732A">
              <w:t>skredowania</w:t>
            </w:r>
            <w:proofErr w:type="spellEnd"/>
            <w:r w:rsidRPr="00FC732A">
              <w:t xml:space="preserve"> metodą aksamitu</w:t>
            </w:r>
          </w:p>
        </w:tc>
      </w:tr>
      <w:tr w:rsidR="00FC732A" w:rsidRPr="00FC732A" w14:paraId="40038AA2" w14:textId="77777777" w:rsidTr="004B74C4">
        <w:tc>
          <w:tcPr>
            <w:tcW w:w="567" w:type="dxa"/>
          </w:tcPr>
          <w:p w14:paraId="6F5856AF" w14:textId="024A2C8F" w:rsidR="00684754" w:rsidRPr="00FC732A" w:rsidRDefault="008E405E" w:rsidP="008E405E">
            <w:pPr>
              <w:pStyle w:val="Tekstpodstawowy"/>
              <w:ind w:left="0"/>
            </w:pPr>
            <w:r>
              <w:t>28</w:t>
            </w:r>
            <w:r w:rsidR="00684754" w:rsidRPr="00FC732A">
              <w:t>.</w:t>
            </w:r>
          </w:p>
        </w:tc>
        <w:tc>
          <w:tcPr>
            <w:tcW w:w="2552" w:type="dxa"/>
          </w:tcPr>
          <w:p w14:paraId="2B025F5A" w14:textId="77777777" w:rsidR="00684754" w:rsidRPr="00FC732A" w:rsidRDefault="00684754" w:rsidP="008E405E">
            <w:pPr>
              <w:pStyle w:val="Tekstpodstawowy"/>
              <w:ind w:left="284" w:right="142"/>
            </w:pPr>
            <w:r w:rsidRPr="00FC732A">
              <w:t>PN-EN 1062-7</w:t>
            </w:r>
          </w:p>
        </w:tc>
        <w:tc>
          <w:tcPr>
            <w:tcW w:w="5670" w:type="dxa"/>
          </w:tcPr>
          <w:p w14:paraId="1510C934" w14:textId="77777777" w:rsidR="00684754" w:rsidRPr="00FC732A" w:rsidRDefault="00684754" w:rsidP="008E405E">
            <w:pPr>
              <w:pStyle w:val="Tekstpodstawowy"/>
              <w:ind w:left="284" w:right="142"/>
            </w:pPr>
            <w:r w:rsidRPr="00FC732A">
              <w:t>Farby i lakiery - Wyroby lakierowe i systemy powłokowe stosowane na zewnątrz na mury i beton - Część 7: Oznaczanie właściwości pokrywania rys</w:t>
            </w:r>
          </w:p>
        </w:tc>
      </w:tr>
      <w:tr w:rsidR="00FC732A" w:rsidRPr="00FC732A" w14:paraId="3ABEFB3C" w14:textId="77777777" w:rsidTr="004B74C4">
        <w:tc>
          <w:tcPr>
            <w:tcW w:w="567" w:type="dxa"/>
          </w:tcPr>
          <w:p w14:paraId="62EA5246" w14:textId="6C24391F" w:rsidR="00684754" w:rsidRPr="00FC732A" w:rsidRDefault="008E405E" w:rsidP="008E405E">
            <w:pPr>
              <w:pStyle w:val="Tekstpodstawowy"/>
              <w:ind w:left="0"/>
            </w:pPr>
            <w:r>
              <w:t>29</w:t>
            </w:r>
            <w:r w:rsidR="00684754" w:rsidRPr="00FC732A">
              <w:t>.</w:t>
            </w:r>
          </w:p>
        </w:tc>
        <w:tc>
          <w:tcPr>
            <w:tcW w:w="2552" w:type="dxa"/>
          </w:tcPr>
          <w:p w14:paraId="52633712" w14:textId="77777777" w:rsidR="00684754" w:rsidRPr="00FC732A" w:rsidRDefault="00684754" w:rsidP="008E405E">
            <w:pPr>
              <w:pStyle w:val="Tekstpodstawowy"/>
              <w:ind w:left="284" w:right="142"/>
            </w:pPr>
            <w:r w:rsidRPr="00FC732A">
              <w:t>PN-EN 13369</w:t>
            </w:r>
          </w:p>
        </w:tc>
        <w:tc>
          <w:tcPr>
            <w:tcW w:w="5670" w:type="dxa"/>
          </w:tcPr>
          <w:p w14:paraId="4344A01B" w14:textId="77777777" w:rsidR="00684754" w:rsidRPr="00FC732A" w:rsidRDefault="00684754" w:rsidP="008E405E">
            <w:pPr>
              <w:pStyle w:val="Tekstpodstawowy"/>
              <w:ind w:left="284" w:right="142"/>
            </w:pPr>
            <w:r w:rsidRPr="00FC732A">
              <w:t>Wspólne wymagania dla prefabrykatów z betonu</w:t>
            </w:r>
          </w:p>
        </w:tc>
      </w:tr>
      <w:tr w:rsidR="00FC732A" w:rsidRPr="00FC732A" w14:paraId="6FF8C4EE" w14:textId="77777777" w:rsidTr="004B74C4">
        <w:tc>
          <w:tcPr>
            <w:tcW w:w="567" w:type="dxa"/>
          </w:tcPr>
          <w:p w14:paraId="4BB8F4F4" w14:textId="38DC8366" w:rsidR="00684754" w:rsidRPr="00FC732A" w:rsidRDefault="008E405E" w:rsidP="008E405E">
            <w:pPr>
              <w:pStyle w:val="Tekstpodstawowy"/>
              <w:ind w:left="0"/>
            </w:pPr>
            <w:r>
              <w:t>30</w:t>
            </w:r>
            <w:r w:rsidR="00684754" w:rsidRPr="00FC732A">
              <w:t>.</w:t>
            </w:r>
          </w:p>
        </w:tc>
        <w:tc>
          <w:tcPr>
            <w:tcW w:w="2552" w:type="dxa"/>
          </w:tcPr>
          <w:p w14:paraId="119A0B69" w14:textId="77777777" w:rsidR="00684754" w:rsidRPr="00FC732A" w:rsidRDefault="00684754" w:rsidP="008E405E">
            <w:pPr>
              <w:pStyle w:val="Tekstpodstawowy"/>
              <w:ind w:left="284" w:right="142"/>
            </w:pPr>
            <w:r w:rsidRPr="00FC732A">
              <w:t>PN-EN 13225</w:t>
            </w:r>
          </w:p>
        </w:tc>
        <w:tc>
          <w:tcPr>
            <w:tcW w:w="5670" w:type="dxa"/>
          </w:tcPr>
          <w:p w14:paraId="5DB47BA8" w14:textId="77777777" w:rsidR="00684754" w:rsidRPr="00FC732A" w:rsidRDefault="00684754" w:rsidP="008E405E">
            <w:pPr>
              <w:pStyle w:val="Tekstpodstawowy"/>
              <w:ind w:left="284" w:right="142"/>
            </w:pPr>
            <w:r w:rsidRPr="00FC732A">
              <w:t>Prefabrykaty z betonu -- Prętowe elementy konstrukcyjne</w:t>
            </w:r>
          </w:p>
        </w:tc>
      </w:tr>
      <w:tr w:rsidR="00FC732A" w:rsidRPr="00FC732A" w14:paraId="517D05D1" w14:textId="77777777" w:rsidTr="004B74C4">
        <w:tc>
          <w:tcPr>
            <w:tcW w:w="567" w:type="dxa"/>
          </w:tcPr>
          <w:p w14:paraId="35A7C3B1" w14:textId="4CE09F4F" w:rsidR="00684754" w:rsidRPr="00FC732A" w:rsidRDefault="008E405E" w:rsidP="008E405E">
            <w:pPr>
              <w:pStyle w:val="Tekstpodstawowy"/>
              <w:ind w:left="0"/>
            </w:pPr>
            <w:r>
              <w:t>31</w:t>
            </w:r>
            <w:r w:rsidR="00684754" w:rsidRPr="00FC732A">
              <w:t>.</w:t>
            </w:r>
          </w:p>
        </w:tc>
        <w:tc>
          <w:tcPr>
            <w:tcW w:w="2552" w:type="dxa"/>
          </w:tcPr>
          <w:p w14:paraId="000B2011" w14:textId="77777777" w:rsidR="00684754" w:rsidRPr="00FC732A" w:rsidRDefault="00684754" w:rsidP="008E405E">
            <w:pPr>
              <w:pStyle w:val="Tekstpodstawowy"/>
              <w:ind w:left="284" w:right="142"/>
            </w:pPr>
            <w:r w:rsidRPr="00FC732A">
              <w:t>PN-B-19707</w:t>
            </w:r>
          </w:p>
        </w:tc>
        <w:tc>
          <w:tcPr>
            <w:tcW w:w="5670" w:type="dxa"/>
          </w:tcPr>
          <w:p w14:paraId="45D9D995" w14:textId="77777777" w:rsidR="00684754" w:rsidRPr="00FC732A" w:rsidRDefault="00684754" w:rsidP="008E405E">
            <w:pPr>
              <w:pStyle w:val="Tekstpodstawowy"/>
              <w:ind w:left="284" w:right="142"/>
            </w:pPr>
            <w:r w:rsidRPr="00FC732A">
              <w:t xml:space="preserve">Cement -- </w:t>
            </w:r>
            <w:proofErr w:type="spellStart"/>
            <w:r w:rsidRPr="00FC732A">
              <w:t>Cement</w:t>
            </w:r>
            <w:proofErr w:type="spellEnd"/>
            <w:r w:rsidRPr="00FC732A">
              <w:t xml:space="preserve"> specjalny -- Skład, wymagania i kryteria zgodności</w:t>
            </w:r>
          </w:p>
        </w:tc>
      </w:tr>
      <w:tr w:rsidR="00FC732A" w:rsidRPr="00FC732A" w14:paraId="62B68017" w14:textId="77777777" w:rsidTr="004B74C4">
        <w:tc>
          <w:tcPr>
            <w:tcW w:w="567" w:type="dxa"/>
          </w:tcPr>
          <w:p w14:paraId="4454FE7D" w14:textId="6E8F1719" w:rsidR="00684754" w:rsidRPr="00FC732A" w:rsidRDefault="008E405E" w:rsidP="008E405E">
            <w:pPr>
              <w:pStyle w:val="Tekstpodstawowy"/>
              <w:ind w:left="0"/>
            </w:pPr>
            <w:r>
              <w:t>32</w:t>
            </w:r>
            <w:r w:rsidR="00684754" w:rsidRPr="00FC732A">
              <w:t>.</w:t>
            </w:r>
          </w:p>
        </w:tc>
        <w:tc>
          <w:tcPr>
            <w:tcW w:w="2552" w:type="dxa"/>
          </w:tcPr>
          <w:p w14:paraId="0BB3D9E7" w14:textId="77777777" w:rsidR="00684754" w:rsidRPr="00FC732A" w:rsidRDefault="00684754" w:rsidP="008E405E">
            <w:pPr>
              <w:pStyle w:val="Tekstpodstawowy"/>
              <w:ind w:left="284" w:right="142"/>
            </w:pPr>
            <w:r w:rsidRPr="00FC732A">
              <w:t>PN-EN 1992-1-1</w:t>
            </w:r>
          </w:p>
        </w:tc>
        <w:tc>
          <w:tcPr>
            <w:tcW w:w="5670" w:type="dxa"/>
          </w:tcPr>
          <w:p w14:paraId="0DBB3A41" w14:textId="77777777" w:rsidR="00684754" w:rsidRPr="00FC732A" w:rsidRDefault="00684754" w:rsidP="008E405E">
            <w:pPr>
              <w:pStyle w:val="Tekstpodstawowy"/>
              <w:ind w:left="284" w:right="142"/>
            </w:pPr>
            <w:proofErr w:type="spellStart"/>
            <w:r w:rsidRPr="00FC732A">
              <w:t>Eurokod</w:t>
            </w:r>
            <w:proofErr w:type="spellEnd"/>
            <w:r w:rsidRPr="00FC732A">
              <w:t xml:space="preserve"> 2: Projektowanie konstrukcji z betonu -- Część 1-1: Reguły ogólne i reguły dla budynków</w:t>
            </w:r>
          </w:p>
        </w:tc>
      </w:tr>
      <w:tr w:rsidR="00FC732A" w:rsidRPr="00FC732A" w14:paraId="3351EEB7" w14:textId="77777777" w:rsidTr="004B74C4">
        <w:tc>
          <w:tcPr>
            <w:tcW w:w="567" w:type="dxa"/>
          </w:tcPr>
          <w:p w14:paraId="0E5CE034" w14:textId="051DD3D3" w:rsidR="00684754" w:rsidRPr="00FC732A" w:rsidRDefault="008E405E" w:rsidP="008E405E">
            <w:pPr>
              <w:pStyle w:val="Tekstpodstawowy"/>
              <w:ind w:left="0"/>
            </w:pPr>
            <w:r>
              <w:t>33</w:t>
            </w:r>
            <w:r w:rsidR="00684754" w:rsidRPr="00FC732A">
              <w:t>.</w:t>
            </w:r>
          </w:p>
        </w:tc>
        <w:tc>
          <w:tcPr>
            <w:tcW w:w="2552" w:type="dxa"/>
          </w:tcPr>
          <w:p w14:paraId="1C11E94F" w14:textId="77777777" w:rsidR="00684754" w:rsidRPr="00FC732A" w:rsidRDefault="00684754" w:rsidP="008E405E">
            <w:pPr>
              <w:pStyle w:val="Tekstpodstawowy"/>
              <w:ind w:left="284" w:right="142"/>
            </w:pPr>
            <w:r w:rsidRPr="00FC732A">
              <w:t>PN-EN 13263-1</w:t>
            </w:r>
          </w:p>
        </w:tc>
        <w:tc>
          <w:tcPr>
            <w:tcW w:w="5670" w:type="dxa"/>
          </w:tcPr>
          <w:p w14:paraId="76303AF0" w14:textId="77777777" w:rsidR="00684754" w:rsidRPr="00FC732A" w:rsidRDefault="00684754" w:rsidP="008E405E">
            <w:pPr>
              <w:pStyle w:val="Tekstpodstawowy"/>
              <w:ind w:left="284" w:right="142"/>
            </w:pPr>
            <w:r w:rsidRPr="00FC732A">
              <w:t>Pył krzemionkowy do betonu -- Część 1: Definicje, wymagania i kryteria zgodności</w:t>
            </w:r>
          </w:p>
        </w:tc>
      </w:tr>
      <w:tr w:rsidR="00FC732A" w:rsidRPr="00FC732A" w14:paraId="1236062F" w14:textId="77777777" w:rsidTr="004B74C4">
        <w:tc>
          <w:tcPr>
            <w:tcW w:w="567" w:type="dxa"/>
          </w:tcPr>
          <w:p w14:paraId="693FC11D" w14:textId="06B9D670" w:rsidR="00684754" w:rsidRPr="00FC732A" w:rsidRDefault="008E405E" w:rsidP="008E405E">
            <w:pPr>
              <w:pStyle w:val="Tekstpodstawowy"/>
              <w:ind w:left="0"/>
            </w:pPr>
            <w:r>
              <w:t>34</w:t>
            </w:r>
            <w:r w:rsidR="00684754" w:rsidRPr="00FC732A">
              <w:t>.</w:t>
            </w:r>
          </w:p>
        </w:tc>
        <w:tc>
          <w:tcPr>
            <w:tcW w:w="2552" w:type="dxa"/>
          </w:tcPr>
          <w:p w14:paraId="4DE05F2F" w14:textId="77777777" w:rsidR="00684754" w:rsidRPr="00FC732A" w:rsidRDefault="00684754" w:rsidP="008E405E">
            <w:pPr>
              <w:pStyle w:val="Tekstpodstawowy"/>
              <w:ind w:left="284" w:right="142"/>
            </w:pPr>
            <w:r w:rsidRPr="00FC732A">
              <w:t>PN-EN 480-11</w:t>
            </w:r>
          </w:p>
        </w:tc>
        <w:tc>
          <w:tcPr>
            <w:tcW w:w="5670" w:type="dxa"/>
          </w:tcPr>
          <w:p w14:paraId="33B06C43" w14:textId="77777777" w:rsidR="00684754" w:rsidRPr="00FC732A" w:rsidRDefault="00684754" w:rsidP="008E405E">
            <w:pPr>
              <w:pStyle w:val="Tekstpodstawowy"/>
              <w:ind w:left="284" w:right="142"/>
            </w:pPr>
            <w:r w:rsidRPr="00FC732A">
              <w:t>Domieszki do betonu, zaprawy i zaczynu -- Metody badań – Część 11: Oznaczanie charakterystyki porów powietrznych w stwardniałym betonie</w:t>
            </w:r>
          </w:p>
        </w:tc>
      </w:tr>
      <w:tr w:rsidR="00FC732A" w:rsidRPr="00FC732A" w14:paraId="36332936" w14:textId="77777777" w:rsidTr="004B74C4">
        <w:tc>
          <w:tcPr>
            <w:tcW w:w="567" w:type="dxa"/>
          </w:tcPr>
          <w:p w14:paraId="3D97E342" w14:textId="7C6E1407" w:rsidR="00684754" w:rsidRPr="00FC732A" w:rsidRDefault="008E405E" w:rsidP="008E405E">
            <w:pPr>
              <w:pStyle w:val="Tekstpodstawowy"/>
              <w:ind w:left="0"/>
            </w:pPr>
            <w:r>
              <w:lastRenderedPageBreak/>
              <w:t>35</w:t>
            </w:r>
            <w:r w:rsidR="00684754" w:rsidRPr="00FC732A">
              <w:t>.</w:t>
            </w:r>
          </w:p>
        </w:tc>
        <w:tc>
          <w:tcPr>
            <w:tcW w:w="2552" w:type="dxa"/>
          </w:tcPr>
          <w:p w14:paraId="06F63EEF" w14:textId="77777777" w:rsidR="00684754" w:rsidRPr="00FC732A" w:rsidRDefault="00684754" w:rsidP="008E405E">
            <w:pPr>
              <w:pStyle w:val="Tekstpodstawowy"/>
              <w:ind w:left="284" w:right="142"/>
            </w:pPr>
            <w:r w:rsidRPr="00FC732A">
              <w:t>PN-EN 12350-7</w:t>
            </w:r>
          </w:p>
        </w:tc>
        <w:tc>
          <w:tcPr>
            <w:tcW w:w="5670" w:type="dxa"/>
          </w:tcPr>
          <w:p w14:paraId="2FD91624" w14:textId="77777777" w:rsidR="00684754" w:rsidRPr="00FC732A" w:rsidRDefault="00684754" w:rsidP="008E405E">
            <w:pPr>
              <w:pStyle w:val="Tekstpodstawowy"/>
              <w:ind w:left="284" w:right="142"/>
            </w:pPr>
            <w:r w:rsidRPr="00FC732A">
              <w:t>Badania mieszanki betonowej -- Część 7: Badanie zawartości powietrza -- Metody ciśnieniowe</w:t>
            </w:r>
          </w:p>
        </w:tc>
      </w:tr>
      <w:tr w:rsidR="00FC732A" w:rsidRPr="00FC732A" w14:paraId="494E5595" w14:textId="77777777" w:rsidTr="004B74C4">
        <w:tc>
          <w:tcPr>
            <w:tcW w:w="567" w:type="dxa"/>
          </w:tcPr>
          <w:p w14:paraId="63C0D70E" w14:textId="663258AB" w:rsidR="00684754" w:rsidRPr="00FC732A" w:rsidRDefault="008E405E" w:rsidP="008E405E">
            <w:pPr>
              <w:pStyle w:val="Tekstpodstawowy"/>
              <w:ind w:left="0"/>
            </w:pPr>
            <w:r>
              <w:t>36</w:t>
            </w:r>
            <w:r w:rsidR="00684754" w:rsidRPr="00FC732A">
              <w:t>.</w:t>
            </w:r>
          </w:p>
        </w:tc>
        <w:tc>
          <w:tcPr>
            <w:tcW w:w="2552" w:type="dxa"/>
          </w:tcPr>
          <w:p w14:paraId="78071723" w14:textId="77777777" w:rsidR="00684754" w:rsidRPr="00FC732A" w:rsidRDefault="00684754" w:rsidP="008E405E">
            <w:pPr>
              <w:pStyle w:val="Tekstpodstawowy"/>
              <w:ind w:left="284" w:right="142"/>
            </w:pPr>
            <w:r w:rsidRPr="00FC732A">
              <w:t>PN-EN 1504-2</w:t>
            </w:r>
          </w:p>
        </w:tc>
        <w:tc>
          <w:tcPr>
            <w:tcW w:w="5670" w:type="dxa"/>
          </w:tcPr>
          <w:p w14:paraId="430F9EDD" w14:textId="77777777" w:rsidR="00684754" w:rsidRPr="00FC732A" w:rsidRDefault="00684754" w:rsidP="008E405E">
            <w:pPr>
              <w:autoSpaceDE/>
              <w:autoSpaceDN/>
              <w:ind w:left="284" w:right="142"/>
              <w:jc w:val="both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 xml:space="preserve">Wyroby i systemy do ochrony i napraw konstrukcji betonowych -- Definicje, wymagania, sterowanie jakością i ocena zgodności -- Część 2: Systemy ochrony powierzchniowej betonu </w:t>
            </w:r>
          </w:p>
        </w:tc>
      </w:tr>
      <w:tr w:rsidR="00FC732A" w:rsidRPr="00FC732A" w14:paraId="618E1EE8" w14:textId="77777777" w:rsidTr="004B74C4">
        <w:tc>
          <w:tcPr>
            <w:tcW w:w="567" w:type="dxa"/>
          </w:tcPr>
          <w:p w14:paraId="5D36120A" w14:textId="42C56C51" w:rsidR="00684754" w:rsidRPr="00FC732A" w:rsidRDefault="008E405E" w:rsidP="008E405E">
            <w:pPr>
              <w:pStyle w:val="Tekstpodstawowy"/>
              <w:ind w:left="0"/>
            </w:pPr>
            <w:r>
              <w:t>37</w:t>
            </w:r>
            <w:r w:rsidR="00684754" w:rsidRPr="00FC732A">
              <w:t>.</w:t>
            </w:r>
          </w:p>
        </w:tc>
        <w:tc>
          <w:tcPr>
            <w:tcW w:w="2552" w:type="dxa"/>
          </w:tcPr>
          <w:p w14:paraId="7E5EEC76" w14:textId="77777777" w:rsidR="00684754" w:rsidRPr="00FC732A" w:rsidRDefault="00684754" w:rsidP="008E405E">
            <w:pPr>
              <w:pStyle w:val="Tekstpodstawowy"/>
              <w:ind w:left="284" w:right="142"/>
            </w:pPr>
            <w:r w:rsidRPr="00FC732A">
              <w:t>PN-B-06250</w:t>
            </w:r>
          </w:p>
        </w:tc>
        <w:tc>
          <w:tcPr>
            <w:tcW w:w="5670" w:type="dxa"/>
          </w:tcPr>
          <w:p w14:paraId="1AA25B1D" w14:textId="77777777" w:rsidR="00684754" w:rsidRPr="00FC732A" w:rsidRDefault="00684754" w:rsidP="008E405E">
            <w:pPr>
              <w:autoSpaceDE/>
              <w:autoSpaceDN/>
              <w:ind w:left="284" w:right="142"/>
              <w:jc w:val="both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Beton zwykły</w:t>
            </w:r>
          </w:p>
        </w:tc>
      </w:tr>
      <w:tr w:rsidR="00FC732A" w:rsidRPr="00FC732A" w14:paraId="74C25055" w14:textId="77777777" w:rsidTr="004B74C4">
        <w:tc>
          <w:tcPr>
            <w:tcW w:w="567" w:type="dxa"/>
          </w:tcPr>
          <w:p w14:paraId="24448D0A" w14:textId="6C794039" w:rsidR="00684754" w:rsidRPr="00FC732A" w:rsidRDefault="008E405E" w:rsidP="008E405E">
            <w:pPr>
              <w:pStyle w:val="Tekstpodstawowy"/>
              <w:ind w:left="0"/>
            </w:pPr>
            <w:r>
              <w:t>38</w:t>
            </w:r>
            <w:r w:rsidR="00684754" w:rsidRPr="00FC732A">
              <w:t>.</w:t>
            </w:r>
          </w:p>
        </w:tc>
        <w:tc>
          <w:tcPr>
            <w:tcW w:w="2552" w:type="dxa"/>
          </w:tcPr>
          <w:p w14:paraId="74E37B8A" w14:textId="77777777" w:rsidR="00684754" w:rsidRPr="00FC732A" w:rsidRDefault="00684754" w:rsidP="008E405E">
            <w:pPr>
              <w:pStyle w:val="Tekstpodstawowy"/>
              <w:ind w:left="284" w:right="142"/>
            </w:pPr>
            <w:r w:rsidRPr="00FC732A">
              <w:t>PN-S-10042</w:t>
            </w:r>
          </w:p>
        </w:tc>
        <w:tc>
          <w:tcPr>
            <w:tcW w:w="5670" w:type="dxa"/>
          </w:tcPr>
          <w:p w14:paraId="56076534" w14:textId="77777777" w:rsidR="00684754" w:rsidRPr="00FC732A" w:rsidRDefault="00684754" w:rsidP="008E405E">
            <w:pPr>
              <w:autoSpaceDE/>
              <w:autoSpaceDN/>
              <w:ind w:left="284" w:right="142"/>
              <w:jc w:val="both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Obiekty mostowe. Konstrukcje betonowe, żelbetowe i sprężone. Projektowanie</w:t>
            </w:r>
          </w:p>
        </w:tc>
      </w:tr>
      <w:tr w:rsidR="00FC732A" w:rsidRPr="00FC732A" w14:paraId="3FAACA94" w14:textId="77777777" w:rsidTr="004B74C4">
        <w:tc>
          <w:tcPr>
            <w:tcW w:w="567" w:type="dxa"/>
          </w:tcPr>
          <w:p w14:paraId="5D90C1EA" w14:textId="5E3CC836" w:rsidR="00684754" w:rsidRPr="00FC732A" w:rsidRDefault="008E405E" w:rsidP="008E405E">
            <w:pPr>
              <w:pStyle w:val="Tekstpodstawowy"/>
              <w:ind w:left="0"/>
            </w:pPr>
            <w:r>
              <w:t>39</w:t>
            </w:r>
            <w:r w:rsidR="00684754" w:rsidRPr="00FC732A">
              <w:t>.</w:t>
            </w:r>
          </w:p>
        </w:tc>
        <w:tc>
          <w:tcPr>
            <w:tcW w:w="2552" w:type="dxa"/>
          </w:tcPr>
          <w:p w14:paraId="156C23B9" w14:textId="77777777" w:rsidR="00684754" w:rsidRPr="00FC732A" w:rsidRDefault="00684754" w:rsidP="008E405E">
            <w:pPr>
              <w:pStyle w:val="Tekstpodstawowy"/>
              <w:ind w:left="284" w:right="142"/>
            </w:pPr>
            <w:r w:rsidRPr="00FC732A">
              <w:t>PN-EN 1367-3</w:t>
            </w:r>
          </w:p>
        </w:tc>
        <w:tc>
          <w:tcPr>
            <w:tcW w:w="5670" w:type="dxa"/>
          </w:tcPr>
          <w:p w14:paraId="70A33164" w14:textId="77777777" w:rsidR="00684754" w:rsidRPr="00FC732A" w:rsidRDefault="00684754" w:rsidP="008E405E">
            <w:pPr>
              <w:autoSpaceDE/>
              <w:autoSpaceDN/>
              <w:ind w:left="284" w:right="142"/>
              <w:jc w:val="both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Badania właściwości cieplnych i odporności kruszyw na działanie czynników atmosferycznych -- Część 3: Badanie bazaltowej zgorzeli słonecznej metodą gotowania</w:t>
            </w:r>
          </w:p>
        </w:tc>
      </w:tr>
      <w:tr w:rsidR="00FC732A" w:rsidRPr="00FC732A" w14:paraId="66F0A62C" w14:textId="77777777" w:rsidTr="004B74C4">
        <w:tc>
          <w:tcPr>
            <w:tcW w:w="567" w:type="dxa"/>
          </w:tcPr>
          <w:p w14:paraId="162A7658" w14:textId="26D4C1A8" w:rsidR="00684754" w:rsidRPr="00FC732A" w:rsidRDefault="008E405E" w:rsidP="008E405E">
            <w:pPr>
              <w:pStyle w:val="Tekstpodstawowy"/>
              <w:ind w:left="0"/>
            </w:pPr>
            <w:r>
              <w:t>40</w:t>
            </w:r>
            <w:r w:rsidR="00684754" w:rsidRPr="00FC732A">
              <w:t>.</w:t>
            </w:r>
          </w:p>
        </w:tc>
        <w:tc>
          <w:tcPr>
            <w:tcW w:w="2552" w:type="dxa"/>
          </w:tcPr>
          <w:p w14:paraId="760ADAFE" w14:textId="77777777" w:rsidR="00684754" w:rsidRPr="00FC732A" w:rsidRDefault="00684754" w:rsidP="008E405E">
            <w:pPr>
              <w:pStyle w:val="Tekstpodstawowy"/>
              <w:ind w:left="284" w:right="142"/>
            </w:pPr>
            <w:r w:rsidRPr="00FC732A">
              <w:t>PN-EN 1062-3</w:t>
            </w:r>
          </w:p>
        </w:tc>
        <w:tc>
          <w:tcPr>
            <w:tcW w:w="5670" w:type="dxa"/>
          </w:tcPr>
          <w:p w14:paraId="198037FD" w14:textId="77777777" w:rsidR="00684754" w:rsidRPr="00FC732A" w:rsidRDefault="00684754" w:rsidP="008E405E">
            <w:pPr>
              <w:autoSpaceDE/>
              <w:autoSpaceDN/>
              <w:ind w:left="284" w:right="142"/>
              <w:jc w:val="both"/>
              <w:rPr>
                <w:sz w:val="20"/>
                <w:szCs w:val="20"/>
              </w:rPr>
            </w:pPr>
            <w:r w:rsidRPr="00FC732A">
              <w:rPr>
                <w:sz w:val="20"/>
                <w:szCs w:val="20"/>
              </w:rPr>
              <w:t>Farby i lakiery -- Wyroby lakierowe i systemy powłokowe stosowane na zewnątrz na mury i beton -- Część 3: Oznaczanie przepuszczalności wody</w:t>
            </w:r>
          </w:p>
        </w:tc>
      </w:tr>
    </w:tbl>
    <w:p w14:paraId="3923C7D7" w14:textId="77777777" w:rsidR="00684754" w:rsidRPr="00FC732A" w:rsidRDefault="00684754" w:rsidP="008E405E">
      <w:pPr>
        <w:ind w:right="629"/>
        <w:jc w:val="both"/>
        <w:rPr>
          <w:sz w:val="20"/>
          <w:szCs w:val="20"/>
        </w:rPr>
      </w:pPr>
    </w:p>
    <w:p w14:paraId="2CB6657D" w14:textId="77777777" w:rsidR="00684754" w:rsidRPr="00FC732A" w:rsidRDefault="00684754" w:rsidP="00FC732A">
      <w:pPr>
        <w:ind w:left="284" w:right="629"/>
        <w:jc w:val="both"/>
        <w:rPr>
          <w:b/>
          <w:sz w:val="20"/>
          <w:szCs w:val="20"/>
        </w:rPr>
      </w:pPr>
      <w:r w:rsidRPr="00FC732A">
        <w:rPr>
          <w:b/>
          <w:sz w:val="20"/>
          <w:szCs w:val="20"/>
        </w:rPr>
        <w:t>10.3. Inne</w:t>
      </w:r>
    </w:p>
    <w:p w14:paraId="6C6032D7" w14:textId="7900CC1A" w:rsidR="00684754" w:rsidRPr="00FC732A" w:rsidRDefault="008E405E" w:rsidP="00FC732A">
      <w:pPr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>41</w:t>
      </w:r>
      <w:r w:rsidR="00684754" w:rsidRPr="00FC732A">
        <w:rPr>
          <w:sz w:val="20"/>
          <w:szCs w:val="20"/>
        </w:rPr>
        <w:t xml:space="preserve">. Obwieszczenie Marszałka Sejmu Rzeczypospolitej Polskiej z dnia 9 stycznia 2020 r. w sprawie ogłoszenia jednolitego tekstu ustawy o wyrobach budowlanych (Dz.U. 2020 poz. 215 z </w:t>
      </w:r>
      <w:proofErr w:type="spellStart"/>
      <w:r w:rsidR="00684754" w:rsidRPr="00FC732A">
        <w:rPr>
          <w:sz w:val="20"/>
          <w:szCs w:val="20"/>
        </w:rPr>
        <w:t>późn</w:t>
      </w:r>
      <w:proofErr w:type="spellEnd"/>
      <w:r w:rsidR="00684754" w:rsidRPr="00FC732A">
        <w:rPr>
          <w:sz w:val="20"/>
          <w:szCs w:val="20"/>
        </w:rPr>
        <w:t>. zm.)</w:t>
      </w:r>
    </w:p>
    <w:p w14:paraId="418B586B" w14:textId="77777777" w:rsidR="00684754" w:rsidRPr="00FC732A" w:rsidRDefault="00684754" w:rsidP="00FC732A">
      <w:pPr>
        <w:ind w:left="284" w:right="629"/>
        <w:jc w:val="both"/>
        <w:rPr>
          <w:sz w:val="20"/>
          <w:szCs w:val="20"/>
        </w:rPr>
      </w:pPr>
    </w:p>
    <w:p w14:paraId="19CBD385" w14:textId="77777777" w:rsidR="00684754" w:rsidRPr="00FC732A" w:rsidRDefault="00684754" w:rsidP="00FC732A">
      <w:pPr>
        <w:pStyle w:val="Nagwek1"/>
        <w:ind w:left="284" w:right="629" w:firstLine="0"/>
        <w:jc w:val="both"/>
      </w:pPr>
    </w:p>
    <w:p w14:paraId="715C1027" w14:textId="4D4551AB" w:rsidR="00FF2C81" w:rsidRPr="00FC732A" w:rsidRDefault="00FF2C81" w:rsidP="00684754">
      <w:pPr>
        <w:pStyle w:val="Nagwek2"/>
        <w:tabs>
          <w:tab w:val="left" w:pos="1134"/>
        </w:tabs>
        <w:spacing w:before="0" w:after="240"/>
        <w:ind w:left="284" w:right="629"/>
        <w:jc w:val="both"/>
        <w:rPr>
          <w:rFonts w:ascii="Verdana" w:hAnsi="Verdana"/>
          <w:sz w:val="20"/>
          <w:szCs w:val="20"/>
        </w:rPr>
      </w:pPr>
    </w:p>
    <w:sectPr w:rsidR="00FF2C81" w:rsidRPr="00FC732A" w:rsidSect="00FF2C81">
      <w:pgSz w:w="11910" w:h="16840"/>
      <w:pgMar w:top="1320" w:right="500" w:bottom="1000" w:left="1000" w:header="513" w:footer="8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FDC8D" w14:textId="77777777" w:rsidR="004B74C4" w:rsidRDefault="004B74C4">
      <w:r>
        <w:separator/>
      </w:r>
    </w:p>
  </w:endnote>
  <w:endnote w:type="continuationSeparator" w:id="0">
    <w:p w14:paraId="7FF5A0DF" w14:textId="77777777" w:rsidR="004B74C4" w:rsidRDefault="004B7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B0796" w14:textId="77777777" w:rsidR="004B74C4" w:rsidRDefault="004B74C4">
    <w:pPr>
      <w:pStyle w:val="Tekstpodstawowy"/>
      <w:spacing w:line="14" w:lineRule="auto"/>
      <w:ind w:left="0"/>
      <w:jc w:val="lef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462976" behindDoc="1" locked="0" layoutInCell="1" allowOverlap="1" wp14:anchorId="250328D0" wp14:editId="05417414">
              <wp:simplePos x="0" y="0"/>
              <wp:positionH relativeFrom="page">
                <wp:posOffset>3433445</wp:posOffset>
              </wp:positionH>
              <wp:positionV relativeFrom="page">
                <wp:posOffset>10377170</wp:posOffset>
              </wp:positionV>
              <wp:extent cx="784860" cy="14986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4860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EB56B2" w14:textId="36E677D3" w:rsidR="004B74C4" w:rsidRDefault="004B74C4">
                          <w:pPr>
                            <w:spacing w:before="2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457A4">
                            <w:rPr>
                              <w:noProof/>
                              <w:sz w:val="16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0328D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0.35pt;margin-top:817.1pt;width:61.8pt;height:11.8pt;z-index:-168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" filled="f" stroked="f">
              <v:textbox inset="0,0,0,0">
                <w:txbxContent>
                  <w:p w14:paraId="33EB56B2" w14:textId="36E677D3" w:rsidR="004B74C4" w:rsidRDefault="004B74C4">
                    <w:pPr>
                      <w:spacing w:before="2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457A4">
                      <w:rPr>
                        <w:noProof/>
                        <w:sz w:val="16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2DCDC" w14:textId="77777777" w:rsidR="004B74C4" w:rsidRDefault="004B74C4">
      <w:r>
        <w:separator/>
      </w:r>
    </w:p>
  </w:footnote>
  <w:footnote w:type="continuationSeparator" w:id="0">
    <w:p w14:paraId="5501EFD2" w14:textId="77777777" w:rsidR="004B74C4" w:rsidRDefault="004B74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49F6A" w14:textId="428FAD59" w:rsidR="004B74C4" w:rsidRPr="0068603C" w:rsidRDefault="004B74C4" w:rsidP="00544C49">
    <w:pPr>
      <w:pStyle w:val="Nagwek"/>
      <w:tabs>
        <w:tab w:val="clear" w:pos="4536"/>
        <w:tab w:val="clear" w:pos="9072"/>
        <w:tab w:val="left" w:pos="711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 w15:restartNumberingAfterBreak="0">
    <w:nsid w:val="03823B54"/>
    <w:multiLevelType w:val="hybridMultilevel"/>
    <w:tmpl w:val="ACACEE9C"/>
    <w:lvl w:ilvl="0" w:tplc="0B761A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E3460"/>
    <w:multiLevelType w:val="singleLevel"/>
    <w:tmpl w:val="12FCC3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11C0160D"/>
    <w:multiLevelType w:val="hybridMultilevel"/>
    <w:tmpl w:val="5AF498EA"/>
    <w:lvl w:ilvl="0" w:tplc="0B761A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A6723"/>
    <w:multiLevelType w:val="hybridMultilevel"/>
    <w:tmpl w:val="1B5AB8B6"/>
    <w:lvl w:ilvl="0" w:tplc="FFFFFFFF">
      <w:start w:val="4"/>
      <w:numFmt w:val="bullet"/>
      <w:pStyle w:val="Wypunktowanie"/>
      <w:lvlText w:val="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F1D7D"/>
    <w:multiLevelType w:val="hybridMultilevel"/>
    <w:tmpl w:val="07C2DEC6"/>
    <w:lvl w:ilvl="0" w:tplc="F8EAB2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46843"/>
    <w:multiLevelType w:val="hybridMultilevel"/>
    <w:tmpl w:val="479CA2B4"/>
    <w:lvl w:ilvl="0" w:tplc="F8EAB2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1F699F"/>
    <w:multiLevelType w:val="hybridMultilevel"/>
    <w:tmpl w:val="B880971A"/>
    <w:lvl w:ilvl="0" w:tplc="376E012C">
      <w:start w:val="1"/>
      <w:numFmt w:val="decimal"/>
      <w:lvlText w:val="%1"/>
      <w:legacy w:legacy="1" w:legacySpace="120" w:legacyIndent="360"/>
      <w:lvlJc w:val="left"/>
    </w:lvl>
    <w:lvl w:ilvl="1" w:tplc="4D62364C">
      <w:start w:val="1"/>
      <w:numFmt w:val="bullet"/>
      <w:lvlText w:val=""/>
      <w:legacy w:legacy="1" w:legacySpace="0" w:legacyIndent="283"/>
      <w:lvlJc w:val="left"/>
      <w:pPr>
        <w:ind w:left="1363" w:hanging="283"/>
      </w:pPr>
      <w:rPr>
        <w:rFonts w:ascii="Symbol" w:hAnsi="Symbo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4D4142"/>
    <w:multiLevelType w:val="hybridMultilevel"/>
    <w:tmpl w:val="A1D4E600"/>
    <w:lvl w:ilvl="0" w:tplc="0B761AF2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D57411D"/>
    <w:multiLevelType w:val="hybridMultilevel"/>
    <w:tmpl w:val="8B1404BE"/>
    <w:lvl w:ilvl="0" w:tplc="848C6D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ED5792E"/>
    <w:multiLevelType w:val="hybridMultilevel"/>
    <w:tmpl w:val="6622A256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E276F0"/>
    <w:multiLevelType w:val="multilevel"/>
    <w:tmpl w:val="4C6E9A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68" w:hanging="2160"/>
      </w:pPr>
      <w:rPr>
        <w:rFonts w:hint="default"/>
      </w:rPr>
    </w:lvl>
  </w:abstractNum>
  <w:abstractNum w:abstractNumId="12" w15:restartNumberingAfterBreak="0">
    <w:nsid w:val="2C934659"/>
    <w:multiLevelType w:val="hybridMultilevel"/>
    <w:tmpl w:val="3B3CD050"/>
    <w:lvl w:ilvl="0" w:tplc="95AC7D6E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36FCC8B6">
      <w:start w:val="1"/>
      <w:numFmt w:val="bullet"/>
      <w:lvlText w:val="–"/>
      <w:lvlJc w:val="left"/>
      <w:pPr>
        <w:tabs>
          <w:tab w:val="num" w:pos="1364"/>
        </w:tabs>
        <w:ind w:left="1364" w:hanging="284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42DA6"/>
    <w:multiLevelType w:val="hybridMultilevel"/>
    <w:tmpl w:val="C68676AE"/>
    <w:lvl w:ilvl="0" w:tplc="5BF8CDA6">
      <w:start w:val="2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F190A48"/>
    <w:multiLevelType w:val="singleLevel"/>
    <w:tmpl w:val="4D0E7732"/>
    <w:lvl w:ilvl="0">
      <w:start w:val="10"/>
      <w:numFmt w:val="decimal"/>
      <w:lvlText w:val="%1."/>
      <w:lvlJc w:val="right"/>
      <w:pPr>
        <w:tabs>
          <w:tab w:val="num" w:pos="0"/>
        </w:tabs>
        <w:ind w:left="360" w:hanging="72"/>
      </w:pPr>
      <w:rPr>
        <w:rFonts w:hint="default"/>
        <w:strike w:val="0"/>
      </w:rPr>
    </w:lvl>
  </w:abstractNum>
  <w:abstractNum w:abstractNumId="15" w15:restartNumberingAfterBreak="0">
    <w:nsid w:val="30DA4AA4"/>
    <w:multiLevelType w:val="hybridMultilevel"/>
    <w:tmpl w:val="510C9EBC"/>
    <w:lvl w:ilvl="0" w:tplc="0B761A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710A3C"/>
    <w:multiLevelType w:val="singleLevel"/>
    <w:tmpl w:val="D5C0C7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48A4474"/>
    <w:multiLevelType w:val="hybridMultilevel"/>
    <w:tmpl w:val="90603B60"/>
    <w:lvl w:ilvl="0" w:tplc="4D62364C">
      <w:start w:val="1"/>
      <w:numFmt w:val="bullet"/>
      <w:lvlText w:val=""/>
      <w:legacy w:legacy="1" w:legacySpace="0" w:legacyIndent="283"/>
      <w:lvlJc w:val="left"/>
      <w:pPr>
        <w:ind w:left="136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39484C72"/>
    <w:multiLevelType w:val="hybridMultilevel"/>
    <w:tmpl w:val="FACC2144"/>
    <w:lvl w:ilvl="0" w:tplc="D410FAD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AD2DC6"/>
    <w:multiLevelType w:val="hybridMultilevel"/>
    <w:tmpl w:val="674C6D54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7B716A"/>
    <w:multiLevelType w:val="hybridMultilevel"/>
    <w:tmpl w:val="9E709CD8"/>
    <w:lvl w:ilvl="0" w:tplc="0B761AF2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E70724"/>
    <w:multiLevelType w:val="hybridMultilevel"/>
    <w:tmpl w:val="57BC5A80"/>
    <w:lvl w:ilvl="0" w:tplc="594663F8">
      <w:start w:val="2"/>
      <w:numFmt w:val="bullet"/>
      <w:lvlText w:val="-"/>
      <w:lvlJc w:val="left"/>
      <w:pPr>
        <w:ind w:left="2627" w:hanging="360"/>
      </w:pPr>
      <w:rPr>
        <w:rFonts w:ascii="Times New Roman" w:hAnsi="Times New Roman" w:cs="Times New Roman" w:hint="default"/>
      </w:rPr>
    </w:lvl>
    <w:lvl w:ilvl="1" w:tplc="F2E2744E">
      <w:start w:val="7"/>
      <w:numFmt w:val="bullet"/>
      <w:lvlText w:val="-"/>
      <w:lvlJc w:val="left"/>
      <w:pPr>
        <w:tabs>
          <w:tab w:val="num" w:pos="3347"/>
        </w:tabs>
        <w:ind w:left="3347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87" w:hanging="360"/>
      </w:pPr>
      <w:rPr>
        <w:rFonts w:ascii="Wingdings" w:hAnsi="Wingdings" w:hint="default"/>
      </w:rPr>
    </w:lvl>
  </w:abstractNum>
  <w:abstractNum w:abstractNumId="22" w15:restartNumberingAfterBreak="0">
    <w:nsid w:val="49A20478"/>
    <w:multiLevelType w:val="hybridMultilevel"/>
    <w:tmpl w:val="374CD140"/>
    <w:lvl w:ilvl="0" w:tplc="5BF8CDA6">
      <w:start w:val="2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E61921"/>
    <w:multiLevelType w:val="hybridMultilevel"/>
    <w:tmpl w:val="6036638A"/>
    <w:lvl w:ilvl="0" w:tplc="36FCC8B6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6F3FC1"/>
    <w:multiLevelType w:val="hybridMultilevel"/>
    <w:tmpl w:val="BF3041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CD6E47"/>
    <w:multiLevelType w:val="hybridMultilevel"/>
    <w:tmpl w:val="D0D04DE4"/>
    <w:lvl w:ilvl="0" w:tplc="0B761A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F3526E"/>
    <w:multiLevelType w:val="hybridMultilevel"/>
    <w:tmpl w:val="65B0B13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9166F57"/>
    <w:multiLevelType w:val="hybridMultilevel"/>
    <w:tmpl w:val="47AC0926"/>
    <w:lvl w:ilvl="0" w:tplc="4D62364C">
      <w:start w:val="1"/>
      <w:numFmt w:val="bullet"/>
      <w:lvlText w:val=""/>
      <w:legacy w:legacy="1" w:legacySpace="0" w:legacyIndent="283"/>
      <w:lvlJc w:val="left"/>
      <w:pPr>
        <w:ind w:left="136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5A861169"/>
    <w:multiLevelType w:val="hybridMultilevel"/>
    <w:tmpl w:val="11D43898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603C1A"/>
    <w:multiLevelType w:val="hybridMultilevel"/>
    <w:tmpl w:val="BFE2E206"/>
    <w:lvl w:ilvl="0" w:tplc="0B761A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F75536"/>
    <w:multiLevelType w:val="hybridMultilevel"/>
    <w:tmpl w:val="5CF22580"/>
    <w:lvl w:ilvl="0" w:tplc="EA48646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2F3CF3"/>
    <w:multiLevelType w:val="hybridMultilevel"/>
    <w:tmpl w:val="D182121E"/>
    <w:lvl w:ilvl="0" w:tplc="0B761AF2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784E4F"/>
    <w:multiLevelType w:val="hybridMultilevel"/>
    <w:tmpl w:val="E550C20E"/>
    <w:lvl w:ilvl="0" w:tplc="36FCC8B6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3F12C0"/>
    <w:multiLevelType w:val="hybridMultilevel"/>
    <w:tmpl w:val="0C3CD356"/>
    <w:lvl w:ilvl="0" w:tplc="374498D6">
      <w:start w:val="2"/>
      <w:numFmt w:val="bullet"/>
      <w:lvlText w:val="-"/>
      <w:lvlJc w:val="left"/>
      <w:pPr>
        <w:ind w:left="2627" w:hanging="360"/>
      </w:pPr>
      <w:rPr>
        <w:rFonts w:ascii="Times New Roman" w:hAnsi="Times New Roman" w:cs="Times New Roman" w:hint="default"/>
      </w:rPr>
    </w:lvl>
    <w:lvl w:ilvl="1" w:tplc="F2E2744E">
      <w:start w:val="7"/>
      <w:numFmt w:val="bullet"/>
      <w:lvlText w:val="-"/>
      <w:lvlJc w:val="left"/>
      <w:pPr>
        <w:tabs>
          <w:tab w:val="num" w:pos="3347"/>
        </w:tabs>
        <w:ind w:left="3347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87" w:hanging="360"/>
      </w:pPr>
      <w:rPr>
        <w:rFonts w:ascii="Wingdings" w:hAnsi="Wingdings" w:hint="default"/>
      </w:rPr>
    </w:lvl>
  </w:abstractNum>
  <w:abstractNum w:abstractNumId="34" w15:restartNumberingAfterBreak="0">
    <w:nsid w:val="6E5B5A62"/>
    <w:multiLevelType w:val="multilevel"/>
    <w:tmpl w:val="54D846B0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abstractNum w:abstractNumId="35" w15:restartNumberingAfterBreak="0">
    <w:nsid w:val="71132DA7"/>
    <w:multiLevelType w:val="hybridMultilevel"/>
    <w:tmpl w:val="25D47C3C"/>
    <w:lvl w:ilvl="0" w:tplc="0B761A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D56604"/>
    <w:multiLevelType w:val="singleLevel"/>
    <w:tmpl w:val="0C7C5F60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7" w15:restartNumberingAfterBreak="0">
    <w:nsid w:val="7BF8261B"/>
    <w:multiLevelType w:val="hybridMultilevel"/>
    <w:tmpl w:val="0DF81E62"/>
    <w:lvl w:ilvl="0" w:tplc="0B761A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6555148">
    <w:abstractNumId w:val="34"/>
  </w:num>
  <w:num w:numId="2" w16cid:durableId="17852809">
    <w:abstractNumId w:val="11"/>
  </w:num>
  <w:num w:numId="3" w16cid:durableId="703944114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775323421">
    <w:abstractNumId w:val="2"/>
  </w:num>
  <w:num w:numId="5" w16cid:durableId="233273039">
    <w:abstractNumId w:val="10"/>
  </w:num>
  <w:num w:numId="6" w16cid:durableId="792555876">
    <w:abstractNumId w:val="28"/>
  </w:num>
  <w:num w:numId="7" w16cid:durableId="1213467756">
    <w:abstractNumId w:val="19"/>
  </w:num>
  <w:num w:numId="8" w16cid:durableId="1815560919">
    <w:abstractNumId w:val="27"/>
  </w:num>
  <w:num w:numId="9" w16cid:durableId="1213693311">
    <w:abstractNumId w:val="36"/>
  </w:num>
  <w:num w:numId="10" w16cid:durableId="1525291912">
    <w:abstractNumId w:val="14"/>
  </w:num>
  <w:num w:numId="11" w16cid:durableId="864631343">
    <w:abstractNumId w:val="16"/>
  </w:num>
  <w:num w:numId="12" w16cid:durableId="424425707">
    <w:abstractNumId w:val="9"/>
  </w:num>
  <w:num w:numId="13" w16cid:durableId="502234755">
    <w:abstractNumId w:val="21"/>
  </w:num>
  <w:num w:numId="14" w16cid:durableId="998926108">
    <w:abstractNumId w:val="33"/>
  </w:num>
  <w:num w:numId="15" w16cid:durableId="1048652385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2729370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26073825">
    <w:abstractNumId w:val="4"/>
  </w:num>
  <w:num w:numId="18" w16cid:durableId="1619530829">
    <w:abstractNumId w:val="22"/>
  </w:num>
  <w:num w:numId="19" w16cid:durableId="1801143209">
    <w:abstractNumId w:val="13"/>
  </w:num>
  <w:num w:numId="20" w16cid:durableId="78643413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9824573">
    <w:abstractNumId w:val="7"/>
  </w:num>
  <w:num w:numId="22" w16cid:durableId="1235166785">
    <w:abstractNumId w:val="37"/>
  </w:num>
  <w:num w:numId="23" w16cid:durableId="1087730790">
    <w:abstractNumId w:val="3"/>
  </w:num>
  <w:num w:numId="24" w16cid:durableId="1218736272">
    <w:abstractNumId w:val="29"/>
  </w:num>
  <w:num w:numId="25" w16cid:durableId="430860497">
    <w:abstractNumId w:val="15"/>
  </w:num>
  <w:num w:numId="26" w16cid:durableId="676347764">
    <w:abstractNumId w:val="32"/>
  </w:num>
  <w:num w:numId="27" w16cid:durableId="1862622122">
    <w:abstractNumId w:val="35"/>
  </w:num>
  <w:num w:numId="28" w16cid:durableId="2015373423">
    <w:abstractNumId w:val="8"/>
  </w:num>
  <w:num w:numId="29" w16cid:durableId="94981389">
    <w:abstractNumId w:val="5"/>
  </w:num>
  <w:num w:numId="30" w16cid:durableId="1012420391">
    <w:abstractNumId w:val="6"/>
  </w:num>
  <w:num w:numId="31" w16cid:durableId="695272506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2" w16cid:durableId="757216088">
    <w:abstractNumId w:val="30"/>
  </w:num>
  <w:num w:numId="33" w16cid:durableId="856845179">
    <w:abstractNumId w:val="23"/>
  </w:num>
  <w:num w:numId="34" w16cid:durableId="1262689133">
    <w:abstractNumId w:val="1"/>
  </w:num>
  <w:num w:numId="35" w16cid:durableId="194468309">
    <w:abstractNumId w:val="26"/>
  </w:num>
  <w:num w:numId="36" w16cid:durableId="2092579352">
    <w:abstractNumId w:val="18"/>
  </w:num>
  <w:num w:numId="37" w16cid:durableId="450127718">
    <w:abstractNumId w:val="12"/>
  </w:num>
  <w:num w:numId="38" w16cid:durableId="1100029727">
    <w:abstractNumId w:val="24"/>
  </w:num>
  <w:num w:numId="39" w16cid:durableId="1960452010">
    <w:abstractNumId w:val="25"/>
  </w:num>
  <w:num w:numId="40" w16cid:durableId="1978338665">
    <w:abstractNumId w:val="31"/>
  </w:num>
  <w:num w:numId="41" w16cid:durableId="249119524">
    <w:abstractNumId w:val="2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81D"/>
    <w:rsid w:val="00002CFF"/>
    <w:rsid w:val="00024E4E"/>
    <w:rsid w:val="00041278"/>
    <w:rsid w:val="000D1297"/>
    <w:rsid w:val="000D67F3"/>
    <w:rsid w:val="000E5914"/>
    <w:rsid w:val="000F6FB6"/>
    <w:rsid w:val="00113847"/>
    <w:rsid w:val="001706D2"/>
    <w:rsid w:val="001B1248"/>
    <w:rsid w:val="001B1E8D"/>
    <w:rsid w:val="00234C85"/>
    <w:rsid w:val="00242558"/>
    <w:rsid w:val="0029215A"/>
    <w:rsid w:val="002C1E28"/>
    <w:rsid w:val="002E2ABF"/>
    <w:rsid w:val="002F47F3"/>
    <w:rsid w:val="003155E7"/>
    <w:rsid w:val="00321D59"/>
    <w:rsid w:val="003303D8"/>
    <w:rsid w:val="003518DF"/>
    <w:rsid w:val="00360836"/>
    <w:rsid w:val="003A380B"/>
    <w:rsid w:val="003E712D"/>
    <w:rsid w:val="00455A23"/>
    <w:rsid w:val="0047155D"/>
    <w:rsid w:val="004919CA"/>
    <w:rsid w:val="004A5229"/>
    <w:rsid w:val="004B74C4"/>
    <w:rsid w:val="00513833"/>
    <w:rsid w:val="00531909"/>
    <w:rsid w:val="00532CA1"/>
    <w:rsid w:val="0053669D"/>
    <w:rsid w:val="00544C49"/>
    <w:rsid w:val="0054744B"/>
    <w:rsid w:val="00575A21"/>
    <w:rsid w:val="00576801"/>
    <w:rsid w:val="0057792C"/>
    <w:rsid w:val="005A0DC2"/>
    <w:rsid w:val="005A3152"/>
    <w:rsid w:val="005A4F47"/>
    <w:rsid w:val="005A7D37"/>
    <w:rsid w:val="005B3339"/>
    <w:rsid w:val="005F6362"/>
    <w:rsid w:val="00613DC5"/>
    <w:rsid w:val="00626278"/>
    <w:rsid w:val="006457A4"/>
    <w:rsid w:val="0064773F"/>
    <w:rsid w:val="00663970"/>
    <w:rsid w:val="00684754"/>
    <w:rsid w:val="0068603C"/>
    <w:rsid w:val="006B1F59"/>
    <w:rsid w:val="00756B33"/>
    <w:rsid w:val="007605BA"/>
    <w:rsid w:val="00772E68"/>
    <w:rsid w:val="00777384"/>
    <w:rsid w:val="0079337D"/>
    <w:rsid w:val="007B6F41"/>
    <w:rsid w:val="007F59E6"/>
    <w:rsid w:val="00811008"/>
    <w:rsid w:val="008352AD"/>
    <w:rsid w:val="0084120E"/>
    <w:rsid w:val="008839B1"/>
    <w:rsid w:val="008E405E"/>
    <w:rsid w:val="00914914"/>
    <w:rsid w:val="0091795F"/>
    <w:rsid w:val="009222B5"/>
    <w:rsid w:val="0098242E"/>
    <w:rsid w:val="00985148"/>
    <w:rsid w:val="00990C4C"/>
    <w:rsid w:val="009936DB"/>
    <w:rsid w:val="0099682D"/>
    <w:rsid w:val="009A1EF4"/>
    <w:rsid w:val="009A6B41"/>
    <w:rsid w:val="009A6DBA"/>
    <w:rsid w:val="009B463F"/>
    <w:rsid w:val="009C690C"/>
    <w:rsid w:val="00A15B4F"/>
    <w:rsid w:val="00A16CC8"/>
    <w:rsid w:val="00A21FD7"/>
    <w:rsid w:val="00AA595F"/>
    <w:rsid w:val="00AC731E"/>
    <w:rsid w:val="00AD58AF"/>
    <w:rsid w:val="00B15ED2"/>
    <w:rsid w:val="00B47F50"/>
    <w:rsid w:val="00B50C59"/>
    <w:rsid w:val="00B5220F"/>
    <w:rsid w:val="00B5260D"/>
    <w:rsid w:val="00BA250A"/>
    <w:rsid w:val="00BB4AFB"/>
    <w:rsid w:val="00BE6D78"/>
    <w:rsid w:val="00C25C75"/>
    <w:rsid w:val="00C56C96"/>
    <w:rsid w:val="00C5797F"/>
    <w:rsid w:val="00C64911"/>
    <w:rsid w:val="00C82F92"/>
    <w:rsid w:val="00C8404C"/>
    <w:rsid w:val="00C85769"/>
    <w:rsid w:val="00CB0844"/>
    <w:rsid w:val="00D06AC6"/>
    <w:rsid w:val="00D41EEC"/>
    <w:rsid w:val="00D60792"/>
    <w:rsid w:val="00D62DD3"/>
    <w:rsid w:val="00D6655B"/>
    <w:rsid w:val="00E1415A"/>
    <w:rsid w:val="00E1745C"/>
    <w:rsid w:val="00E20217"/>
    <w:rsid w:val="00E40438"/>
    <w:rsid w:val="00EC7A70"/>
    <w:rsid w:val="00F0173A"/>
    <w:rsid w:val="00F075B7"/>
    <w:rsid w:val="00F6181D"/>
    <w:rsid w:val="00FC3D12"/>
    <w:rsid w:val="00FC732A"/>
    <w:rsid w:val="00FF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2529"/>
    <o:shapelayout v:ext="edit">
      <o:idmap v:ext="edit" data="1"/>
    </o:shapelayout>
  </w:shapeDefaults>
  <w:decimalSymbol w:val=","/>
  <w:listSeparator w:val=";"/>
  <w14:docId w14:val="3D460EB0"/>
  <w15:docId w15:val="{E589A547-FF62-4C27-8D22-76CFE1E19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qFormat/>
    <w:pPr>
      <w:ind w:left="1129" w:hanging="854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nhideWhenUsed/>
    <w:qFormat/>
    <w:rsid w:val="006262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62627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54744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spacing w:before="136"/>
      <w:ind w:left="716" w:hanging="441"/>
    </w:pPr>
    <w:rPr>
      <w:sz w:val="20"/>
      <w:szCs w:val="20"/>
    </w:rPr>
  </w:style>
  <w:style w:type="paragraph" w:styleId="Spistreci2">
    <w:name w:val="toc 2"/>
    <w:basedOn w:val="Normalny"/>
    <w:uiPriority w:val="39"/>
    <w:qFormat/>
    <w:pPr>
      <w:spacing w:before="136"/>
      <w:ind w:left="1158" w:hanging="660"/>
    </w:pPr>
    <w:rPr>
      <w:sz w:val="20"/>
      <w:szCs w:val="20"/>
    </w:rPr>
  </w:style>
  <w:style w:type="paragraph" w:styleId="Tekstpodstawowy">
    <w:name w:val="Body Text"/>
    <w:basedOn w:val="Normalny"/>
    <w:qFormat/>
    <w:pPr>
      <w:ind w:left="1129"/>
      <w:jc w:val="both"/>
    </w:pPr>
    <w:rPr>
      <w:sz w:val="20"/>
      <w:szCs w:val="20"/>
    </w:rPr>
  </w:style>
  <w:style w:type="paragraph" w:styleId="Akapitzlist">
    <w:name w:val="List Paragraph"/>
    <w:aliases w:val="Lista uwag,Akapit z listą2"/>
    <w:basedOn w:val="Normalny"/>
    <w:link w:val="AkapitzlistZnak"/>
    <w:uiPriority w:val="34"/>
    <w:qFormat/>
    <w:pPr>
      <w:spacing w:before="120"/>
      <w:ind w:left="1129" w:hanging="853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6860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03C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nhideWhenUsed/>
    <w:rsid w:val="006860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8603C"/>
    <w:rPr>
      <w:rFonts w:ascii="Verdana" w:eastAsia="Verdana" w:hAnsi="Verdana" w:cs="Verdana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63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B46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463F"/>
    <w:rPr>
      <w:rFonts w:ascii="Verdana" w:eastAsia="Verdana" w:hAnsi="Verdana" w:cs="Verdana"/>
      <w:sz w:val="20"/>
      <w:szCs w:val="20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E6D78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E6D7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0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008"/>
    <w:rPr>
      <w:rFonts w:ascii="Segoe UI" w:eastAsia="Verdana" w:hAnsi="Segoe UI" w:cs="Segoe UI"/>
      <w:sz w:val="18"/>
      <w:szCs w:val="18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0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1008"/>
    <w:rPr>
      <w:rFonts w:ascii="Verdana" w:eastAsia="Verdana" w:hAnsi="Verdana" w:cs="Verdana"/>
      <w:b/>
      <w:bCs/>
      <w:sz w:val="20"/>
      <w:szCs w:val="2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2627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2627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paragraph" w:styleId="Tekstpodstawowy2">
    <w:name w:val="Body Text 2"/>
    <w:basedOn w:val="Normalny"/>
    <w:link w:val="Tekstpodstawowy2Znak"/>
    <w:unhideWhenUsed/>
    <w:rsid w:val="0054744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4744B"/>
    <w:rPr>
      <w:rFonts w:ascii="Verdana" w:eastAsia="Verdana" w:hAnsi="Verdana" w:cs="Verdana"/>
      <w:lang w:val="pl-PL"/>
    </w:rPr>
  </w:style>
  <w:style w:type="paragraph" w:styleId="Tekstprzypisudolnego">
    <w:name w:val="footnote text"/>
    <w:basedOn w:val="Normalny"/>
    <w:link w:val="TekstprzypisudolnegoZnak"/>
    <w:semiHidden/>
    <w:rsid w:val="0054744B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4744B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4744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4744B"/>
    <w:rPr>
      <w:rFonts w:ascii="Verdana" w:eastAsia="Verdana" w:hAnsi="Verdana" w:cs="Verdana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4744B"/>
    <w:rPr>
      <w:rFonts w:asciiTheme="majorHAnsi" w:eastAsiaTheme="majorEastAsia" w:hAnsiTheme="majorHAnsi" w:cstheme="majorBidi"/>
      <w:i/>
      <w:iCs/>
      <w:color w:val="365F91" w:themeColor="accent1" w:themeShade="BF"/>
      <w:lang w:val="pl-PL"/>
    </w:rPr>
  </w:style>
  <w:style w:type="paragraph" w:styleId="Tekstpodstawowywcity2">
    <w:name w:val="Body Text Indent 2"/>
    <w:basedOn w:val="Normalny"/>
    <w:link w:val="Tekstpodstawowywcity2Znak"/>
    <w:unhideWhenUsed/>
    <w:rsid w:val="0054744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4744B"/>
    <w:rPr>
      <w:rFonts w:ascii="Verdana" w:eastAsia="Verdana" w:hAnsi="Verdana" w:cs="Verdana"/>
      <w:lang w:val="pl-PL"/>
    </w:rPr>
  </w:style>
  <w:style w:type="paragraph" w:styleId="Spistreci3">
    <w:name w:val="toc 3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400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4">
    <w:name w:val="toc 4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6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5">
    <w:name w:val="toc 5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8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6">
    <w:name w:val="toc 6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10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7">
    <w:name w:val="toc 7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12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8">
    <w:name w:val="toc 8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14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9">
    <w:name w:val="toc 9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16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character" w:styleId="Numerstrony">
    <w:name w:val="page number"/>
    <w:basedOn w:val="Domylnaczcionkaakapitu"/>
    <w:rsid w:val="00455A23"/>
  </w:style>
  <w:style w:type="character" w:styleId="Odwoanieprzypisudolnego">
    <w:name w:val="footnote reference"/>
    <w:basedOn w:val="Domylnaczcionkaakapitu"/>
    <w:semiHidden/>
    <w:rsid w:val="00455A23"/>
    <w:rPr>
      <w:vertAlign w:val="superscript"/>
    </w:rPr>
  </w:style>
  <w:style w:type="paragraph" w:customStyle="1" w:styleId="Standardowytekst">
    <w:name w:val="Standardowy.tekst"/>
    <w:rsid w:val="00455A23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styleId="Tekstpodstawowywcity3">
    <w:name w:val="Body Text Indent 3"/>
    <w:basedOn w:val="Normalny"/>
    <w:link w:val="Tekstpodstawowywcity3Znak"/>
    <w:semiHidden/>
    <w:rsid w:val="00455A23"/>
    <w:pPr>
      <w:widowControl/>
      <w:autoSpaceDE/>
      <w:autoSpaceDN/>
      <w:spacing w:before="6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55A23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styleId="Listapunktowana">
    <w:name w:val="List Bullet"/>
    <w:basedOn w:val="Normalny"/>
    <w:semiHidden/>
    <w:rsid w:val="00455A23"/>
    <w:pPr>
      <w:widowControl/>
      <w:autoSpaceDE/>
      <w:autoSpaceDN/>
      <w:spacing w:line="360" w:lineRule="auto"/>
      <w:ind w:left="360" w:hanging="36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10">
    <w:name w:val="_10"/>
    <w:basedOn w:val="Normalny"/>
    <w:rsid w:val="00455A23"/>
    <w:pPr>
      <w:widowControl/>
      <w:autoSpaceDE/>
      <w:autoSpaceDN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455A23"/>
    <w:pPr>
      <w:widowControl/>
      <w:autoSpaceDE/>
      <w:autoSpaceDN/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55A23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paragraph" w:customStyle="1" w:styleId="Styl12ptWyjustowany">
    <w:name w:val="Styl 12 pt Wyjustowany"/>
    <w:basedOn w:val="Normalny"/>
    <w:rsid w:val="00455A23"/>
    <w:pPr>
      <w:widowControl/>
      <w:autoSpaceDE/>
      <w:autoSpaceDN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ypunktowanie">
    <w:name w:val="Wypunktowanie"/>
    <w:basedOn w:val="Normalny"/>
    <w:rsid w:val="00455A23"/>
    <w:pPr>
      <w:numPr>
        <w:numId w:val="17"/>
      </w:numPr>
      <w:autoSpaceDE/>
      <w:autoSpaceDN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uiPriority w:val="35"/>
    <w:qFormat/>
    <w:rsid w:val="00455A23"/>
    <w:pPr>
      <w:autoSpaceDE/>
      <w:autoSpaceDN/>
      <w:spacing w:before="12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Iwony">
    <w:name w:val="Styl Iwony"/>
    <w:basedOn w:val="Normalny"/>
    <w:rsid w:val="00684754"/>
    <w:pPr>
      <w:widowControl/>
      <w:overflowPunct w:val="0"/>
      <w:adjustRightInd w:val="0"/>
      <w:spacing w:before="120" w:after="120"/>
      <w:jc w:val="both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customStyle="1" w:styleId="Default">
    <w:name w:val="Default"/>
    <w:rsid w:val="00684754"/>
    <w:pPr>
      <w:widowControl/>
      <w:adjustRightInd w:val="0"/>
    </w:pPr>
    <w:rPr>
      <w:rFonts w:ascii="Courier New" w:eastAsia="Times New Roman" w:hAnsi="Courier New" w:cs="Courier New"/>
      <w:color w:val="000000"/>
      <w:sz w:val="24"/>
      <w:szCs w:val="24"/>
      <w:lang w:val="pl-PL" w:eastAsia="pl-PL"/>
    </w:rPr>
  </w:style>
  <w:style w:type="character" w:customStyle="1" w:styleId="AkapitzlistZnak">
    <w:name w:val="Akapit z listą Znak"/>
    <w:aliases w:val="Lista uwag Znak,Akapit z listą2 Znak"/>
    <w:link w:val="Akapitzlist"/>
    <w:uiPriority w:val="34"/>
    <w:locked/>
    <w:rsid w:val="00684754"/>
    <w:rPr>
      <w:rFonts w:ascii="Verdana" w:eastAsia="Verdana" w:hAnsi="Verdana" w:cs="Verdana"/>
      <w:lang w:val="pl-PL"/>
    </w:rPr>
  </w:style>
  <w:style w:type="character" w:customStyle="1" w:styleId="FontStyle40">
    <w:name w:val="Font Style40"/>
    <w:uiPriority w:val="99"/>
    <w:rsid w:val="00684754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16">
    <w:name w:val="Style16"/>
    <w:basedOn w:val="Normalny"/>
    <w:uiPriority w:val="99"/>
    <w:rsid w:val="00684754"/>
    <w:pPr>
      <w:adjustRightInd w:val="0"/>
      <w:spacing w:line="230" w:lineRule="exact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684754"/>
    <w:pPr>
      <w:adjustRightInd w:val="0"/>
      <w:spacing w:line="230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684754"/>
    <w:pPr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684754"/>
    <w:pPr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684754"/>
    <w:pPr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684754"/>
    <w:pPr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684754"/>
    <w:pPr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2">
    <w:name w:val="Font Style32"/>
    <w:uiPriority w:val="99"/>
    <w:rsid w:val="00684754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33">
    <w:name w:val="Font Style33"/>
    <w:uiPriority w:val="99"/>
    <w:rsid w:val="00684754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34">
    <w:name w:val="Font Style34"/>
    <w:uiPriority w:val="99"/>
    <w:rsid w:val="00684754"/>
    <w:rPr>
      <w:rFonts w:ascii="Georgia" w:hAnsi="Georgia" w:cs="Georgia"/>
      <w:i/>
      <w:iCs/>
      <w:smallCaps/>
      <w:color w:val="000000"/>
      <w:sz w:val="16"/>
      <w:szCs w:val="16"/>
    </w:rPr>
  </w:style>
  <w:style w:type="character" w:customStyle="1" w:styleId="FontStyle35">
    <w:name w:val="Font Style35"/>
    <w:uiPriority w:val="99"/>
    <w:rsid w:val="00684754"/>
    <w:rPr>
      <w:rFonts w:ascii="Times New Roman" w:hAnsi="Times New Roman" w:cs="Times New Roman"/>
      <w:color w:val="000000"/>
      <w:sz w:val="14"/>
      <w:szCs w:val="14"/>
    </w:rPr>
  </w:style>
  <w:style w:type="paragraph" w:styleId="Listanumerowana3">
    <w:name w:val="List Number 3"/>
    <w:basedOn w:val="Normalny"/>
    <w:rsid w:val="00684754"/>
    <w:pPr>
      <w:widowControl/>
      <w:autoSpaceDE/>
      <w:autoSpaceDN/>
      <w:spacing w:before="60" w:after="60" w:line="312" w:lineRule="auto"/>
      <w:ind w:left="680" w:hanging="3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B1F59"/>
    <w:pPr>
      <w:widowControl/>
      <w:autoSpaceDE/>
      <w:autoSpaceDN/>
    </w:pPr>
    <w:rPr>
      <w:rFonts w:ascii="Verdana" w:eastAsia="Verdana" w:hAnsi="Verdana" w:cs="Verdan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FFBD0-5A23-4CEB-8B0F-6A6FE677F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21</Pages>
  <Words>6839</Words>
  <Characters>41040</Characters>
  <Application>Microsoft Office Word</Application>
  <DocSecurity>0</DocSecurity>
  <Lines>342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D-05.03.04</vt:lpstr>
    </vt:vector>
  </TitlesOfParts>
  <Company/>
  <LinksUpToDate>false</LinksUpToDate>
  <CharactersWithSpaces>47784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D-05.03.04</dc:title>
  <dc:creator>GDDKiA</dc:creator>
  <cp:lastModifiedBy>Aleksandra Czechowska</cp:lastModifiedBy>
  <cp:revision>86</cp:revision>
  <dcterms:created xsi:type="dcterms:W3CDTF">2022-09-29T19:21:00Z</dcterms:created>
  <dcterms:modified xsi:type="dcterms:W3CDTF">2023-03-13T13:08:00Z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2020-10-24T00:00:00Z</vt:filetime>
  </property>
</Properties>
</file>