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5B0A1A60" w14:textId="77777777" w:rsidR="005F2772" w:rsidRPr="00610E85" w:rsidRDefault="005F2772" w:rsidP="005F2772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2DA2C57E" w14:textId="77777777" w:rsidR="005F2772" w:rsidRPr="00CB0AA6" w:rsidRDefault="005F2772" w:rsidP="005F2772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70DA71F2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17154"/>
      <w:bookmarkStart w:id="2" w:name="_Toc120289415"/>
      <w:bookmarkStart w:id="3" w:name="_Toc120294061"/>
      <w:bookmarkStart w:id="4" w:name="_Toc120457999"/>
      <w:r>
        <w:t>D.</w:t>
      </w:r>
      <w:bookmarkEnd w:id="0"/>
      <w:bookmarkEnd w:id="1"/>
      <w:bookmarkEnd w:id="2"/>
      <w:bookmarkEnd w:id="3"/>
      <w:r w:rsidR="0077205E">
        <w:t>08.02.01</w:t>
      </w:r>
      <w:bookmarkEnd w:id="4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7B2FC6F4" w:rsidR="00F6181D" w:rsidRDefault="0077205E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USTAWIENIE KRAWĘŻNIKÓW KAMIENNYCH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3187FC8A" w14:textId="1172AB0C" w:rsidR="00890D02" w:rsidRDefault="00BE6D78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8F016AB" w14:textId="77777777" w:rsidR="00890D02" w:rsidRDefault="005F2772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00" w:history="1">
            <w:r w:rsidR="00890D02" w:rsidRPr="000D5883">
              <w:rPr>
                <w:rStyle w:val="Hipercze"/>
                <w:noProof/>
                <w:spacing w:val="-1"/>
                <w:w w:val="99"/>
              </w:rPr>
              <w:t>1.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WSTĘP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_Toc120458000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4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45C662F4" w14:textId="77777777" w:rsidR="00890D02" w:rsidRDefault="005F2772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07" w:history="1">
            <w:r w:rsidR="00890D02" w:rsidRPr="000D5883">
              <w:rPr>
                <w:rStyle w:val="Hipercze"/>
                <w:noProof/>
                <w:spacing w:val="-1"/>
                <w:w w:val="99"/>
              </w:rPr>
              <w:t>2.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MATERIAŁY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_Toc120458007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4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22A45C2F" w14:textId="77777777" w:rsidR="00890D02" w:rsidRDefault="005F2772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12" w:history="1">
            <w:r w:rsidR="00890D02" w:rsidRPr="000D5883">
              <w:rPr>
                <w:rStyle w:val="Hipercze"/>
                <w:noProof/>
              </w:rPr>
              <w:t xml:space="preserve">3. 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SPRZĘT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_Toc120458012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5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16713A37" w14:textId="77777777" w:rsidR="00890D02" w:rsidRDefault="005F2772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13" w:history="1">
            <w:r w:rsidR="00890D02" w:rsidRPr="000D5883">
              <w:rPr>
                <w:rStyle w:val="Hipercze"/>
                <w:noProof/>
              </w:rPr>
              <w:t xml:space="preserve">4. 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TRANSPORT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_Toc120458013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5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10D3055F" w14:textId="77777777" w:rsidR="00890D02" w:rsidRDefault="005F2772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14" w:history="1">
            <w:r w:rsidR="00890D02" w:rsidRPr="000D5883">
              <w:rPr>
                <w:rStyle w:val="Hipercze"/>
                <w:noProof/>
              </w:rPr>
              <w:t xml:space="preserve">5. 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WYKONANIE ROBÓT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_Toc120458014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5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0A81BDE2" w14:textId="77777777" w:rsidR="00890D02" w:rsidRDefault="005F2772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15" w:history="1">
            <w:r w:rsidR="00890D02" w:rsidRPr="000D5883">
              <w:rPr>
                <w:rStyle w:val="Hipercze"/>
                <w:noProof/>
              </w:rPr>
              <w:t xml:space="preserve">6. 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KONTROLA JAKOŚCI ROBÓT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_Toc120458015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5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2BF5BE8D" w14:textId="77777777" w:rsidR="00890D02" w:rsidRDefault="005F2772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19" w:history="1">
            <w:r w:rsidR="00890D02" w:rsidRPr="000D5883">
              <w:rPr>
                <w:rStyle w:val="Hipercze"/>
                <w:noProof/>
              </w:rPr>
              <w:t xml:space="preserve">7. 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OBMIAR ROBÓT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_Toc120458019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6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1E8B0528" w14:textId="77777777" w:rsidR="00890D02" w:rsidRDefault="005F2772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22" w:history="1">
            <w:r w:rsidR="00890D02" w:rsidRPr="000D5883">
              <w:rPr>
                <w:rStyle w:val="Hipercze"/>
                <w:noProof/>
              </w:rPr>
              <w:t xml:space="preserve">8. 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ODBIÓR ROBÓT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_Toc120458022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6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6A1523A2" w14:textId="0A2D0E46" w:rsidR="00890D02" w:rsidRDefault="005F2772" w:rsidP="00890D02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25" w:history="1">
            <w:r w:rsidR="00890D02" w:rsidRPr="000D5883">
              <w:rPr>
                <w:rStyle w:val="Hipercze"/>
                <w:noProof/>
              </w:rPr>
              <w:t xml:space="preserve">9. 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PODSTAWA PŁATNOŚCI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_Toc120458025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7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0031CC2E" w14:textId="14109F60" w:rsidR="00890D02" w:rsidRDefault="005F2772" w:rsidP="00890D02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458027" w:history="1">
            <w:r w:rsidR="00890D02" w:rsidRPr="000D5883">
              <w:rPr>
                <w:rStyle w:val="Hipercze"/>
                <w:noProof/>
              </w:rPr>
              <w:t>10.</w:t>
            </w:r>
            <w:r w:rsidR="00890D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90D02" w:rsidRPr="000D5883">
              <w:rPr>
                <w:rStyle w:val="Hipercze"/>
                <w:noProof/>
              </w:rPr>
              <w:t>PRZEPISY ZWIĄZANE</w:t>
            </w:r>
            <w:r w:rsidR="00890D02">
              <w:rPr>
                <w:noProof/>
                <w:webHidden/>
              </w:rPr>
              <w:tab/>
            </w:r>
            <w:r w:rsidR="00890D02">
              <w:rPr>
                <w:noProof/>
                <w:webHidden/>
              </w:rPr>
              <w:fldChar w:fldCharType="begin"/>
            </w:r>
            <w:r w:rsidR="00890D02">
              <w:rPr>
                <w:noProof/>
                <w:webHidden/>
              </w:rPr>
              <w:instrText xml:space="preserve"> PAGEREF _Toc120458027 \h </w:instrText>
            </w:r>
            <w:r w:rsidR="00890D02">
              <w:rPr>
                <w:noProof/>
                <w:webHidden/>
              </w:rPr>
            </w:r>
            <w:r w:rsidR="00890D02">
              <w:rPr>
                <w:noProof/>
                <w:webHidden/>
              </w:rPr>
              <w:fldChar w:fldCharType="separate"/>
            </w:r>
            <w:r w:rsidR="00C20F4C">
              <w:rPr>
                <w:noProof/>
                <w:webHidden/>
              </w:rPr>
              <w:t>7</w:t>
            </w:r>
            <w:r w:rsidR="00890D02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9C5AA4">
      <w:pPr>
        <w:pStyle w:val="Nagwek1"/>
        <w:numPr>
          <w:ilvl w:val="0"/>
          <w:numId w:val="1"/>
        </w:numPr>
        <w:tabs>
          <w:tab w:val="left" w:pos="1129"/>
          <w:tab w:val="left" w:pos="1130"/>
          <w:tab w:val="left" w:pos="9781"/>
        </w:tabs>
        <w:spacing w:before="89"/>
        <w:ind w:right="426" w:hanging="854"/>
      </w:pPr>
      <w:bookmarkStart w:id="5" w:name="_Toc120458000"/>
      <w:r>
        <w:lastRenderedPageBreak/>
        <w:t>WSTĘP</w:t>
      </w:r>
      <w:bookmarkEnd w:id="5"/>
    </w:p>
    <w:p w14:paraId="14D56514" w14:textId="77777777" w:rsidR="00F6181D" w:rsidRDefault="00F0173A" w:rsidP="009C5AA4">
      <w:pPr>
        <w:pStyle w:val="Nagwek1"/>
        <w:numPr>
          <w:ilvl w:val="1"/>
          <w:numId w:val="1"/>
        </w:numPr>
        <w:tabs>
          <w:tab w:val="left" w:pos="1129"/>
          <w:tab w:val="left" w:pos="1130"/>
          <w:tab w:val="left" w:pos="9781"/>
        </w:tabs>
        <w:spacing w:before="156"/>
        <w:ind w:right="426" w:hanging="854"/>
      </w:pPr>
      <w:bookmarkStart w:id="6" w:name="_Toc118446750"/>
      <w:bookmarkStart w:id="7" w:name="_Toc120217156"/>
      <w:bookmarkStart w:id="8" w:name="_Toc120289417"/>
      <w:bookmarkStart w:id="9" w:name="_Toc120294063"/>
      <w:bookmarkStart w:id="10" w:name="_Toc120458001"/>
      <w:r>
        <w:t>Nazwa</w:t>
      </w:r>
      <w:r>
        <w:rPr>
          <w:spacing w:val="-2"/>
        </w:rPr>
        <w:t xml:space="preserve"> </w:t>
      </w:r>
      <w:r>
        <w:t>zadania</w:t>
      </w:r>
      <w:bookmarkEnd w:id="6"/>
      <w:bookmarkEnd w:id="7"/>
      <w:bookmarkEnd w:id="8"/>
      <w:bookmarkEnd w:id="9"/>
      <w:bookmarkEnd w:id="10"/>
    </w:p>
    <w:p w14:paraId="3812D7A4" w14:textId="77777777" w:rsidR="005F2772" w:rsidRPr="005F2772" w:rsidRDefault="005F2772" w:rsidP="005F2772">
      <w:pPr>
        <w:pStyle w:val="Nagwek1"/>
        <w:tabs>
          <w:tab w:val="left" w:pos="1129"/>
          <w:tab w:val="left" w:pos="1130"/>
          <w:tab w:val="left" w:pos="9781"/>
        </w:tabs>
        <w:spacing w:before="156"/>
        <w:ind w:left="275" w:right="426" w:firstLine="0"/>
      </w:pPr>
      <w:bookmarkStart w:id="11" w:name="_Toc118446751"/>
      <w:bookmarkStart w:id="12" w:name="_Toc120217157"/>
      <w:bookmarkStart w:id="13" w:name="_Toc120289418"/>
      <w:bookmarkStart w:id="14" w:name="_Toc120294064"/>
      <w:bookmarkStart w:id="15" w:name="_Toc120458002"/>
      <w:r w:rsidRPr="005F2772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61B356B9" w:rsidR="00F6181D" w:rsidRDefault="00F0173A" w:rsidP="009C5AA4">
      <w:pPr>
        <w:pStyle w:val="Nagwek1"/>
        <w:numPr>
          <w:ilvl w:val="1"/>
          <w:numId w:val="1"/>
        </w:numPr>
        <w:tabs>
          <w:tab w:val="left" w:pos="1129"/>
          <w:tab w:val="left" w:pos="1130"/>
          <w:tab w:val="left" w:pos="9781"/>
        </w:tabs>
        <w:spacing w:before="156"/>
        <w:ind w:right="426"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11"/>
      <w:bookmarkEnd w:id="12"/>
      <w:bookmarkEnd w:id="13"/>
      <w:bookmarkEnd w:id="14"/>
      <w:bookmarkEnd w:id="15"/>
    </w:p>
    <w:p w14:paraId="765AD88E" w14:textId="0EB21CA1" w:rsidR="00F6181D" w:rsidRDefault="00F0173A" w:rsidP="009C5AA4">
      <w:pPr>
        <w:pStyle w:val="Tekstpodstawowy"/>
        <w:tabs>
          <w:tab w:val="left" w:pos="9781"/>
        </w:tabs>
        <w:spacing w:before="157" w:line="276" w:lineRule="auto"/>
        <w:ind w:left="276" w:right="426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</w:t>
      </w:r>
      <w:r w:rsidR="005E72CC" w:rsidRPr="00A5604A">
        <w:t xml:space="preserve">robót związanych z </w:t>
      </w:r>
      <w:r w:rsidR="0077205E">
        <w:t xml:space="preserve">ustawieniem krawężników kamiennych na ławie betonowej z oporem. </w:t>
      </w:r>
      <w:r w:rsidR="00DD632C">
        <w:t xml:space="preserve"> </w:t>
      </w:r>
    </w:p>
    <w:p w14:paraId="1632B1C8" w14:textId="77777777" w:rsidR="00F6181D" w:rsidRDefault="00F0173A" w:rsidP="009C5AA4">
      <w:pPr>
        <w:pStyle w:val="Nagwek1"/>
        <w:numPr>
          <w:ilvl w:val="1"/>
          <w:numId w:val="1"/>
        </w:numPr>
        <w:tabs>
          <w:tab w:val="left" w:pos="1129"/>
          <w:tab w:val="left" w:pos="1130"/>
          <w:tab w:val="left" w:pos="9781"/>
        </w:tabs>
        <w:spacing w:before="121"/>
        <w:ind w:right="426" w:hanging="854"/>
      </w:pPr>
      <w:bookmarkStart w:id="16" w:name="_Toc118446752"/>
      <w:bookmarkStart w:id="17" w:name="_Toc120217158"/>
      <w:bookmarkStart w:id="18" w:name="_Toc120289419"/>
      <w:bookmarkStart w:id="19" w:name="_Toc120294065"/>
      <w:bookmarkStart w:id="20" w:name="_Toc120458003"/>
      <w:r>
        <w:t xml:space="preserve">Zakres stosowania </w:t>
      </w:r>
      <w:r w:rsidR="009B463F">
        <w:t>SST</w:t>
      </w:r>
      <w:bookmarkEnd w:id="16"/>
      <w:bookmarkEnd w:id="17"/>
      <w:bookmarkEnd w:id="18"/>
      <w:bookmarkEnd w:id="19"/>
      <w:bookmarkEnd w:id="20"/>
    </w:p>
    <w:p w14:paraId="31DAF23D" w14:textId="77777777" w:rsidR="009B463F" w:rsidRDefault="009B463F" w:rsidP="009C5AA4">
      <w:pPr>
        <w:pStyle w:val="Tekstpodstawowy"/>
        <w:tabs>
          <w:tab w:val="left" w:pos="9781"/>
        </w:tabs>
        <w:spacing w:before="155" w:line="276" w:lineRule="auto"/>
        <w:ind w:left="275" w:right="426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9C5AA4">
      <w:pPr>
        <w:pStyle w:val="Nagwek1"/>
        <w:numPr>
          <w:ilvl w:val="1"/>
          <w:numId w:val="1"/>
        </w:numPr>
        <w:tabs>
          <w:tab w:val="left" w:pos="1130"/>
          <w:tab w:val="left" w:pos="9781"/>
        </w:tabs>
        <w:spacing w:before="121" w:after="240"/>
        <w:ind w:right="426" w:hanging="854"/>
        <w:jc w:val="both"/>
      </w:pPr>
      <w:bookmarkStart w:id="21" w:name="_Toc118446753"/>
      <w:bookmarkStart w:id="22" w:name="_Toc120217159"/>
      <w:bookmarkStart w:id="23" w:name="_Toc120289420"/>
      <w:bookmarkStart w:id="24" w:name="_Toc120294066"/>
      <w:bookmarkStart w:id="25" w:name="_Toc120458004"/>
      <w:r>
        <w:t>Zakres robót objętych SST</w:t>
      </w:r>
      <w:bookmarkEnd w:id="21"/>
      <w:bookmarkEnd w:id="22"/>
      <w:bookmarkEnd w:id="23"/>
      <w:bookmarkEnd w:id="24"/>
      <w:bookmarkEnd w:id="25"/>
      <w:r>
        <w:t xml:space="preserve"> </w:t>
      </w:r>
    </w:p>
    <w:p w14:paraId="152639A2" w14:textId="5D604915" w:rsidR="00DD632C" w:rsidRPr="00856DDE" w:rsidRDefault="00DD632C" w:rsidP="009C5AA4">
      <w:pPr>
        <w:tabs>
          <w:tab w:val="left" w:pos="9781"/>
        </w:tabs>
        <w:ind w:left="275" w:right="426"/>
        <w:jc w:val="both"/>
        <w:rPr>
          <w:sz w:val="20"/>
          <w:szCs w:val="20"/>
        </w:rPr>
      </w:pPr>
      <w:r w:rsidRPr="00856DDE">
        <w:rPr>
          <w:sz w:val="20"/>
          <w:szCs w:val="20"/>
        </w:rPr>
        <w:t xml:space="preserve">Ustalenia zawarte w niniejszej SST dotyczą zasad prowadzenia robót związanych z </w:t>
      </w:r>
      <w:r w:rsidR="0077205E" w:rsidRPr="00856DDE">
        <w:rPr>
          <w:sz w:val="20"/>
          <w:szCs w:val="20"/>
        </w:rPr>
        <w:t>ustawieniem krawężników kamiennych na ławie betonowej z oporem. Opór powinien sięgać minimum do 2/3 wysoko</w:t>
      </w:r>
      <w:r w:rsidR="00856DDE" w:rsidRPr="00856DDE">
        <w:rPr>
          <w:sz w:val="20"/>
          <w:szCs w:val="20"/>
        </w:rPr>
        <w:t xml:space="preserve">ści krawężnika i posiadać gr. min. 15 cm. Krawężniki kamienne stosuje się </w:t>
      </w:r>
      <w:r w:rsidR="00856DDE">
        <w:rPr>
          <w:sz w:val="20"/>
          <w:szCs w:val="20"/>
        </w:rPr>
        <w:t>w</w:t>
      </w:r>
      <w:r w:rsidR="00856DDE" w:rsidRPr="00856DDE">
        <w:rPr>
          <w:sz w:val="20"/>
          <w:szCs w:val="20"/>
        </w:rPr>
        <w:t xml:space="preserve"> obszarze skrzyżowania/w tym ronda/, w miejscach gdzie będzie przejeżdżał pojazd, takie jak: pierścień wyspy centralnej, zatoki autobusowe, „pachwiny” na łukach, </w:t>
      </w:r>
      <w:r w:rsidR="00856DDE">
        <w:rPr>
          <w:sz w:val="20"/>
          <w:szCs w:val="20"/>
        </w:rPr>
        <w:t xml:space="preserve">w </w:t>
      </w:r>
      <w:r w:rsidR="00856DDE" w:rsidRPr="00856DDE">
        <w:rPr>
          <w:sz w:val="20"/>
          <w:szCs w:val="20"/>
        </w:rPr>
        <w:t xml:space="preserve">obszarze miejsc gdzie pojazd może pojawić się wyjątkowo tj.: wyspy segregacyjne otwierające, azyle dla pieszych. </w:t>
      </w:r>
    </w:p>
    <w:p w14:paraId="1655FF09" w14:textId="2F5E36DF" w:rsidR="00F6181D" w:rsidRPr="003460F3" w:rsidRDefault="00F0173A" w:rsidP="009C5AA4">
      <w:pPr>
        <w:pStyle w:val="Nagwek1"/>
        <w:numPr>
          <w:ilvl w:val="1"/>
          <w:numId w:val="1"/>
        </w:numPr>
        <w:tabs>
          <w:tab w:val="left" w:pos="1134"/>
          <w:tab w:val="left" w:pos="9781"/>
        </w:tabs>
        <w:spacing w:before="156" w:after="240"/>
        <w:ind w:left="275" w:right="426" w:firstLine="0"/>
        <w:jc w:val="both"/>
      </w:pPr>
      <w:bookmarkStart w:id="26" w:name="_Toc118446759"/>
      <w:bookmarkStart w:id="27" w:name="_Toc120217161"/>
      <w:bookmarkStart w:id="28" w:name="_Toc120289421"/>
      <w:bookmarkStart w:id="29" w:name="_Toc120294067"/>
      <w:bookmarkStart w:id="30" w:name="_Toc120458005"/>
      <w:r w:rsidRPr="003460F3">
        <w:t>Określenia</w:t>
      </w:r>
      <w:r w:rsidRPr="003460F3">
        <w:rPr>
          <w:spacing w:val="-2"/>
        </w:rPr>
        <w:t xml:space="preserve"> </w:t>
      </w:r>
      <w:r w:rsidRPr="003460F3">
        <w:t>podstawowe</w:t>
      </w:r>
      <w:bookmarkEnd w:id="26"/>
      <w:bookmarkEnd w:id="27"/>
      <w:bookmarkEnd w:id="28"/>
      <w:bookmarkEnd w:id="29"/>
      <w:bookmarkEnd w:id="30"/>
    </w:p>
    <w:p w14:paraId="1BA2466F" w14:textId="33AF1D33" w:rsidR="00856DDE" w:rsidRPr="003460F3" w:rsidRDefault="003460F3" w:rsidP="009C5AA4">
      <w:pPr>
        <w:tabs>
          <w:tab w:val="left" w:pos="9781"/>
        </w:tabs>
        <w:spacing w:line="239" w:lineRule="auto"/>
        <w:ind w:left="275" w:right="426"/>
        <w:rPr>
          <w:rFonts w:eastAsia="Tahoma"/>
          <w:sz w:val="20"/>
          <w:szCs w:val="20"/>
        </w:rPr>
      </w:pPr>
      <w:r w:rsidRPr="003460F3">
        <w:rPr>
          <w:rFonts w:eastAsia="Tahoma"/>
          <w:b/>
          <w:sz w:val="20"/>
          <w:szCs w:val="20"/>
        </w:rPr>
        <w:t>1.5</w:t>
      </w:r>
      <w:r w:rsidR="00856DDE" w:rsidRPr="003460F3">
        <w:rPr>
          <w:rFonts w:eastAsia="Tahoma"/>
          <w:b/>
          <w:sz w:val="20"/>
          <w:szCs w:val="20"/>
        </w:rPr>
        <w:t>.1.</w:t>
      </w:r>
      <w:r w:rsidR="00856DDE" w:rsidRPr="003460F3">
        <w:rPr>
          <w:rFonts w:eastAsia="Tahoma"/>
          <w:sz w:val="20"/>
          <w:szCs w:val="20"/>
        </w:rPr>
        <w:t xml:space="preserve"> Krawężniki kamienne - belki kamienne ograniczające chodniki dla pieszych, pasy dzielące, wyspy kierujące oraz nawierzchnie drogowe.</w:t>
      </w:r>
    </w:p>
    <w:p w14:paraId="4F7D4568" w14:textId="77777777" w:rsidR="00CB0844" w:rsidRPr="003460F3" w:rsidRDefault="00CB0844" w:rsidP="009C5AA4">
      <w:pPr>
        <w:tabs>
          <w:tab w:val="left" w:pos="9781"/>
        </w:tabs>
        <w:spacing w:before="119"/>
        <w:ind w:left="275" w:right="426"/>
        <w:jc w:val="both"/>
        <w:rPr>
          <w:sz w:val="20"/>
          <w:szCs w:val="20"/>
        </w:rPr>
      </w:pPr>
      <w:r w:rsidRPr="003460F3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4DD39E43" w14:textId="77777777" w:rsidR="003D76EA" w:rsidRPr="003460F3" w:rsidRDefault="003D76EA" w:rsidP="009C5AA4">
      <w:pPr>
        <w:tabs>
          <w:tab w:val="left" w:pos="9781"/>
        </w:tabs>
        <w:spacing w:before="119"/>
        <w:ind w:left="275" w:right="426"/>
        <w:jc w:val="both"/>
        <w:rPr>
          <w:sz w:val="20"/>
          <w:szCs w:val="20"/>
        </w:rPr>
      </w:pPr>
    </w:p>
    <w:p w14:paraId="6F4D1416" w14:textId="23296893" w:rsidR="005E72CC" w:rsidRPr="003460F3" w:rsidRDefault="005E72CC" w:rsidP="009C5AA4">
      <w:pPr>
        <w:pStyle w:val="Nagwek2"/>
        <w:tabs>
          <w:tab w:val="left" w:pos="1134"/>
          <w:tab w:val="left" w:pos="9781"/>
        </w:tabs>
        <w:spacing w:after="240"/>
        <w:ind w:left="275" w:right="426"/>
        <w:jc w:val="both"/>
        <w:rPr>
          <w:rFonts w:ascii="Verdana" w:hAnsi="Verdana"/>
          <w:b/>
          <w:color w:val="auto"/>
          <w:sz w:val="20"/>
          <w:szCs w:val="20"/>
        </w:rPr>
      </w:pPr>
      <w:r w:rsidRPr="003460F3">
        <w:rPr>
          <w:rFonts w:ascii="Verdana" w:hAnsi="Verdana"/>
          <w:b/>
          <w:color w:val="auto"/>
          <w:sz w:val="20"/>
          <w:szCs w:val="20"/>
        </w:rPr>
        <w:t xml:space="preserve"> </w:t>
      </w:r>
      <w:bookmarkStart w:id="31" w:name="_Toc120289422"/>
      <w:bookmarkStart w:id="32" w:name="_Toc120294068"/>
      <w:bookmarkStart w:id="33" w:name="_Toc120458006"/>
      <w:r w:rsidRPr="003460F3">
        <w:rPr>
          <w:rFonts w:ascii="Verdana" w:hAnsi="Verdana"/>
          <w:b/>
          <w:color w:val="auto"/>
          <w:sz w:val="20"/>
          <w:szCs w:val="20"/>
        </w:rPr>
        <w:t xml:space="preserve">1.6. </w:t>
      </w:r>
      <w:r w:rsidR="00DA5C2E" w:rsidRPr="003460F3">
        <w:rPr>
          <w:rFonts w:ascii="Verdana" w:hAnsi="Verdana"/>
          <w:b/>
          <w:color w:val="auto"/>
          <w:sz w:val="20"/>
          <w:szCs w:val="20"/>
        </w:rPr>
        <w:tab/>
      </w:r>
      <w:bookmarkEnd w:id="31"/>
      <w:r w:rsidR="00947B17" w:rsidRPr="003460F3">
        <w:rPr>
          <w:rFonts w:ascii="Verdana" w:hAnsi="Verdana"/>
          <w:b/>
          <w:color w:val="auto"/>
          <w:sz w:val="20"/>
          <w:szCs w:val="20"/>
        </w:rPr>
        <w:t>Szczegółowe wymagania dotyczące robót</w:t>
      </w:r>
      <w:bookmarkEnd w:id="32"/>
      <w:bookmarkEnd w:id="33"/>
      <w:r w:rsidR="00947B17" w:rsidRPr="003460F3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55C6EF9" w14:textId="4FDA48F2" w:rsidR="00F6181D" w:rsidRPr="003460F3" w:rsidRDefault="00947B17" w:rsidP="009C5AA4">
      <w:pPr>
        <w:pStyle w:val="Tekstpodstawowy"/>
        <w:tabs>
          <w:tab w:val="left" w:pos="9781"/>
        </w:tabs>
        <w:spacing w:before="10" w:after="240"/>
        <w:ind w:left="275" w:right="426"/>
      </w:pPr>
      <w:r w:rsidRPr="003460F3">
        <w:t>Szczegółowe wymagania dotyczące robót podano w SST D-M-00.00.00 „Wymagania ogólne” pkt 1.6.</w:t>
      </w:r>
    </w:p>
    <w:p w14:paraId="761A2DDB" w14:textId="77777777" w:rsidR="00F6181D" w:rsidRPr="003460F3" w:rsidRDefault="00F0173A" w:rsidP="009C5AA4">
      <w:pPr>
        <w:pStyle w:val="Nagwek1"/>
        <w:numPr>
          <w:ilvl w:val="0"/>
          <w:numId w:val="1"/>
        </w:numPr>
        <w:tabs>
          <w:tab w:val="left" w:pos="1134"/>
          <w:tab w:val="left" w:pos="9781"/>
        </w:tabs>
        <w:spacing w:after="240"/>
        <w:ind w:left="275" w:right="426" w:firstLine="0"/>
        <w:jc w:val="both"/>
      </w:pPr>
      <w:bookmarkStart w:id="34" w:name="_Toc120458007"/>
      <w:r w:rsidRPr="003460F3">
        <w:t>MATERIAŁY</w:t>
      </w:r>
      <w:bookmarkEnd w:id="34"/>
    </w:p>
    <w:p w14:paraId="03F9439E" w14:textId="115FD6C7" w:rsidR="009C5AA4" w:rsidRPr="009C5AA4" w:rsidRDefault="009C5AA4" w:rsidP="009C5AA4">
      <w:pPr>
        <w:pStyle w:val="Akapitzlist"/>
        <w:numPr>
          <w:ilvl w:val="1"/>
          <w:numId w:val="1"/>
        </w:numPr>
        <w:spacing w:line="0" w:lineRule="atLeast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Szczegółowe</w:t>
      </w:r>
      <w:r w:rsidRPr="009C5AA4">
        <w:rPr>
          <w:rFonts w:ascii="Tahoma" w:eastAsia="Tahoma" w:hAnsi="Tahoma"/>
          <w:b/>
        </w:rPr>
        <w:t xml:space="preserve"> wymagania dotyczące materiałów</w:t>
      </w:r>
    </w:p>
    <w:p w14:paraId="5F9C67E5" w14:textId="693AF28B" w:rsidR="009C5AA4" w:rsidRPr="009C5AA4" w:rsidRDefault="009C5AA4" w:rsidP="009C5AA4">
      <w:pPr>
        <w:pStyle w:val="Akapitzlist"/>
        <w:spacing w:line="0" w:lineRule="atLeast"/>
        <w:ind w:left="284" w:firstLine="0"/>
        <w:rPr>
          <w:rFonts w:ascii="Tahoma" w:eastAsia="Tahoma" w:hAnsi="Tahoma"/>
          <w:b/>
        </w:rPr>
      </w:pPr>
      <w:r>
        <w:rPr>
          <w:rFonts w:ascii="Tahoma" w:eastAsia="Tahoma" w:hAnsi="Tahoma"/>
        </w:rPr>
        <w:t>Szczegółowe</w:t>
      </w:r>
      <w:r w:rsidRPr="009C5AA4">
        <w:rPr>
          <w:rFonts w:ascii="Tahoma" w:eastAsia="Tahoma" w:hAnsi="Tahoma"/>
        </w:rPr>
        <w:t xml:space="preserve"> wymagania dotyczące materiałów, ich pozyskiwania i składowania, podano w </w:t>
      </w:r>
      <w:r>
        <w:rPr>
          <w:rFonts w:ascii="Tahoma" w:eastAsia="Tahoma" w:hAnsi="Tahoma"/>
        </w:rPr>
        <w:t>S</w:t>
      </w:r>
      <w:r w:rsidRPr="009C5AA4">
        <w:rPr>
          <w:rFonts w:ascii="Tahoma" w:eastAsia="Tahoma" w:hAnsi="Tahoma"/>
        </w:rPr>
        <w:t>ST D-M-00.00.00 „Wymagania ogólne” pkt 2.</w:t>
      </w:r>
    </w:p>
    <w:p w14:paraId="2BCF3A47" w14:textId="7D92A016" w:rsidR="00521358" w:rsidRPr="009C5AA4" w:rsidRDefault="00521358" w:rsidP="009C5AA4">
      <w:pPr>
        <w:pStyle w:val="Akapitzlist"/>
        <w:numPr>
          <w:ilvl w:val="1"/>
          <w:numId w:val="1"/>
        </w:numPr>
        <w:tabs>
          <w:tab w:val="left" w:pos="9781"/>
        </w:tabs>
        <w:spacing w:line="0" w:lineRule="atLeast"/>
        <w:ind w:right="426"/>
        <w:rPr>
          <w:rFonts w:eastAsia="Tahoma"/>
          <w:b/>
          <w:sz w:val="20"/>
          <w:szCs w:val="20"/>
        </w:rPr>
      </w:pPr>
      <w:r w:rsidRPr="009C5AA4">
        <w:rPr>
          <w:rFonts w:eastAsia="Tahoma"/>
          <w:b/>
          <w:sz w:val="20"/>
          <w:szCs w:val="20"/>
        </w:rPr>
        <w:t>Stosowane materiały</w:t>
      </w:r>
    </w:p>
    <w:p w14:paraId="47FB8CA2" w14:textId="77777777" w:rsidR="00521358" w:rsidRPr="003460F3" w:rsidRDefault="00521358" w:rsidP="009C5AA4">
      <w:pPr>
        <w:tabs>
          <w:tab w:val="left" w:pos="9781"/>
        </w:tabs>
        <w:spacing w:line="121" w:lineRule="exact"/>
        <w:ind w:left="275" w:right="426"/>
        <w:rPr>
          <w:rFonts w:eastAsia="Times New Roman"/>
          <w:sz w:val="20"/>
          <w:szCs w:val="20"/>
        </w:rPr>
      </w:pPr>
    </w:p>
    <w:p w14:paraId="184F10B3" w14:textId="77777777" w:rsidR="00521358" w:rsidRDefault="00521358" w:rsidP="009C5AA4">
      <w:pPr>
        <w:tabs>
          <w:tab w:val="left" w:pos="9781"/>
        </w:tabs>
        <w:spacing w:line="0" w:lineRule="atLeast"/>
        <w:ind w:left="275" w:right="426"/>
        <w:rPr>
          <w:rFonts w:eastAsia="Tahoma"/>
          <w:sz w:val="20"/>
          <w:szCs w:val="20"/>
        </w:rPr>
      </w:pPr>
      <w:r w:rsidRPr="003460F3">
        <w:rPr>
          <w:rFonts w:eastAsia="Tahoma"/>
          <w:sz w:val="20"/>
          <w:szCs w:val="20"/>
        </w:rPr>
        <w:t>Materiałami stosowanymi do wykonania krawężników kamiennych  są:</w:t>
      </w:r>
    </w:p>
    <w:p w14:paraId="716BEC85" w14:textId="2BE78134" w:rsidR="009C5AA4" w:rsidRDefault="009C5AA4" w:rsidP="009C5AA4">
      <w:pPr>
        <w:widowControl/>
        <w:numPr>
          <w:ilvl w:val="0"/>
          <w:numId w:val="3"/>
        </w:numPr>
        <w:tabs>
          <w:tab w:val="left" w:pos="281"/>
        </w:tabs>
        <w:autoSpaceDE/>
        <w:autoSpaceDN/>
        <w:spacing w:line="235" w:lineRule="auto"/>
        <w:ind w:left="281" w:firstLine="3"/>
        <w:rPr>
          <w:rFonts w:ascii="Symbol" w:eastAsia="Symbol" w:hAnsi="Symbol"/>
        </w:rPr>
      </w:pPr>
      <w:r>
        <w:rPr>
          <w:rFonts w:ascii="Tahoma" w:eastAsia="Tahoma" w:hAnsi="Tahoma"/>
        </w:rPr>
        <w:t>krawężniki odpowiadające wymaganiom PN-B-11213,</w:t>
      </w:r>
    </w:p>
    <w:p w14:paraId="545DAD24" w14:textId="77777777" w:rsidR="009C5AA4" w:rsidRDefault="009C5AA4" w:rsidP="009C5AA4">
      <w:pPr>
        <w:spacing w:line="2" w:lineRule="exact"/>
        <w:ind w:firstLine="3"/>
        <w:rPr>
          <w:rFonts w:ascii="Symbol" w:eastAsia="Symbol" w:hAnsi="Symbol"/>
        </w:rPr>
      </w:pPr>
    </w:p>
    <w:p w14:paraId="28C81D9D" w14:textId="77777777" w:rsidR="009C5AA4" w:rsidRDefault="009C5AA4" w:rsidP="009C5AA4">
      <w:pPr>
        <w:widowControl/>
        <w:numPr>
          <w:ilvl w:val="0"/>
          <w:numId w:val="3"/>
        </w:numPr>
        <w:tabs>
          <w:tab w:val="left" w:pos="281"/>
        </w:tabs>
        <w:autoSpaceDE/>
        <w:autoSpaceDN/>
        <w:spacing w:line="235" w:lineRule="auto"/>
        <w:ind w:left="281" w:firstLine="3"/>
        <w:rPr>
          <w:rFonts w:ascii="Symbol" w:eastAsia="Symbol" w:hAnsi="Symbol"/>
        </w:rPr>
      </w:pPr>
      <w:r>
        <w:rPr>
          <w:rFonts w:ascii="Tahoma" w:eastAsia="Tahoma" w:hAnsi="Tahoma"/>
        </w:rPr>
        <w:t>piasek na podsypkę,</w:t>
      </w:r>
    </w:p>
    <w:p w14:paraId="2024DA37" w14:textId="77777777" w:rsidR="009C5AA4" w:rsidRDefault="009C5AA4" w:rsidP="009C5AA4">
      <w:pPr>
        <w:spacing w:line="2" w:lineRule="exact"/>
        <w:ind w:firstLine="3"/>
        <w:rPr>
          <w:rFonts w:ascii="Symbol" w:eastAsia="Symbol" w:hAnsi="Symbol"/>
        </w:rPr>
      </w:pPr>
    </w:p>
    <w:p w14:paraId="40D44314" w14:textId="77777777" w:rsidR="009C5AA4" w:rsidRDefault="009C5AA4" w:rsidP="009C5AA4">
      <w:pPr>
        <w:widowControl/>
        <w:numPr>
          <w:ilvl w:val="0"/>
          <w:numId w:val="3"/>
        </w:numPr>
        <w:tabs>
          <w:tab w:val="left" w:pos="281"/>
        </w:tabs>
        <w:autoSpaceDE/>
        <w:autoSpaceDN/>
        <w:spacing w:line="235" w:lineRule="auto"/>
        <w:ind w:left="281" w:firstLine="3"/>
        <w:rPr>
          <w:rFonts w:ascii="Symbol" w:eastAsia="Symbol" w:hAnsi="Symbol"/>
        </w:rPr>
      </w:pPr>
      <w:r>
        <w:rPr>
          <w:rFonts w:ascii="Tahoma" w:eastAsia="Tahoma" w:hAnsi="Tahoma"/>
        </w:rPr>
        <w:t>cement do podsypki cementowo-piaskowej i zaprawy,</w:t>
      </w:r>
    </w:p>
    <w:p w14:paraId="2A1E1A9A" w14:textId="77777777" w:rsidR="009C5AA4" w:rsidRDefault="009C5AA4" w:rsidP="009C5AA4">
      <w:pPr>
        <w:spacing w:line="2" w:lineRule="exact"/>
        <w:ind w:firstLine="3"/>
        <w:rPr>
          <w:rFonts w:ascii="Symbol" w:eastAsia="Symbol" w:hAnsi="Symbol"/>
        </w:rPr>
      </w:pPr>
    </w:p>
    <w:p w14:paraId="5FEF5298" w14:textId="77777777" w:rsidR="009C5AA4" w:rsidRDefault="009C5AA4" w:rsidP="009C5AA4">
      <w:pPr>
        <w:widowControl/>
        <w:numPr>
          <w:ilvl w:val="0"/>
          <w:numId w:val="3"/>
        </w:numPr>
        <w:tabs>
          <w:tab w:val="left" w:pos="281"/>
        </w:tabs>
        <w:autoSpaceDE/>
        <w:autoSpaceDN/>
        <w:spacing w:line="235" w:lineRule="auto"/>
        <w:ind w:left="281" w:firstLine="3"/>
        <w:rPr>
          <w:rFonts w:ascii="Symbol" w:eastAsia="Symbol" w:hAnsi="Symbol"/>
        </w:rPr>
      </w:pPr>
      <w:r>
        <w:rPr>
          <w:rFonts w:ascii="Tahoma" w:eastAsia="Tahoma" w:hAnsi="Tahoma"/>
        </w:rPr>
        <w:t>woda,</w:t>
      </w:r>
    </w:p>
    <w:p w14:paraId="2254F1E9" w14:textId="6307D09A" w:rsidR="00521358" w:rsidRPr="003460F3" w:rsidRDefault="00980729" w:rsidP="00980729">
      <w:pPr>
        <w:tabs>
          <w:tab w:val="left" w:pos="9781"/>
        </w:tabs>
        <w:spacing w:line="239" w:lineRule="auto"/>
        <w:ind w:left="275" w:right="426"/>
        <w:rPr>
          <w:rFonts w:eastAsia="Tahoma"/>
          <w:sz w:val="20"/>
          <w:szCs w:val="20"/>
        </w:rPr>
      </w:pPr>
      <w:r>
        <w:rPr>
          <w:rFonts w:eastAsia="Tahoma"/>
          <w:sz w:val="20"/>
          <w:szCs w:val="20"/>
        </w:rPr>
        <w:tab/>
      </w:r>
      <w:r w:rsidR="00521358" w:rsidRPr="003460F3">
        <w:rPr>
          <w:rFonts w:eastAsia="Tahoma"/>
          <w:sz w:val="20"/>
          <w:szCs w:val="20"/>
        </w:rPr>
        <w:t>oraz materiały do wykonania odpowiedniego rodzaju ław pod ustawienie krawężników, zgodnie z S</w:t>
      </w:r>
      <w:r>
        <w:rPr>
          <w:rFonts w:eastAsia="Tahoma"/>
          <w:sz w:val="20"/>
          <w:szCs w:val="20"/>
        </w:rPr>
        <w:t>S</w:t>
      </w:r>
      <w:r w:rsidR="00521358" w:rsidRPr="003460F3">
        <w:rPr>
          <w:rFonts w:eastAsia="Tahoma"/>
          <w:sz w:val="20"/>
          <w:szCs w:val="20"/>
        </w:rPr>
        <w:t>T D-08.01.01 „Krawężniki betonowe”.</w:t>
      </w:r>
    </w:p>
    <w:p w14:paraId="2FD130F7" w14:textId="77777777" w:rsidR="00521358" w:rsidRPr="003460F3" w:rsidRDefault="00521358" w:rsidP="009C5AA4">
      <w:pPr>
        <w:tabs>
          <w:tab w:val="left" w:pos="9781"/>
        </w:tabs>
        <w:spacing w:line="122" w:lineRule="exact"/>
        <w:ind w:left="275" w:right="426"/>
        <w:rPr>
          <w:rFonts w:eastAsia="Times New Roman"/>
          <w:sz w:val="20"/>
          <w:szCs w:val="20"/>
        </w:rPr>
      </w:pPr>
    </w:p>
    <w:p w14:paraId="07504BDA" w14:textId="25C7FCBD" w:rsidR="00521358" w:rsidRPr="003460F3" w:rsidRDefault="00521358" w:rsidP="00980729">
      <w:pPr>
        <w:pStyle w:val="Nagwek1"/>
      </w:pPr>
      <w:bookmarkStart w:id="35" w:name="_Toc120458008"/>
      <w:r w:rsidRPr="003460F3">
        <w:t xml:space="preserve">2.3. </w:t>
      </w:r>
      <w:r w:rsidR="00980729">
        <w:tab/>
      </w:r>
      <w:r w:rsidRPr="003460F3">
        <w:t>Krawężniki kamienne</w:t>
      </w:r>
      <w:bookmarkEnd w:id="35"/>
    </w:p>
    <w:p w14:paraId="2E7A8EB0" w14:textId="77777777" w:rsidR="00521358" w:rsidRPr="003460F3" w:rsidRDefault="00521358" w:rsidP="00980729">
      <w:pPr>
        <w:tabs>
          <w:tab w:val="left" w:pos="9781"/>
        </w:tabs>
        <w:spacing w:line="121" w:lineRule="exact"/>
        <w:ind w:left="275" w:right="426"/>
        <w:rPr>
          <w:rFonts w:eastAsia="Times New Roman"/>
          <w:sz w:val="20"/>
          <w:szCs w:val="20"/>
        </w:rPr>
      </w:pPr>
    </w:p>
    <w:p w14:paraId="02575291" w14:textId="5087EA26" w:rsidR="00980729" w:rsidRDefault="00521358" w:rsidP="00980729">
      <w:pPr>
        <w:spacing w:line="239" w:lineRule="auto"/>
        <w:ind w:left="275" w:right="220"/>
        <w:rPr>
          <w:rFonts w:ascii="Tahoma" w:eastAsia="Tahoma" w:hAnsi="Tahoma"/>
        </w:rPr>
      </w:pPr>
      <w:r w:rsidRPr="003460F3">
        <w:rPr>
          <w:rFonts w:eastAsia="Tahoma"/>
          <w:sz w:val="20"/>
          <w:szCs w:val="20"/>
        </w:rPr>
        <w:t>Materiałem stosowanym wg dokumentacji proj</w:t>
      </w:r>
      <w:r w:rsidR="00980729">
        <w:rPr>
          <w:rFonts w:eastAsia="Tahoma"/>
          <w:sz w:val="20"/>
          <w:szCs w:val="20"/>
        </w:rPr>
        <w:t>ektowej są krawężniki kamienne</w:t>
      </w:r>
    </w:p>
    <w:p w14:paraId="6B072EEF" w14:textId="070E7414" w:rsidR="00980729" w:rsidRDefault="00980729" w:rsidP="00980729">
      <w:pPr>
        <w:spacing w:line="0" w:lineRule="atLeast"/>
        <w:ind w:left="275"/>
        <w:rPr>
          <w:rFonts w:ascii="Tahoma" w:eastAsia="Tahoma" w:hAnsi="Tahoma"/>
        </w:rPr>
      </w:pPr>
      <w:r>
        <w:rPr>
          <w:rFonts w:ascii="Tahoma" w:eastAsia="Tahoma" w:hAnsi="Tahoma"/>
        </w:rPr>
        <w:t xml:space="preserve">rodzaju A, klasy I, o wysokości </w:t>
      </w:r>
      <w:r w:rsidR="00335DB1">
        <w:rPr>
          <w:rFonts w:ascii="Tahoma" w:eastAsia="Tahoma" w:hAnsi="Tahoma"/>
        </w:rPr>
        <w:t>30</w:t>
      </w:r>
      <w:r>
        <w:rPr>
          <w:rFonts w:ascii="Tahoma" w:eastAsia="Tahoma" w:hAnsi="Tahoma"/>
        </w:rPr>
        <w:t xml:space="preserve"> cm.</w:t>
      </w:r>
    </w:p>
    <w:p w14:paraId="7AE60767" w14:textId="77777777" w:rsidR="00521358" w:rsidRPr="003460F3" w:rsidRDefault="00521358" w:rsidP="00980729">
      <w:pPr>
        <w:tabs>
          <w:tab w:val="left" w:pos="9781"/>
        </w:tabs>
        <w:spacing w:line="121" w:lineRule="exact"/>
        <w:ind w:right="426"/>
        <w:rPr>
          <w:rFonts w:eastAsia="Times New Roman"/>
          <w:sz w:val="20"/>
          <w:szCs w:val="20"/>
        </w:rPr>
      </w:pPr>
    </w:p>
    <w:p w14:paraId="65B6FA52" w14:textId="0DA071C1" w:rsidR="00521358" w:rsidRPr="003460F3" w:rsidRDefault="00521358" w:rsidP="00980729">
      <w:pPr>
        <w:pStyle w:val="Nagwek1"/>
      </w:pPr>
      <w:bookmarkStart w:id="36" w:name="_Toc120458009"/>
      <w:r w:rsidRPr="003460F3">
        <w:t xml:space="preserve">2.4. </w:t>
      </w:r>
      <w:r w:rsidR="00980729">
        <w:tab/>
      </w:r>
      <w:r w:rsidRPr="003460F3">
        <w:t>Krawężniki kamienne - wymagania techniczne</w:t>
      </w:r>
      <w:bookmarkEnd w:id="36"/>
    </w:p>
    <w:p w14:paraId="37ADF807" w14:textId="77777777" w:rsidR="00521358" w:rsidRPr="003460F3" w:rsidRDefault="00521358" w:rsidP="009C5AA4">
      <w:pPr>
        <w:tabs>
          <w:tab w:val="left" w:pos="9781"/>
        </w:tabs>
        <w:spacing w:line="119" w:lineRule="exact"/>
        <w:ind w:left="275" w:right="426"/>
        <w:rPr>
          <w:rFonts w:eastAsia="Times New Roman"/>
          <w:sz w:val="20"/>
          <w:szCs w:val="20"/>
        </w:rPr>
      </w:pPr>
    </w:p>
    <w:p w14:paraId="2810EF06" w14:textId="5F38A4F2" w:rsidR="00521358" w:rsidRPr="00980729" w:rsidRDefault="00521358" w:rsidP="00980729">
      <w:pPr>
        <w:tabs>
          <w:tab w:val="left" w:pos="1134"/>
          <w:tab w:val="left" w:pos="9781"/>
        </w:tabs>
        <w:spacing w:line="0" w:lineRule="atLeast"/>
        <w:ind w:left="275" w:right="426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 xml:space="preserve">2.4.1. </w:t>
      </w:r>
      <w:r w:rsidR="00980729">
        <w:rPr>
          <w:rFonts w:eastAsia="Tahoma"/>
          <w:sz w:val="20"/>
          <w:szCs w:val="20"/>
        </w:rPr>
        <w:tab/>
      </w:r>
      <w:r w:rsidRPr="00980729">
        <w:rPr>
          <w:rFonts w:eastAsia="Tahoma"/>
          <w:sz w:val="20"/>
          <w:szCs w:val="20"/>
        </w:rPr>
        <w:t>Cechy fizyczne i wytrzymałościowe</w:t>
      </w:r>
    </w:p>
    <w:p w14:paraId="2CAE81C9" w14:textId="77777777" w:rsidR="00521358" w:rsidRPr="003460F3" w:rsidRDefault="00521358" w:rsidP="003460F3">
      <w:pPr>
        <w:tabs>
          <w:tab w:val="left" w:pos="9639"/>
          <w:tab w:val="left" w:pos="9923"/>
        </w:tabs>
        <w:spacing w:line="123" w:lineRule="exact"/>
        <w:ind w:left="275" w:right="629"/>
        <w:rPr>
          <w:rFonts w:eastAsia="Times New Roman"/>
          <w:sz w:val="20"/>
          <w:szCs w:val="20"/>
        </w:rPr>
      </w:pPr>
    </w:p>
    <w:p w14:paraId="27135FA0" w14:textId="3E257CF1" w:rsidR="00521358" w:rsidRDefault="00521358" w:rsidP="00980729">
      <w:pPr>
        <w:tabs>
          <w:tab w:val="left" w:pos="9639"/>
          <w:tab w:val="left" w:pos="9923"/>
        </w:tabs>
        <w:spacing w:line="239" w:lineRule="auto"/>
        <w:ind w:left="275" w:right="568"/>
        <w:jc w:val="both"/>
        <w:rPr>
          <w:rFonts w:ascii="Tahoma" w:eastAsia="Tahoma" w:hAnsi="Tahoma"/>
        </w:rPr>
      </w:pPr>
      <w:r w:rsidRPr="003460F3">
        <w:rPr>
          <w:rFonts w:eastAsia="Tahoma"/>
          <w:sz w:val="20"/>
          <w:szCs w:val="20"/>
        </w:rPr>
        <w:t>Materiałem do wyrobu krawężników są bl</w:t>
      </w:r>
      <w:r w:rsidR="00980729">
        <w:rPr>
          <w:rFonts w:eastAsia="Tahoma"/>
          <w:sz w:val="20"/>
          <w:szCs w:val="20"/>
        </w:rPr>
        <w:t xml:space="preserve">oki kamienne ze skał magmowych, </w:t>
      </w:r>
      <w:r w:rsidR="00980729">
        <w:rPr>
          <w:rFonts w:ascii="Tahoma" w:eastAsia="Tahoma" w:hAnsi="Tahoma"/>
        </w:rPr>
        <w:lastRenderedPageBreak/>
        <w:t>osadowych lub metamorficznych, o cechach fizycznych i wytrzymałościowych określonych w tablicy 1.</w:t>
      </w:r>
    </w:p>
    <w:p w14:paraId="2783C088" w14:textId="77777777" w:rsidR="00980729" w:rsidRDefault="00980729" w:rsidP="00980729">
      <w:pPr>
        <w:tabs>
          <w:tab w:val="left" w:pos="9639"/>
          <w:tab w:val="left" w:pos="9923"/>
        </w:tabs>
        <w:spacing w:line="239" w:lineRule="auto"/>
        <w:ind w:left="275" w:right="568"/>
        <w:jc w:val="both"/>
        <w:rPr>
          <w:rFonts w:ascii="Tahoma" w:eastAsia="Tahoma" w:hAnsi="Tahoma"/>
        </w:rPr>
      </w:pPr>
    </w:p>
    <w:p w14:paraId="76AA256B" w14:textId="047DE405" w:rsidR="00980729" w:rsidRPr="00980729" w:rsidRDefault="00980729" w:rsidP="00980729">
      <w:pPr>
        <w:spacing w:line="0" w:lineRule="atLeast"/>
        <w:ind w:left="80" w:firstLine="195"/>
        <w:rPr>
          <w:rFonts w:ascii="Tahoma" w:eastAsia="Tahoma" w:hAnsi="Tahoma"/>
        </w:rPr>
      </w:pPr>
      <w:r>
        <w:rPr>
          <w:rFonts w:ascii="Tahoma" w:eastAsia="Tahoma" w:hAnsi="Tahoma"/>
        </w:rPr>
        <w:t>Tablica 1. Cechy fizyczne i wytrzymałościowe krawężników kamiennych</w:t>
      </w:r>
    </w:p>
    <w:p w14:paraId="2D483326" w14:textId="77777777" w:rsidR="00521358" w:rsidRDefault="00521358" w:rsidP="00521358">
      <w:pPr>
        <w:spacing w:line="103" w:lineRule="exact"/>
        <w:rPr>
          <w:rFonts w:ascii="Times New Roman" w:eastAsia="Times New Roman" w:hAnsi="Times New Roman"/>
        </w:rPr>
      </w:pPr>
    </w:p>
    <w:tbl>
      <w:tblPr>
        <w:tblW w:w="9052" w:type="dxa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5500"/>
        <w:gridCol w:w="1820"/>
        <w:gridCol w:w="1332"/>
      </w:tblGrid>
      <w:tr w:rsidR="00521358" w14:paraId="0D22EE66" w14:textId="77777777" w:rsidTr="00980729">
        <w:trPr>
          <w:trHeight w:val="29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F1138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w w:val="98"/>
                <w:sz w:val="18"/>
                <w:szCs w:val="18"/>
              </w:rPr>
            </w:pPr>
            <w:r w:rsidRPr="00980729">
              <w:rPr>
                <w:rFonts w:eastAsia="Tahoma"/>
                <w:w w:val="98"/>
                <w:sz w:val="18"/>
                <w:szCs w:val="18"/>
              </w:rPr>
              <w:t>Lp.</w:t>
            </w:r>
          </w:p>
        </w:tc>
        <w:tc>
          <w:tcPr>
            <w:tcW w:w="55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47813" w14:textId="77777777" w:rsidR="00521358" w:rsidRPr="00980729" w:rsidRDefault="00521358" w:rsidP="00980729">
            <w:pPr>
              <w:spacing w:line="0" w:lineRule="atLeast"/>
              <w:ind w:left="2160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Cechy fizyczne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F2580" w14:textId="77777777" w:rsidR="00521358" w:rsidRPr="00980729" w:rsidRDefault="00521358" w:rsidP="00980729">
            <w:pPr>
              <w:spacing w:line="0" w:lineRule="atLeast"/>
              <w:ind w:left="420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Wymagania</w:t>
            </w:r>
          </w:p>
        </w:tc>
        <w:tc>
          <w:tcPr>
            <w:tcW w:w="1332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E8CF8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Badania</w:t>
            </w:r>
          </w:p>
        </w:tc>
      </w:tr>
      <w:tr w:rsidR="00521358" w14:paraId="1BA33A36" w14:textId="77777777" w:rsidTr="00980729">
        <w:trPr>
          <w:trHeight w:val="139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06C8A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0A76D" w14:textId="77777777" w:rsidR="00521358" w:rsidRPr="00980729" w:rsidRDefault="00521358" w:rsidP="00980729">
            <w:pPr>
              <w:spacing w:line="216" w:lineRule="exact"/>
              <w:ind w:left="1960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i wytrzymałościowe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3CA68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8A809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521358" w14:paraId="371F1B0D" w14:textId="77777777" w:rsidTr="00980729">
        <w:trPr>
          <w:trHeight w:val="77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CF465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8AB2D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B80B7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5BC22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521358" w14:paraId="69EA083F" w14:textId="77777777" w:rsidTr="00980729">
        <w:trPr>
          <w:trHeight w:val="62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D8C20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58FA1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3CB75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13BA6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521358" w14:paraId="16247C55" w14:textId="77777777" w:rsidTr="00980729">
        <w:trPr>
          <w:trHeight w:val="20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24B5AE3" w14:textId="77777777" w:rsidR="00521358" w:rsidRPr="00980729" w:rsidRDefault="00521358" w:rsidP="00980729">
            <w:pPr>
              <w:spacing w:line="20" w:lineRule="exac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EA95ED" w14:textId="77777777" w:rsidR="00521358" w:rsidRPr="00980729" w:rsidRDefault="00521358" w:rsidP="00980729">
            <w:pPr>
              <w:spacing w:line="20" w:lineRule="exac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86684F" w14:textId="77777777" w:rsidR="00521358" w:rsidRPr="00980729" w:rsidRDefault="00521358" w:rsidP="00980729">
            <w:pPr>
              <w:spacing w:line="20" w:lineRule="exac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C75EB" w14:textId="77777777" w:rsidR="00521358" w:rsidRPr="00980729" w:rsidRDefault="00521358" w:rsidP="00980729">
            <w:pPr>
              <w:spacing w:line="20" w:lineRule="exact"/>
              <w:rPr>
                <w:rFonts w:eastAsia="Times New Roman"/>
                <w:sz w:val="18"/>
                <w:szCs w:val="18"/>
              </w:rPr>
            </w:pPr>
          </w:p>
        </w:tc>
      </w:tr>
      <w:tr w:rsidR="00521358" w14:paraId="3AA6A851" w14:textId="77777777" w:rsidTr="00980729">
        <w:trPr>
          <w:trHeight w:val="262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2990E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1</w:t>
            </w:r>
          </w:p>
        </w:tc>
        <w:tc>
          <w:tcPr>
            <w:tcW w:w="5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66F34" w14:textId="77777777" w:rsidR="00521358" w:rsidRPr="00980729" w:rsidRDefault="00521358" w:rsidP="00980729">
            <w:pPr>
              <w:spacing w:line="0" w:lineRule="atLeast"/>
              <w:ind w:left="60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 xml:space="preserve">Wytrzymałość na ściskanie w stanie powietrzno-suchym, </w:t>
            </w:r>
            <w:proofErr w:type="spellStart"/>
            <w:r w:rsidRPr="00980729">
              <w:rPr>
                <w:rFonts w:eastAsia="Tahoma"/>
                <w:sz w:val="18"/>
                <w:szCs w:val="18"/>
              </w:rPr>
              <w:t>MPa</w:t>
            </w:r>
            <w:proofErr w:type="spellEnd"/>
            <w:r w:rsidRPr="00980729">
              <w:rPr>
                <w:rFonts w:eastAsia="Tahoma"/>
                <w:sz w:val="18"/>
                <w:szCs w:val="18"/>
              </w:rPr>
              <w:t>, co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4CB73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130</w:t>
            </w:r>
          </w:p>
        </w:tc>
        <w:tc>
          <w:tcPr>
            <w:tcW w:w="133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DBF09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PN-EN 1926</w:t>
            </w:r>
          </w:p>
        </w:tc>
      </w:tr>
      <w:tr w:rsidR="00521358" w14:paraId="5BEAFF31" w14:textId="77777777" w:rsidTr="00980729">
        <w:trPr>
          <w:trHeight w:val="108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4026B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D984B" w14:textId="77777777" w:rsidR="00521358" w:rsidRPr="00980729" w:rsidRDefault="00521358" w:rsidP="00980729">
            <w:pPr>
              <w:spacing w:line="216" w:lineRule="exact"/>
              <w:ind w:left="60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najmniej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82B6B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68E39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521358" w14:paraId="65D0ECD0" w14:textId="77777777" w:rsidTr="00980729">
        <w:trPr>
          <w:trHeight w:val="108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CD683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E4604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0ECE9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D57E0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521358" w14:paraId="716680A3" w14:textId="77777777" w:rsidTr="00980729">
        <w:trPr>
          <w:trHeight w:val="62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9C97F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3D01F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41DEF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D5083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521358" w14:paraId="2786CFB8" w14:textId="77777777" w:rsidTr="00980729">
        <w:trPr>
          <w:trHeight w:val="270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1DF42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2</w:t>
            </w:r>
          </w:p>
        </w:tc>
        <w:tc>
          <w:tcPr>
            <w:tcW w:w="5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EAC23" w14:textId="77777777" w:rsidR="00521358" w:rsidRPr="00980729" w:rsidRDefault="00521358" w:rsidP="00980729">
            <w:pPr>
              <w:spacing w:line="0" w:lineRule="atLeast"/>
              <w:ind w:left="60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 xml:space="preserve">Ścieralność na tarczy </w:t>
            </w:r>
            <w:proofErr w:type="spellStart"/>
            <w:r w:rsidRPr="00980729">
              <w:rPr>
                <w:rFonts w:eastAsia="Tahoma"/>
                <w:sz w:val="18"/>
                <w:szCs w:val="18"/>
              </w:rPr>
              <w:t>Boehmego</w:t>
            </w:r>
            <w:proofErr w:type="spellEnd"/>
            <w:r w:rsidRPr="00980729">
              <w:rPr>
                <w:rFonts w:eastAsia="Tahoma"/>
                <w:sz w:val="18"/>
                <w:szCs w:val="18"/>
              </w:rPr>
              <w:t>, w mm, nie więcej niż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E874A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2,5</w:t>
            </w:r>
          </w:p>
        </w:tc>
        <w:tc>
          <w:tcPr>
            <w:tcW w:w="133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91427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PN-B-04111</w:t>
            </w:r>
          </w:p>
        </w:tc>
      </w:tr>
      <w:tr w:rsidR="00521358" w14:paraId="21C35352" w14:textId="77777777" w:rsidTr="00980729">
        <w:trPr>
          <w:trHeight w:val="60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B9E7B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BD050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3822D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5CE97" w14:textId="77777777" w:rsidR="00521358" w:rsidRPr="00980729" w:rsidRDefault="00521358" w:rsidP="00980729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521358" w14:paraId="7F678784" w14:textId="77777777" w:rsidTr="00980729">
        <w:trPr>
          <w:trHeight w:val="273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029CF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3</w:t>
            </w:r>
          </w:p>
        </w:tc>
        <w:tc>
          <w:tcPr>
            <w:tcW w:w="5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0CCCE" w14:textId="77777777" w:rsidR="00521358" w:rsidRPr="00980729" w:rsidRDefault="00521358" w:rsidP="00980729">
            <w:pPr>
              <w:spacing w:line="0" w:lineRule="atLeast"/>
              <w:ind w:left="60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Nasiąkliwość wodą, w %, nie więcej niż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DD62C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sz w:val="18"/>
                <w:szCs w:val="18"/>
              </w:rPr>
            </w:pPr>
            <w:r w:rsidRPr="00980729">
              <w:rPr>
                <w:rFonts w:eastAsia="Tahoma"/>
                <w:sz w:val="18"/>
                <w:szCs w:val="18"/>
              </w:rPr>
              <w:t>0,5</w:t>
            </w:r>
          </w:p>
        </w:tc>
        <w:tc>
          <w:tcPr>
            <w:tcW w:w="133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E3FEF" w14:textId="77777777" w:rsidR="00521358" w:rsidRPr="00980729" w:rsidRDefault="00521358" w:rsidP="00980729">
            <w:pPr>
              <w:spacing w:line="0" w:lineRule="atLeast"/>
              <w:jc w:val="center"/>
              <w:rPr>
                <w:rFonts w:eastAsia="Tahoma"/>
                <w:w w:val="98"/>
                <w:sz w:val="18"/>
                <w:szCs w:val="18"/>
              </w:rPr>
            </w:pPr>
            <w:r w:rsidRPr="00980729">
              <w:rPr>
                <w:rFonts w:eastAsia="Tahoma"/>
                <w:w w:val="98"/>
                <w:sz w:val="18"/>
                <w:szCs w:val="18"/>
              </w:rPr>
              <w:t>PN-EN 13755</w:t>
            </w:r>
          </w:p>
        </w:tc>
      </w:tr>
      <w:tr w:rsidR="00521358" w14:paraId="1F0D9C11" w14:textId="77777777" w:rsidTr="00980729">
        <w:trPr>
          <w:trHeight w:val="62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6CF09" w14:textId="77777777" w:rsidR="00521358" w:rsidRDefault="00521358" w:rsidP="00FB286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15E52" w14:textId="77777777" w:rsidR="00521358" w:rsidRDefault="00521358" w:rsidP="00FB286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C1F4B" w14:textId="77777777" w:rsidR="00521358" w:rsidRDefault="00521358" w:rsidP="00FB286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9603C" w14:textId="77777777" w:rsidR="00521358" w:rsidRDefault="00521358" w:rsidP="00FB286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</w:tbl>
    <w:p w14:paraId="6828E97A" w14:textId="77777777" w:rsidR="00521358" w:rsidRDefault="00521358" w:rsidP="00521358">
      <w:pPr>
        <w:spacing w:line="238" w:lineRule="exact"/>
        <w:rPr>
          <w:rFonts w:ascii="Times New Roman" w:eastAsia="Times New Roman" w:hAnsi="Times New Roman"/>
        </w:rPr>
      </w:pPr>
    </w:p>
    <w:p w14:paraId="0491DB18" w14:textId="5D369A3C" w:rsidR="00521358" w:rsidRPr="00980729" w:rsidRDefault="00521358" w:rsidP="00980729">
      <w:pPr>
        <w:tabs>
          <w:tab w:val="left" w:pos="1134"/>
        </w:tabs>
        <w:spacing w:after="240"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 xml:space="preserve">2.4.2. </w:t>
      </w:r>
      <w:r w:rsidR="00980729">
        <w:rPr>
          <w:rFonts w:eastAsia="Tahoma"/>
          <w:sz w:val="20"/>
          <w:szCs w:val="20"/>
        </w:rPr>
        <w:tab/>
      </w:r>
      <w:r w:rsidRPr="00980729">
        <w:rPr>
          <w:rFonts w:eastAsia="Tahoma"/>
          <w:sz w:val="20"/>
          <w:szCs w:val="20"/>
        </w:rPr>
        <w:t>Kształt i wymiary</w:t>
      </w:r>
    </w:p>
    <w:p w14:paraId="6A8EDF2A" w14:textId="705A2E72" w:rsidR="00521358" w:rsidRDefault="00980729" w:rsidP="00980729">
      <w:pPr>
        <w:spacing w:line="238" w:lineRule="auto"/>
        <w:ind w:left="284" w:right="426"/>
        <w:jc w:val="both"/>
        <w:rPr>
          <w:rFonts w:eastAsia="Tahoma"/>
          <w:sz w:val="20"/>
          <w:szCs w:val="20"/>
        </w:rPr>
      </w:pPr>
      <w:r>
        <w:rPr>
          <w:rFonts w:eastAsia="Tahoma"/>
          <w:sz w:val="20"/>
          <w:szCs w:val="20"/>
        </w:rPr>
        <w:t xml:space="preserve">Należy </w:t>
      </w:r>
      <w:r w:rsidR="00521358" w:rsidRPr="00980729">
        <w:rPr>
          <w:rFonts w:eastAsia="Tahoma"/>
          <w:sz w:val="20"/>
          <w:szCs w:val="20"/>
        </w:rPr>
        <w:t xml:space="preserve">stosować krawężnik kamienny o wymiarach </w:t>
      </w:r>
      <w:r w:rsidR="00335DB1">
        <w:rPr>
          <w:rFonts w:eastAsia="Tahoma"/>
          <w:sz w:val="20"/>
          <w:szCs w:val="20"/>
        </w:rPr>
        <w:t>20x30</w:t>
      </w:r>
      <w:r w:rsidR="00521358" w:rsidRPr="00980729">
        <w:rPr>
          <w:rFonts w:eastAsia="Tahoma"/>
          <w:sz w:val="20"/>
          <w:szCs w:val="20"/>
        </w:rPr>
        <w:t xml:space="preserve"> cm.</w:t>
      </w:r>
    </w:p>
    <w:p w14:paraId="41464174" w14:textId="77777777" w:rsidR="00980729" w:rsidRPr="00980729" w:rsidRDefault="00980729" w:rsidP="00980729">
      <w:pPr>
        <w:spacing w:line="238" w:lineRule="auto"/>
        <w:ind w:left="284" w:right="426"/>
        <w:jc w:val="both"/>
        <w:rPr>
          <w:rFonts w:eastAsia="Tahoma"/>
          <w:sz w:val="20"/>
          <w:szCs w:val="20"/>
        </w:rPr>
      </w:pPr>
    </w:p>
    <w:p w14:paraId="061437FC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0B47D56" w14:textId="1714E3F4" w:rsidR="00521358" w:rsidRPr="00980729" w:rsidRDefault="00521358" w:rsidP="00980729">
      <w:pPr>
        <w:tabs>
          <w:tab w:val="left" w:pos="1134"/>
        </w:tabs>
        <w:spacing w:after="240"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 xml:space="preserve">2.4.3. </w:t>
      </w:r>
      <w:r w:rsidR="00980729">
        <w:rPr>
          <w:rFonts w:eastAsia="Tahoma"/>
          <w:sz w:val="20"/>
          <w:szCs w:val="20"/>
        </w:rPr>
        <w:tab/>
      </w:r>
      <w:r w:rsidRPr="00980729">
        <w:rPr>
          <w:rFonts w:eastAsia="Tahoma"/>
          <w:sz w:val="20"/>
          <w:szCs w:val="20"/>
        </w:rPr>
        <w:t>Wygląd zewnętrzny</w:t>
      </w:r>
    </w:p>
    <w:p w14:paraId="37392E53" w14:textId="77777777" w:rsidR="00521358" w:rsidRPr="00980729" w:rsidRDefault="00521358" w:rsidP="00980729">
      <w:pPr>
        <w:spacing w:line="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27B2F714" w14:textId="017EEAB1" w:rsidR="00521358" w:rsidRPr="00980729" w:rsidRDefault="00521358" w:rsidP="00980729">
      <w:pPr>
        <w:spacing w:line="239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W ocenie wyglądu zewnętrznego krawężników kamiennych należy brać pod uwagę u</w:t>
      </w:r>
      <w:r w:rsidR="00980729">
        <w:rPr>
          <w:rFonts w:eastAsia="Tahoma"/>
          <w:sz w:val="20"/>
          <w:szCs w:val="20"/>
        </w:rPr>
        <w:t>stalenia normy BN-66/6775-01</w:t>
      </w:r>
      <w:r w:rsidRPr="00980729">
        <w:rPr>
          <w:rFonts w:eastAsia="Tahoma"/>
          <w:sz w:val="20"/>
          <w:szCs w:val="20"/>
        </w:rPr>
        <w:t>.</w:t>
      </w:r>
    </w:p>
    <w:p w14:paraId="17BD7456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A24D850" w14:textId="7CFE44D7" w:rsidR="00521358" w:rsidRPr="00980729" w:rsidRDefault="00521358" w:rsidP="00980729">
      <w:pPr>
        <w:pStyle w:val="Nagwek1"/>
      </w:pPr>
      <w:bookmarkStart w:id="37" w:name="_Toc120458010"/>
      <w:r w:rsidRPr="00980729">
        <w:t xml:space="preserve">2.7. </w:t>
      </w:r>
      <w:r w:rsidR="00980729">
        <w:tab/>
      </w:r>
      <w:r w:rsidRPr="00980729">
        <w:t>Materiały na podsypkę i do zapraw</w:t>
      </w:r>
      <w:bookmarkEnd w:id="37"/>
    </w:p>
    <w:p w14:paraId="528B636E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48726228" w14:textId="47547F81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 xml:space="preserve">Wymagania jak w </w:t>
      </w:r>
      <w:r w:rsidR="00980729">
        <w:rPr>
          <w:rFonts w:eastAsia="Tahoma"/>
          <w:sz w:val="20"/>
          <w:szCs w:val="20"/>
        </w:rPr>
        <w:t>S</w:t>
      </w:r>
      <w:r w:rsidRPr="00980729">
        <w:rPr>
          <w:rFonts w:eastAsia="Tahoma"/>
          <w:sz w:val="20"/>
          <w:szCs w:val="20"/>
        </w:rPr>
        <w:t>ST D–08.01.01. „Krawężniki betonowe”.</w:t>
      </w:r>
    </w:p>
    <w:p w14:paraId="672C6149" w14:textId="77777777" w:rsidR="00521358" w:rsidRPr="00980729" w:rsidRDefault="00521358" w:rsidP="00980729">
      <w:pPr>
        <w:spacing w:line="12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2C9D15AC" w14:textId="41A3E351" w:rsidR="00521358" w:rsidRPr="00980729" w:rsidRDefault="00521358" w:rsidP="00980729">
      <w:pPr>
        <w:pStyle w:val="Nagwek1"/>
      </w:pPr>
      <w:bookmarkStart w:id="38" w:name="_Toc120458011"/>
      <w:r w:rsidRPr="00980729">
        <w:t xml:space="preserve">2.8. </w:t>
      </w:r>
      <w:r w:rsidR="00980729">
        <w:tab/>
      </w:r>
      <w:r w:rsidRPr="00980729">
        <w:t>Materiały na ławy i masa zalewowa</w:t>
      </w:r>
      <w:bookmarkEnd w:id="38"/>
    </w:p>
    <w:p w14:paraId="21552D65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BBB4139" w14:textId="0FAC52FB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 xml:space="preserve">Wymagania jak w </w:t>
      </w:r>
      <w:r w:rsidR="00980729">
        <w:rPr>
          <w:rFonts w:eastAsia="Tahoma"/>
          <w:sz w:val="20"/>
          <w:szCs w:val="20"/>
        </w:rPr>
        <w:t>S</w:t>
      </w:r>
      <w:r w:rsidRPr="00980729">
        <w:rPr>
          <w:rFonts w:eastAsia="Tahoma"/>
          <w:sz w:val="20"/>
          <w:szCs w:val="20"/>
        </w:rPr>
        <w:t>ST D–08.01.01. „Krawężniki betonowe”.</w:t>
      </w:r>
    </w:p>
    <w:p w14:paraId="39C21720" w14:textId="77777777" w:rsidR="00521358" w:rsidRPr="00980729" w:rsidRDefault="00521358" w:rsidP="00980729">
      <w:pPr>
        <w:spacing w:line="24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65FE0449" w14:textId="60F815DD" w:rsidR="00521358" w:rsidRPr="00980729" w:rsidRDefault="00521358" w:rsidP="00980729">
      <w:pPr>
        <w:pStyle w:val="Nagwek1"/>
      </w:pPr>
      <w:bookmarkStart w:id="39" w:name="_Toc120458012"/>
      <w:r w:rsidRPr="00980729">
        <w:t xml:space="preserve">3. </w:t>
      </w:r>
      <w:r w:rsidR="00980729">
        <w:tab/>
      </w:r>
      <w:r w:rsidRPr="00980729">
        <w:t>SPRZĘT</w:t>
      </w:r>
      <w:bookmarkEnd w:id="39"/>
    </w:p>
    <w:p w14:paraId="5CF7404E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146ADDBC" w14:textId="286B9F58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Wymagania jak w S</w:t>
      </w:r>
      <w:r w:rsidR="00980729">
        <w:rPr>
          <w:rFonts w:eastAsia="Tahoma"/>
          <w:sz w:val="20"/>
          <w:szCs w:val="20"/>
        </w:rPr>
        <w:t>S</w:t>
      </w:r>
      <w:r w:rsidRPr="00980729">
        <w:rPr>
          <w:rFonts w:eastAsia="Tahoma"/>
          <w:sz w:val="20"/>
          <w:szCs w:val="20"/>
        </w:rPr>
        <w:t>T D–08.01.01. „Krawężniki betonowe”.</w:t>
      </w:r>
    </w:p>
    <w:p w14:paraId="62C93043" w14:textId="77777777" w:rsidR="00521358" w:rsidRPr="00980729" w:rsidRDefault="00521358" w:rsidP="00980729">
      <w:pPr>
        <w:spacing w:line="24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B4D78AB" w14:textId="43CCC790" w:rsidR="00521358" w:rsidRPr="00980729" w:rsidRDefault="00521358" w:rsidP="00980729">
      <w:pPr>
        <w:pStyle w:val="Nagwek1"/>
      </w:pPr>
      <w:bookmarkStart w:id="40" w:name="_Toc120458013"/>
      <w:r w:rsidRPr="00980729">
        <w:t xml:space="preserve">4. </w:t>
      </w:r>
      <w:r w:rsidR="00980729">
        <w:tab/>
      </w:r>
      <w:r w:rsidRPr="00980729">
        <w:t>TRANSPORT</w:t>
      </w:r>
      <w:bookmarkEnd w:id="40"/>
    </w:p>
    <w:p w14:paraId="461B1B67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18F70BBF" w14:textId="2210BBED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Wymagania jak w S</w:t>
      </w:r>
      <w:r w:rsidR="00980729">
        <w:rPr>
          <w:rFonts w:eastAsia="Tahoma"/>
          <w:sz w:val="20"/>
          <w:szCs w:val="20"/>
        </w:rPr>
        <w:t>S</w:t>
      </w:r>
      <w:r w:rsidRPr="00980729">
        <w:rPr>
          <w:rFonts w:eastAsia="Tahoma"/>
          <w:sz w:val="20"/>
          <w:szCs w:val="20"/>
        </w:rPr>
        <w:t>T D–08.01.01. „Krawężniki betonowe”.</w:t>
      </w:r>
    </w:p>
    <w:p w14:paraId="588A633F" w14:textId="77777777" w:rsidR="00521358" w:rsidRPr="00980729" w:rsidRDefault="00521358" w:rsidP="00980729">
      <w:pPr>
        <w:spacing w:line="23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00E3EF4" w14:textId="7A53E903" w:rsidR="00521358" w:rsidRPr="00980729" w:rsidRDefault="00521358" w:rsidP="00980729">
      <w:pPr>
        <w:pStyle w:val="Nagwek1"/>
      </w:pPr>
      <w:bookmarkStart w:id="41" w:name="_Toc120458014"/>
      <w:r w:rsidRPr="00980729">
        <w:t xml:space="preserve">5. </w:t>
      </w:r>
      <w:r w:rsidR="00980729">
        <w:tab/>
      </w:r>
      <w:r w:rsidRPr="00980729">
        <w:t>WYKONANIE ROBÓT</w:t>
      </w:r>
      <w:bookmarkEnd w:id="41"/>
    </w:p>
    <w:p w14:paraId="4D91F307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73252BF5" w14:textId="2BC5F2EB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Wymagania jak w S</w:t>
      </w:r>
      <w:r w:rsidR="00980729">
        <w:rPr>
          <w:rFonts w:eastAsia="Tahoma"/>
          <w:sz w:val="20"/>
          <w:szCs w:val="20"/>
        </w:rPr>
        <w:t>S</w:t>
      </w:r>
      <w:r w:rsidRPr="00980729">
        <w:rPr>
          <w:rFonts w:eastAsia="Tahoma"/>
          <w:sz w:val="20"/>
          <w:szCs w:val="20"/>
        </w:rPr>
        <w:t>T D–08.01.01. „Krawężniki betonowe”.</w:t>
      </w:r>
    </w:p>
    <w:p w14:paraId="74143CBA" w14:textId="77777777" w:rsidR="00521358" w:rsidRPr="00980729" w:rsidRDefault="00521358" w:rsidP="00980729">
      <w:pPr>
        <w:spacing w:line="23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476AACF9" w14:textId="6404F5AA" w:rsidR="00521358" w:rsidRPr="00980729" w:rsidRDefault="00521358" w:rsidP="00980729">
      <w:pPr>
        <w:pStyle w:val="Nagwek1"/>
      </w:pPr>
      <w:bookmarkStart w:id="42" w:name="_Toc120458015"/>
      <w:r w:rsidRPr="00980729">
        <w:t xml:space="preserve">6. </w:t>
      </w:r>
      <w:r w:rsidR="00980729">
        <w:tab/>
      </w:r>
      <w:r w:rsidRPr="00980729">
        <w:t>KONTROLA JAKOŚCI ROBÓT</w:t>
      </w:r>
      <w:bookmarkEnd w:id="42"/>
    </w:p>
    <w:p w14:paraId="627A9A9B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148A1776" w14:textId="4FFB24A6" w:rsidR="00521358" w:rsidRPr="00980729" w:rsidRDefault="00521358" w:rsidP="00980729">
      <w:pPr>
        <w:pStyle w:val="Nagwek1"/>
      </w:pPr>
      <w:bookmarkStart w:id="43" w:name="_Toc120458016"/>
      <w:r w:rsidRPr="00980729">
        <w:t xml:space="preserve">6.1. </w:t>
      </w:r>
      <w:r w:rsidR="00980729">
        <w:tab/>
        <w:t>Szczegółowe</w:t>
      </w:r>
      <w:r w:rsidRPr="00980729">
        <w:t xml:space="preserve"> zasady kontroli jakości robót</w:t>
      </w:r>
      <w:bookmarkEnd w:id="43"/>
    </w:p>
    <w:p w14:paraId="10B2B39B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32A0FB74" w14:textId="7379E516" w:rsidR="00521358" w:rsidRPr="00980729" w:rsidRDefault="00980729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>
        <w:rPr>
          <w:rFonts w:eastAsia="Tahoma"/>
          <w:sz w:val="20"/>
          <w:szCs w:val="20"/>
        </w:rPr>
        <w:t>Szczegółowe</w:t>
      </w:r>
      <w:r w:rsidR="00521358" w:rsidRPr="00980729">
        <w:rPr>
          <w:rFonts w:eastAsia="Tahoma"/>
          <w:sz w:val="20"/>
          <w:szCs w:val="20"/>
        </w:rPr>
        <w:t xml:space="preserve"> zasady kontroli jakości robót podano w S</w:t>
      </w:r>
      <w:r>
        <w:rPr>
          <w:rFonts w:eastAsia="Tahoma"/>
          <w:sz w:val="20"/>
          <w:szCs w:val="20"/>
        </w:rPr>
        <w:t>S</w:t>
      </w:r>
      <w:r w:rsidR="00521358" w:rsidRPr="00980729">
        <w:rPr>
          <w:rFonts w:eastAsia="Tahoma"/>
          <w:sz w:val="20"/>
          <w:szCs w:val="20"/>
        </w:rPr>
        <w:t>T D-M-00.00.00 „Wymagania ogólne” pkt 6.</w:t>
      </w:r>
    </w:p>
    <w:p w14:paraId="64DB692E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05EF3F5" w14:textId="26567687" w:rsidR="00521358" w:rsidRPr="00980729" w:rsidRDefault="00521358" w:rsidP="00980729">
      <w:pPr>
        <w:pStyle w:val="Nagwek1"/>
      </w:pPr>
      <w:bookmarkStart w:id="44" w:name="_Toc120458017"/>
      <w:r w:rsidRPr="00980729">
        <w:t xml:space="preserve">6.2. </w:t>
      </w:r>
      <w:r w:rsidR="00980729">
        <w:tab/>
      </w:r>
      <w:r w:rsidRPr="00980729">
        <w:t>Badania przed przystąpieniem do robót</w:t>
      </w:r>
      <w:bookmarkEnd w:id="44"/>
    </w:p>
    <w:p w14:paraId="65C1ED92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BC3E5A2" w14:textId="5E0DE47F" w:rsidR="00521358" w:rsidRPr="00980729" w:rsidRDefault="00521358" w:rsidP="00980729">
      <w:pPr>
        <w:tabs>
          <w:tab w:val="left" w:pos="1134"/>
        </w:tabs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 xml:space="preserve">6.2.1. </w:t>
      </w:r>
      <w:r w:rsidR="00980729">
        <w:rPr>
          <w:rFonts w:eastAsia="Tahoma"/>
          <w:sz w:val="20"/>
          <w:szCs w:val="20"/>
        </w:rPr>
        <w:tab/>
      </w:r>
      <w:r w:rsidRPr="00980729">
        <w:rPr>
          <w:rFonts w:eastAsia="Tahoma"/>
          <w:sz w:val="20"/>
          <w:szCs w:val="20"/>
        </w:rPr>
        <w:t>Badania krawężników</w:t>
      </w:r>
    </w:p>
    <w:p w14:paraId="054D71C4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07120DA0" w14:textId="77777777" w:rsidR="00521358" w:rsidRPr="00980729" w:rsidRDefault="00521358" w:rsidP="00980729">
      <w:pPr>
        <w:spacing w:line="239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Przed przystąpieniem do robót Wykonawca powinien wykonać badania materiałów przeznaczonych do ustawienia krawężników kamiennych i przedstawić wyniki tych badań Inżynierowi do akceptacji.</w:t>
      </w:r>
    </w:p>
    <w:p w14:paraId="5AA1670D" w14:textId="77777777" w:rsidR="00521358" w:rsidRPr="00980729" w:rsidRDefault="00521358" w:rsidP="00980729">
      <w:pPr>
        <w:spacing w:line="24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7CFB32D6" w14:textId="5603B29A" w:rsidR="00521358" w:rsidRPr="00980729" w:rsidRDefault="00521358" w:rsidP="00980729">
      <w:pPr>
        <w:tabs>
          <w:tab w:val="left" w:pos="1134"/>
        </w:tabs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 xml:space="preserve">6.2.2. </w:t>
      </w:r>
      <w:r w:rsidR="00980729">
        <w:rPr>
          <w:rFonts w:eastAsia="Tahoma"/>
          <w:sz w:val="20"/>
          <w:szCs w:val="20"/>
        </w:rPr>
        <w:tab/>
      </w:r>
      <w:r w:rsidRPr="00980729">
        <w:rPr>
          <w:rFonts w:eastAsia="Tahoma"/>
          <w:sz w:val="20"/>
          <w:szCs w:val="20"/>
        </w:rPr>
        <w:t>Badania krawężników</w:t>
      </w:r>
    </w:p>
    <w:p w14:paraId="4BDA4922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10346DE7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Badania krawężników kamiennych obejmują:</w:t>
      </w:r>
    </w:p>
    <w:p w14:paraId="4668F482" w14:textId="66E7AF4F" w:rsidR="00521358" w:rsidRPr="00980729" w:rsidRDefault="00980729" w:rsidP="00980729">
      <w:pPr>
        <w:widowControl/>
        <w:tabs>
          <w:tab w:val="left" w:pos="360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sprawdzenie cech zewnętrznych,</w:t>
      </w:r>
    </w:p>
    <w:p w14:paraId="437904E8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14BDFE6B" w14:textId="613D6315" w:rsidR="00521358" w:rsidRPr="00980729" w:rsidRDefault="00980729" w:rsidP="00980729">
      <w:pPr>
        <w:widowControl/>
        <w:tabs>
          <w:tab w:val="left" w:pos="360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badania laboratoryjne.</w:t>
      </w:r>
    </w:p>
    <w:p w14:paraId="57D602F2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483BE0F8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Sprawdzenie cech zewnętrznych obejmuje:</w:t>
      </w:r>
    </w:p>
    <w:p w14:paraId="3C3268E1" w14:textId="0B0F005D" w:rsidR="00521358" w:rsidRPr="00980729" w:rsidRDefault="00980729" w:rsidP="00980729">
      <w:pPr>
        <w:widowControl/>
        <w:tabs>
          <w:tab w:val="left" w:pos="360"/>
        </w:tabs>
        <w:autoSpaceDE/>
        <w:autoSpaceDN/>
        <w:spacing w:line="237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sprawdzenie kształtu, wymiarów i wyglądu zewnętrznego,</w:t>
      </w:r>
    </w:p>
    <w:p w14:paraId="74EE50F5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75A4C34F" w14:textId="598D9A31" w:rsidR="00521358" w:rsidRPr="00980729" w:rsidRDefault="00980729" w:rsidP="00980729">
      <w:pPr>
        <w:widowControl/>
        <w:tabs>
          <w:tab w:val="left" w:pos="360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lastRenderedPageBreak/>
        <w:t xml:space="preserve">- </w:t>
      </w:r>
      <w:r w:rsidR="00521358" w:rsidRPr="00980729">
        <w:rPr>
          <w:rFonts w:eastAsia="Tahoma"/>
          <w:sz w:val="20"/>
          <w:szCs w:val="20"/>
        </w:rPr>
        <w:t>sprawdzenie wad i uszkodzeń.</w:t>
      </w:r>
    </w:p>
    <w:p w14:paraId="4CE594BA" w14:textId="77777777" w:rsidR="00521358" w:rsidRPr="00980729" w:rsidRDefault="00521358" w:rsidP="00980729">
      <w:pPr>
        <w:spacing w:line="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1E87741F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Badanie laboratoryjne obejmuje:</w:t>
      </w:r>
    </w:p>
    <w:p w14:paraId="4D7E86DA" w14:textId="286142A9" w:rsidR="00521358" w:rsidRPr="00980729" w:rsidRDefault="00980729" w:rsidP="00980729">
      <w:pPr>
        <w:widowControl/>
        <w:tabs>
          <w:tab w:val="left" w:pos="360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badanie nasiąkliwości wodą,</w:t>
      </w:r>
    </w:p>
    <w:p w14:paraId="0A083EE0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7960DD81" w14:textId="364726B6" w:rsidR="00521358" w:rsidRPr="00980729" w:rsidRDefault="00980729" w:rsidP="00980729">
      <w:pPr>
        <w:widowControl/>
        <w:tabs>
          <w:tab w:val="left" w:pos="360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badanie odporności na zamrażanie,</w:t>
      </w:r>
    </w:p>
    <w:p w14:paraId="141E9EAB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75B9C2E3" w14:textId="62A4DB5F" w:rsidR="00521358" w:rsidRPr="00980729" w:rsidRDefault="00980729" w:rsidP="00980729">
      <w:pPr>
        <w:widowControl/>
        <w:tabs>
          <w:tab w:val="left" w:pos="360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badanie wytrzymałości na ściskanie,</w:t>
      </w:r>
    </w:p>
    <w:p w14:paraId="72766437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42EF8598" w14:textId="6980C1BF" w:rsidR="00521358" w:rsidRPr="00980729" w:rsidRDefault="00980729" w:rsidP="00980729">
      <w:pPr>
        <w:widowControl/>
        <w:tabs>
          <w:tab w:val="left" w:pos="360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 xml:space="preserve">badanie ścieralności na tarczy </w:t>
      </w:r>
      <w:proofErr w:type="spellStart"/>
      <w:r w:rsidR="00521358" w:rsidRPr="00980729">
        <w:rPr>
          <w:rFonts w:eastAsia="Tahoma"/>
          <w:sz w:val="20"/>
          <w:szCs w:val="20"/>
        </w:rPr>
        <w:t>Boehmego</w:t>
      </w:r>
      <w:proofErr w:type="spellEnd"/>
      <w:r w:rsidR="00521358" w:rsidRPr="00980729">
        <w:rPr>
          <w:rFonts w:eastAsia="Tahoma"/>
          <w:sz w:val="20"/>
          <w:szCs w:val="20"/>
        </w:rPr>
        <w:t>,</w:t>
      </w:r>
    </w:p>
    <w:p w14:paraId="79E4FC8B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60B96904" w14:textId="0B95AE5B" w:rsidR="00521358" w:rsidRPr="00980729" w:rsidRDefault="00980729" w:rsidP="00980729">
      <w:pPr>
        <w:widowControl/>
        <w:tabs>
          <w:tab w:val="left" w:pos="360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badanie wytrzymałości na uderzenie.</w:t>
      </w:r>
    </w:p>
    <w:p w14:paraId="43FE967E" w14:textId="77777777" w:rsidR="00521358" w:rsidRPr="00980729" w:rsidRDefault="00521358" w:rsidP="00980729">
      <w:pPr>
        <w:spacing w:line="4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34F145E6" w14:textId="18E04A06" w:rsidR="00521358" w:rsidRPr="00980729" w:rsidRDefault="00521358" w:rsidP="00980729">
      <w:pPr>
        <w:spacing w:line="239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Sprawdzenie cech zewnętrznych należy przeprowadzać przy każdorazowym odbiorze partii krawężników. Badanie laboratoryjne należy przeprowadzać na polecenie Inżyniera na próbkach materiału kamiennego, z którego wykonano krawężniki, a w przypadkach spornych - na próbkach wyciętych z zakwestionowanych krawężników, zgodnie z wymaganiami tablicy 1.</w:t>
      </w:r>
    </w:p>
    <w:p w14:paraId="7C273116" w14:textId="77777777" w:rsidR="00521358" w:rsidRPr="00980729" w:rsidRDefault="00521358" w:rsidP="00980729">
      <w:pPr>
        <w:spacing w:line="239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W skład partii przeznaczonej do badań powinny wchodzić krawężniki jednakowego typu, klasy, rodzaju, odmiany i wielkości. Wielkość partii nie powinna przekraczać 400 sztuk.</w:t>
      </w:r>
    </w:p>
    <w:p w14:paraId="069324AA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5F2310C" w14:textId="77777777" w:rsidR="00521358" w:rsidRPr="00980729" w:rsidRDefault="00521358" w:rsidP="00980729">
      <w:pPr>
        <w:spacing w:line="239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W przypadku przedstawienia większej ilości krawężników, należy dostawę podzielić na partie składające się co najwyżej z 400 sztuk.</w:t>
      </w:r>
    </w:p>
    <w:p w14:paraId="47508867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778DB899" w14:textId="4A078335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Pobieranie próbek materiału kamiennego należy przeprowadzać wg PN-B-067</w:t>
      </w:r>
      <w:r w:rsidR="00980729">
        <w:rPr>
          <w:rFonts w:eastAsia="Tahoma"/>
          <w:sz w:val="20"/>
          <w:szCs w:val="20"/>
        </w:rPr>
        <w:t>20</w:t>
      </w:r>
      <w:r w:rsidRPr="00980729">
        <w:rPr>
          <w:rFonts w:eastAsia="Tahoma"/>
          <w:sz w:val="20"/>
          <w:szCs w:val="20"/>
        </w:rPr>
        <w:t>. Sprawdzenie kształtu i wymiarów należy przeprowadzać poprzez oględziny zewnętrzne zgodnie z wymaganiami tablicy 2, 3 lub 4 oraz pomiar przy pomocy linii z podziałką milimetrową z dokładnością do 0,1 cm.</w:t>
      </w:r>
    </w:p>
    <w:p w14:paraId="12EFB5FA" w14:textId="77777777" w:rsidR="00521358" w:rsidRPr="00980729" w:rsidRDefault="00521358" w:rsidP="00980729">
      <w:pPr>
        <w:spacing w:line="243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1124FCFB" w14:textId="1D415C07" w:rsidR="00521358" w:rsidRPr="00980729" w:rsidRDefault="00521358" w:rsidP="00980729">
      <w:pPr>
        <w:spacing w:line="239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Sprawdzenie równości powierzchni obrobionych przeprowadzać należy przy pomocy linii metalowej, ustawionej wzdłuż krawędzi i po przekątnych sprawdzanej powierzchni oraz pomiar odchyleń z dokładnością do 0,1 cm, zgodnie z wymaganiami tablicy 2,</w:t>
      </w:r>
      <w:r w:rsidR="00980729">
        <w:rPr>
          <w:rFonts w:eastAsia="Tahoma"/>
          <w:sz w:val="20"/>
          <w:szCs w:val="20"/>
        </w:rPr>
        <w:t xml:space="preserve"> </w:t>
      </w:r>
      <w:r w:rsidRPr="00980729">
        <w:rPr>
          <w:rFonts w:eastAsia="Tahoma"/>
          <w:sz w:val="20"/>
          <w:szCs w:val="20"/>
        </w:rPr>
        <w:t>3 lub 4.</w:t>
      </w:r>
    </w:p>
    <w:p w14:paraId="5309F5C2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Sprawdzenie krawędzi prostych przeprowadzać należy przy pomocy linii metalowej.</w:t>
      </w:r>
    </w:p>
    <w:p w14:paraId="402605BE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0DB723F1" w14:textId="77777777" w:rsidR="00521358" w:rsidRPr="00980729" w:rsidRDefault="00521358" w:rsidP="00980729">
      <w:pPr>
        <w:spacing w:line="239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Sprawdzenie szczerb i uszkodzeń przeprowadzać należy poprzez oględziny zewnętrzne, policzenie ilości szczerb i uszkodzeń oraz pomiar ich wielkości z dokładnością do 0,1 cm, zgodnie z wymaganiami tablicy 5.</w:t>
      </w:r>
    </w:p>
    <w:p w14:paraId="45EA86D4" w14:textId="77777777" w:rsidR="00521358" w:rsidRPr="00980729" w:rsidRDefault="00521358" w:rsidP="00980729">
      <w:pPr>
        <w:spacing w:line="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1434849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Sprawdzenie faktury powierzchni przeprowadza się wizualnie przez porównanie z wzorem.</w:t>
      </w:r>
    </w:p>
    <w:p w14:paraId="1D38E71F" w14:textId="77777777" w:rsidR="00521358" w:rsidRPr="00980729" w:rsidRDefault="00521358" w:rsidP="00980729">
      <w:pPr>
        <w:spacing w:line="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2B07587F" w14:textId="5736C893" w:rsidR="00521358" w:rsidRPr="00980729" w:rsidRDefault="00521358" w:rsidP="00980729">
      <w:pPr>
        <w:spacing w:line="239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Ocenę wyników sprawdzenia cech zewnętrznych oraz ocenę wyników badań laboratoryjnych należy pr</w:t>
      </w:r>
      <w:r w:rsidR="00980729">
        <w:rPr>
          <w:rFonts w:eastAsia="Tahoma"/>
          <w:sz w:val="20"/>
          <w:szCs w:val="20"/>
        </w:rPr>
        <w:t>zeprowadzić wg BN-66/6775-01</w:t>
      </w:r>
      <w:r w:rsidRPr="00980729">
        <w:rPr>
          <w:rFonts w:eastAsia="Tahoma"/>
          <w:sz w:val="20"/>
          <w:szCs w:val="20"/>
        </w:rPr>
        <w:t>.</w:t>
      </w:r>
    </w:p>
    <w:p w14:paraId="53DAB782" w14:textId="77777777" w:rsidR="00521358" w:rsidRPr="00980729" w:rsidRDefault="00521358" w:rsidP="00980729">
      <w:pPr>
        <w:spacing w:line="12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08BED8FC" w14:textId="6BB985A4" w:rsidR="00521358" w:rsidRPr="00980729" w:rsidRDefault="00521358" w:rsidP="00980729">
      <w:pPr>
        <w:tabs>
          <w:tab w:val="left" w:pos="1134"/>
        </w:tabs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 xml:space="preserve">6.2.2. </w:t>
      </w:r>
      <w:r w:rsidR="00980729">
        <w:rPr>
          <w:rFonts w:eastAsia="Tahoma"/>
          <w:sz w:val="20"/>
          <w:szCs w:val="20"/>
        </w:rPr>
        <w:tab/>
      </w:r>
      <w:r w:rsidRPr="00980729">
        <w:rPr>
          <w:rFonts w:eastAsia="Tahoma"/>
          <w:sz w:val="20"/>
          <w:szCs w:val="20"/>
        </w:rPr>
        <w:t>Badania pozostałych materiałów</w:t>
      </w:r>
    </w:p>
    <w:p w14:paraId="1C96FE76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67ACB035" w14:textId="77777777" w:rsidR="00521358" w:rsidRPr="00980729" w:rsidRDefault="00521358" w:rsidP="00980729">
      <w:pPr>
        <w:spacing w:line="239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Badania pozostałych materiałów stosowanych przy ustawieniu krawężników kamiennych powinny obejmować wszystkie właściwości, które zostały określone w normach podanych dla odpowiednich materiałów wg pkt 2.</w:t>
      </w:r>
    </w:p>
    <w:p w14:paraId="66F0DC0F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4137207D" w14:textId="5279A04C" w:rsidR="00521358" w:rsidRPr="00980729" w:rsidRDefault="00521358" w:rsidP="00980729">
      <w:pPr>
        <w:pStyle w:val="Nagwek1"/>
        <w:ind w:left="1134"/>
      </w:pPr>
      <w:bookmarkStart w:id="45" w:name="_Toc120458018"/>
      <w:r w:rsidRPr="00980729">
        <w:t>6.3.</w:t>
      </w:r>
      <w:r w:rsidR="00980729">
        <w:tab/>
      </w:r>
      <w:r w:rsidRPr="00980729">
        <w:t>Badania w czasie robót</w:t>
      </w:r>
      <w:bookmarkEnd w:id="45"/>
    </w:p>
    <w:p w14:paraId="7AE62A9B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6AFD7C49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W czasie robót należy sprawdzać:</w:t>
      </w:r>
    </w:p>
    <w:p w14:paraId="1995DFA7" w14:textId="1F0776A0" w:rsidR="00521358" w:rsidRPr="00980729" w:rsidRDefault="00980729" w:rsidP="00980729">
      <w:pPr>
        <w:widowControl/>
        <w:tabs>
          <w:tab w:val="left" w:pos="281"/>
        </w:tabs>
        <w:autoSpaceDE/>
        <w:autoSpaceDN/>
        <w:spacing w:line="237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wykonanie koryta pod ławę,</w:t>
      </w:r>
    </w:p>
    <w:p w14:paraId="25B1C922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307DF16C" w14:textId="7C5EAAFE" w:rsidR="00521358" w:rsidRPr="00980729" w:rsidRDefault="00980729" w:rsidP="00980729">
      <w:pPr>
        <w:widowControl/>
        <w:tabs>
          <w:tab w:val="left" w:pos="281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wykonanie ław,</w:t>
      </w:r>
    </w:p>
    <w:p w14:paraId="6AA38E6E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1F9BF5C5" w14:textId="56D2CE6E" w:rsidR="00521358" w:rsidRPr="00980729" w:rsidRDefault="00980729" w:rsidP="00980729">
      <w:pPr>
        <w:widowControl/>
        <w:tabs>
          <w:tab w:val="left" w:pos="281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ustawienie krawężników i wypełnienie spoin,</w:t>
      </w:r>
    </w:p>
    <w:p w14:paraId="3D3037F2" w14:textId="77777777" w:rsidR="00521358" w:rsidRPr="00980729" w:rsidRDefault="00521358" w:rsidP="00980729">
      <w:pPr>
        <w:spacing w:line="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7DDF0D49" w14:textId="70462B0C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zgodnie z warunkami określonymi w S</w:t>
      </w:r>
      <w:r w:rsidR="00980729">
        <w:rPr>
          <w:rFonts w:eastAsia="Tahoma"/>
          <w:sz w:val="20"/>
          <w:szCs w:val="20"/>
        </w:rPr>
        <w:t>S</w:t>
      </w:r>
      <w:r w:rsidRPr="00980729">
        <w:rPr>
          <w:rFonts w:eastAsia="Tahoma"/>
          <w:sz w:val="20"/>
          <w:szCs w:val="20"/>
        </w:rPr>
        <w:t>T D-08.01.01 „Krawężniki betonowe”.</w:t>
      </w:r>
    </w:p>
    <w:p w14:paraId="710DA992" w14:textId="77777777" w:rsidR="00521358" w:rsidRPr="00980729" w:rsidRDefault="00521358" w:rsidP="00980729">
      <w:pPr>
        <w:spacing w:line="24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342F3037" w14:textId="4EEE6A70" w:rsidR="00521358" w:rsidRPr="00980729" w:rsidRDefault="00521358" w:rsidP="00980729">
      <w:pPr>
        <w:pStyle w:val="Nagwek1"/>
      </w:pPr>
      <w:bookmarkStart w:id="46" w:name="_Toc120458019"/>
      <w:r w:rsidRPr="00980729">
        <w:t xml:space="preserve">7. </w:t>
      </w:r>
      <w:r w:rsidR="00980729">
        <w:tab/>
      </w:r>
      <w:r w:rsidRPr="00980729">
        <w:t>OBMIAR ROBÓT</w:t>
      </w:r>
      <w:bookmarkEnd w:id="46"/>
    </w:p>
    <w:p w14:paraId="1159704C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2F35BD92" w14:textId="74F83D97" w:rsidR="00521358" w:rsidRPr="00980729" w:rsidRDefault="00521358" w:rsidP="00980729">
      <w:pPr>
        <w:pStyle w:val="Nagwek1"/>
      </w:pPr>
      <w:bookmarkStart w:id="47" w:name="_Toc120458020"/>
      <w:r w:rsidRPr="00980729">
        <w:t xml:space="preserve">7.1. </w:t>
      </w:r>
      <w:r w:rsidR="00980729">
        <w:tab/>
        <w:t>Szczegółowe</w:t>
      </w:r>
      <w:r w:rsidRPr="00980729">
        <w:t xml:space="preserve"> zasady obmiaru robót</w:t>
      </w:r>
      <w:bookmarkEnd w:id="47"/>
    </w:p>
    <w:p w14:paraId="3BB65917" w14:textId="77777777" w:rsidR="00521358" w:rsidRPr="00980729" w:rsidRDefault="00521358" w:rsidP="00980729">
      <w:pPr>
        <w:spacing w:line="12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D849308" w14:textId="2B002A56" w:rsidR="00521358" w:rsidRPr="00980729" w:rsidRDefault="00980729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>
        <w:rPr>
          <w:rFonts w:eastAsia="Tahoma"/>
          <w:sz w:val="20"/>
          <w:szCs w:val="20"/>
        </w:rPr>
        <w:t xml:space="preserve">Szczegółowe </w:t>
      </w:r>
      <w:r w:rsidR="00521358" w:rsidRPr="00980729">
        <w:rPr>
          <w:rFonts w:eastAsia="Tahoma"/>
          <w:sz w:val="20"/>
          <w:szCs w:val="20"/>
        </w:rPr>
        <w:t>zasady obmiaru robót podano w S</w:t>
      </w:r>
      <w:r>
        <w:rPr>
          <w:rFonts w:eastAsia="Tahoma"/>
          <w:sz w:val="20"/>
          <w:szCs w:val="20"/>
        </w:rPr>
        <w:t>S</w:t>
      </w:r>
      <w:r w:rsidR="00521358" w:rsidRPr="00980729">
        <w:rPr>
          <w:rFonts w:eastAsia="Tahoma"/>
          <w:sz w:val="20"/>
          <w:szCs w:val="20"/>
        </w:rPr>
        <w:t>T D-M-00.00.00 „Wymagania ogólne” pkt 7.</w:t>
      </w:r>
    </w:p>
    <w:p w14:paraId="42098547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024AD9CD" w14:textId="4064EB86" w:rsidR="00521358" w:rsidRPr="00980729" w:rsidRDefault="00521358" w:rsidP="00980729">
      <w:pPr>
        <w:pStyle w:val="Nagwek1"/>
      </w:pPr>
      <w:bookmarkStart w:id="48" w:name="_Toc120458021"/>
      <w:r w:rsidRPr="00980729">
        <w:t xml:space="preserve">7.2. </w:t>
      </w:r>
      <w:r w:rsidR="00980729">
        <w:tab/>
      </w:r>
      <w:r w:rsidRPr="00980729">
        <w:t>Jednostka obmiarowa</w:t>
      </w:r>
      <w:bookmarkEnd w:id="48"/>
    </w:p>
    <w:p w14:paraId="0C923B42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60F805C7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Jednostką obmiarową jest m (metr) wykonanego krawężnika kamiennego.</w:t>
      </w:r>
    </w:p>
    <w:p w14:paraId="260299F9" w14:textId="7AAC5C0D" w:rsidR="00521358" w:rsidRPr="00980729" w:rsidRDefault="00980729" w:rsidP="00980729">
      <w:pPr>
        <w:spacing w:line="239" w:lineRule="exact"/>
        <w:ind w:left="284" w:right="42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ab/>
      </w:r>
    </w:p>
    <w:p w14:paraId="4CD9A538" w14:textId="41545FE6" w:rsidR="00521358" w:rsidRPr="00980729" w:rsidRDefault="00521358" w:rsidP="00980729">
      <w:pPr>
        <w:pStyle w:val="Nagwek1"/>
      </w:pPr>
      <w:bookmarkStart w:id="49" w:name="_Toc120458022"/>
      <w:r w:rsidRPr="00980729">
        <w:t xml:space="preserve">8. </w:t>
      </w:r>
      <w:r w:rsidR="00980729">
        <w:tab/>
      </w:r>
      <w:r w:rsidRPr="00980729">
        <w:t>ODBIÓR ROBÓT</w:t>
      </w:r>
      <w:bookmarkEnd w:id="49"/>
    </w:p>
    <w:p w14:paraId="54A44549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3D02E998" w14:textId="2D782812" w:rsidR="00521358" w:rsidRPr="00980729" w:rsidRDefault="00521358" w:rsidP="00980729">
      <w:pPr>
        <w:pStyle w:val="Nagwek1"/>
      </w:pPr>
      <w:bookmarkStart w:id="50" w:name="_Toc120458023"/>
      <w:r w:rsidRPr="00980729">
        <w:t xml:space="preserve">8.1. </w:t>
      </w:r>
      <w:r w:rsidR="00980729">
        <w:tab/>
        <w:t>Szczegółowe</w:t>
      </w:r>
      <w:r w:rsidRPr="00980729">
        <w:t xml:space="preserve"> zasady odbioru robót</w:t>
      </w:r>
      <w:bookmarkEnd w:id="50"/>
    </w:p>
    <w:p w14:paraId="33C85186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26EC4B56" w14:textId="48FD0FDD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Ogólne zasady odbioru robót podano w S</w:t>
      </w:r>
      <w:r w:rsidR="00890D02">
        <w:rPr>
          <w:rFonts w:eastAsia="Tahoma"/>
          <w:sz w:val="20"/>
          <w:szCs w:val="20"/>
        </w:rPr>
        <w:t>S</w:t>
      </w:r>
      <w:r w:rsidRPr="00980729">
        <w:rPr>
          <w:rFonts w:eastAsia="Tahoma"/>
          <w:sz w:val="20"/>
          <w:szCs w:val="20"/>
        </w:rPr>
        <w:t>T D-M-00.00.00 „Wymagania ogólne” pkt 8.</w:t>
      </w:r>
    </w:p>
    <w:p w14:paraId="5212EAEC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3ACB40EB" w14:textId="2F567C36" w:rsidR="00521358" w:rsidRPr="00980729" w:rsidRDefault="00521358" w:rsidP="00980729">
      <w:pPr>
        <w:spacing w:line="238" w:lineRule="auto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Roboty uznaje się za wykonane zgodnie z dokumentacją projektową, S</w:t>
      </w:r>
      <w:r w:rsidR="00890D02">
        <w:rPr>
          <w:rFonts w:eastAsia="Tahoma"/>
          <w:sz w:val="20"/>
          <w:szCs w:val="20"/>
        </w:rPr>
        <w:t>S</w:t>
      </w:r>
      <w:r w:rsidRPr="00980729">
        <w:rPr>
          <w:rFonts w:eastAsia="Tahoma"/>
          <w:sz w:val="20"/>
          <w:szCs w:val="20"/>
        </w:rPr>
        <w:t xml:space="preserve">T i wymaganiami Inżyniera, jeżeli wszystkie pomiary i badania z zachowaniem tolerancji </w:t>
      </w:r>
      <w:r w:rsidRPr="00980729">
        <w:rPr>
          <w:rFonts w:eastAsia="Tahoma"/>
          <w:sz w:val="20"/>
          <w:szCs w:val="20"/>
        </w:rPr>
        <w:lastRenderedPageBreak/>
        <w:t>wg pkt 6 dały wyniki pozytywne.</w:t>
      </w:r>
    </w:p>
    <w:p w14:paraId="22864167" w14:textId="77777777" w:rsidR="00521358" w:rsidRPr="00980729" w:rsidRDefault="00521358" w:rsidP="00980729">
      <w:pPr>
        <w:spacing w:line="122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1387D194" w14:textId="23E7DED0" w:rsidR="00521358" w:rsidRPr="00980729" w:rsidRDefault="00521358" w:rsidP="00890D02">
      <w:pPr>
        <w:pStyle w:val="Nagwek1"/>
      </w:pPr>
      <w:bookmarkStart w:id="51" w:name="_Toc120458024"/>
      <w:r w:rsidRPr="00980729">
        <w:t xml:space="preserve">8.2. </w:t>
      </w:r>
      <w:r w:rsidR="00890D02">
        <w:tab/>
      </w:r>
      <w:r w:rsidRPr="00980729">
        <w:t>Odbiór robót zanikających i ulegających zakryciu</w:t>
      </w:r>
      <w:bookmarkEnd w:id="51"/>
    </w:p>
    <w:p w14:paraId="5C7FE757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31DAE6DF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Odbiorowi robót zanikających i ulegających zakryciu podlegają:</w:t>
      </w:r>
    </w:p>
    <w:p w14:paraId="35D7D2ED" w14:textId="115B9813" w:rsidR="00521358" w:rsidRPr="00980729" w:rsidRDefault="00890D02" w:rsidP="00890D02">
      <w:pPr>
        <w:widowControl/>
        <w:tabs>
          <w:tab w:val="left" w:pos="281"/>
        </w:tabs>
        <w:autoSpaceDE/>
        <w:autoSpaceDN/>
        <w:spacing w:line="237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wykonanie koryta pod ławę,</w:t>
      </w:r>
    </w:p>
    <w:p w14:paraId="33C3A6BD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73E075ED" w14:textId="01E5C176" w:rsidR="00521358" w:rsidRPr="00980729" w:rsidRDefault="00890D02" w:rsidP="00890D02">
      <w:pPr>
        <w:widowControl/>
        <w:tabs>
          <w:tab w:val="left" w:pos="281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wykonanie ławy,</w:t>
      </w:r>
    </w:p>
    <w:p w14:paraId="0518FA11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2A3E001F" w14:textId="663B73F4" w:rsidR="00521358" w:rsidRPr="00980729" w:rsidRDefault="00890D02" w:rsidP="00890D02">
      <w:pPr>
        <w:widowControl/>
        <w:tabs>
          <w:tab w:val="left" w:pos="281"/>
        </w:tabs>
        <w:autoSpaceDE/>
        <w:autoSpaceDN/>
        <w:spacing w:line="236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wykonanie podsypki.</w:t>
      </w:r>
    </w:p>
    <w:p w14:paraId="2797639B" w14:textId="77777777" w:rsidR="00521358" w:rsidRPr="00980729" w:rsidRDefault="00521358" w:rsidP="00980729">
      <w:pPr>
        <w:spacing w:line="24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75D4E994" w14:textId="11DC384E" w:rsidR="00521358" w:rsidRPr="00980729" w:rsidRDefault="00521358" w:rsidP="00890D02">
      <w:pPr>
        <w:pStyle w:val="Nagwek1"/>
      </w:pPr>
      <w:bookmarkStart w:id="52" w:name="_Toc120458025"/>
      <w:r w:rsidRPr="00980729">
        <w:t xml:space="preserve">9. </w:t>
      </w:r>
      <w:r w:rsidR="00890D02">
        <w:tab/>
      </w:r>
      <w:r w:rsidRPr="00980729">
        <w:t>PODSTAWA PŁATNOŚCI</w:t>
      </w:r>
      <w:bookmarkEnd w:id="52"/>
    </w:p>
    <w:p w14:paraId="0411BC6B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37760CD8" w14:textId="2D14C9E4" w:rsidR="00521358" w:rsidRPr="00980729" w:rsidRDefault="00521358" w:rsidP="00890D02">
      <w:pPr>
        <w:pStyle w:val="Nagwek1"/>
      </w:pPr>
      <w:bookmarkStart w:id="53" w:name="_Toc120458026"/>
      <w:r w:rsidRPr="00980729">
        <w:t xml:space="preserve">9.1. </w:t>
      </w:r>
      <w:r w:rsidR="00890D02">
        <w:tab/>
        <w:t>Szczegółowe</w:t>
      </w:r>
      <w:r w:rsidRPr="00980729">
        <w:t xml:space="preserve"> ustalenia dotyczące podstawy płatności</w:t>
      </w:r>
      <w:bookmarkEnd w:id="53"/>
    </w:p>
    <w:p w14:paraId="46D7883F" w14:textId="77777777" w:rsidR="00521358" w:rsidRPr="00980729" w:rsidRDefault="00521358" w:rsidP="00980729">
      <w:pPr>
        <w:spacing w:line="121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592A131" w14:textId="1191EE19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Ogólne ustalenia dotyczące podstawy płatności podano w S</w:t>
      </w:r>
      <w:r w:rsidR="00890D02">
        <w:rPr>
          <w:rFonts w:eastAsia="Tahoma"/>
          <w:sz w:val="20"/>
          <w:szCs w:val="20"/>
        </w:rPr>
        <w:t>S</w:t>
      </w:r>
      <w:r w:rsidRPr="00980729">
        <w:rPr>
          <w:rFonts w:eastAsia="Tahoma"/>
          <w:sz w:val="20"/>
          <w:szCs w:val="20"/>
        </w:rPr>
        <w:t>T D-M-00.00.00 „Wymagania ogólne” pkt 9.</w:t>
      </w:r>
    </w:p>
    <w:p w14:paraId="753EB980" w14:textId="77777777" w:rsidR="00521358" w:rsidRPr="00980729" w:rsidRDefault="00521358" w:rsidP="00980729">
      <w:pPr>
        <w:spacing w:line="119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025F6880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b/>
          <w:sz w:val="20"/>
          <w:szCs w:val="20"/>
        </w:rPr>
      </w:pPr>
      <w:r w:rsidRPr="00980729">
        <w:rPr>
          <w:rFonts w:eastAsia="Tahoma"/>
          <w:b/>
          <w:sz w:val="20"/>
          <w:szCs w:val="20"/>
        </w:rPr>
        <w:t>9.2. Cena jednostki obmiarowej</w:t>
      </w:r>
    </w:p>
    <w:p w14:paraId="2138B9DD" w14:textId="77777777" w:rsidR="00521358" w:rsidRPr="00980729" w:rsidRDefault="00521358" w:rsidP="00980729">
      <w:pPr>
        <w:spacing w:line="120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183F1215" w14:textId="77777777" w:rsidR="00521358" w:rsidRPr="00980729" w:rsidRDefault="00521358" w:rsidP="00980729">
      <w:pPr>
        <w:spacing w:line="0" w:lineRule="atLeast"/>
        <w:ind w:left="284" w:right="426"/>
        <w:jc w:val="both"/>
        <w:rPr>
          <w:rFonts w:eastAsia="Tahoma"/>
          <w:sz w:val="20"/>
          <w:szCs w:val="20"/>
        </w:rPr>
      </w:pPr>
      <w:r w:rsidRPr="00980729">
        <w:rPr>
          <w:rFonts w:eastAsia="Tahoma"/>
          <w:sz w:val="20"/>
          <w:szCs w:val="20"/>
        </w:rPr>
        <w:t>Cena wykonania 1 m krawężnika kamiennego obejmuje:</w:t>
      </w:r>
    </w:p>
    <w:p w14:paraId="46A55BFD" w14:textId="2667E663" w:rsidR="00521358" w:rsidRPr="00980729" w:rsidRDefault="00890D02" w:rsidP="00890D02">
      <w:pPr>
        <w:widowControl/>
        <w:tabs>
          <w:tab w:val="left" w:pos="281"/>
        </w:tabs>
        <w:autoSpaceDE/>
        <w:autoSpaceDN/>
        <w:spacing w:line="236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prace pomiarowe i roboty przygotowawcze,</w:t>
      </w:r>
    </w:p>
    <w:p w14:paraId="50C6C0C4" w14:textId="77777777" w:rsidR="00521358" w:rsidRPr="00980729" w:rsidRDefault="00521358" w:rsidP="00890D02">
      <w:pPr>
        <w:spacing w:line="2" w:lineRule="exact"/>
        <w:ind w:right="426"/>
        <w:jc w:val="both"/>
        <w:rPr>
          <w:rFonts w:eastAsia="Symbol"/>
          <w:sz w:val="20"/>
          <w:szCs w:val="20"/>
        </w:rPr>
      </w:pPr>
    </w:p>
    <w:p w14:paraId="73DE0075" w14:textId="7AFE2B5E" w:rsidR="00521358" w:rsidRPr="00980729" w:rsidRDefault="00890D02" w:rsidP="00890D02">
      <w:pPr>
        <w:widowControl/>
        <w:tabs>
          <w:tab w:val="left" w:pos="281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zakup i dostarczenie materiałów na miejsce wbudowania,</w:t>
      </w:r>
    </w:p>
    <w:p w14:paraId="26C47FDE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5B6A28C3" w14:textId="03D2B953" w:rsidR="00521358" w:rsidRPr="00980729" w:rsidRDefault="00890D02" w:rsidP="00890D02">
      <w:pPr>
        <w:widowControl/>
        <w:tabs>
          <w:tab w:val="left" w:pos="281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wykonanie wykopu pod ławę,</w:t>
      </w:r>
    </w:p>
    <w:p w14:paraId="12AA94C3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3519C11A" w14:textId="461C6883" w:rsidR="00521358" w:rsidRPr="00980729" w:rsidRDefault="00890D02" w:rsidP="00890D02">
      <w:pPr>
        <w:widowControl/>
        <w:tabs>
          <w:tab w:val="left" w:pos="281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proofErr w:type="spellStart"/>
      <w:r w:rsidR="00521358" w:rsidRPr="00980729">
        <w:rPr>
          <w:rFonts w:eastAsia="Tahoma"/>
          <w:sz w:val="20"/>
          <w:szCs w:val="20"/>
        </w:rPr>
        <w:t>ew</w:t>
      </w:r>
      <w:proofErr w:type="spellEnd"/>
      <w:r w:rsidR="00521358" w:rsidRPr="00980729">
        <w:rPr>
          <w:rFonts w:eastAsia="Tahoma"/>
          <w:sz w:val="20"/>
          <w:szCs w:val="20"/>
        </w:rPr>
        <w:t>, wykonanie szalunku,</w:t>
      </w:r>
    </w:p>
    <w:p w14:paraId="3811C821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1D3770FC" w14:textId="4AE24EBE" w:rsidR="00521358" w:rsidRPr="00980729" w:rsidRDefault="00890D02" w:rsidP="00890D02">
      <w:pPr>
        <w:widowControl/>
        <w:tabs>
          <w:tab w:val="left" w:pos="281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wykonanie ławy,</w:t>
      </w:r>
    </w:p>
    <w:p w14:paraId="2A3DAE23" w14:textId="66F3B11A" w:rsidR="00521358" w:rsidRPr="00980729" w:rsidRDefault="00890D02" w:rsidP="00890D02">
      <w:pPr>
        <w:widowControl/>
        <w:tabs>
          <w:tab w:val="left" w:pos="287"/>
        </w:tabs>
        <w:autoSpaceDE/>
        <w:autoSpaceDN/>
        <w:spacing w:line="0" w:lineRule="atLeast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ustawienie krawężników na podsypce,</w:t>
      </w:r>
    </w:p>
    <w:p w14:paraId="1B4E317C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21CD2170" w14:textId="2DDE29BC" w:rsidR="00521358" w:rsidRPr="00980729" w:rsidRDefault="00890D02" w:rsidP="00890D02">
      <w:pPr>
        <w:widowControl/>
        <w:tabs>
          <w:tab w:val="left" w:pos="287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wypełnienie spoin,</w:t>
      </w:r>
    </w:p>
    <w:p w14:paraId="558892CA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737425B3" w14:textId="3EF3CB5E" w:rsidR="00521358" w:rsidRPr="00980729" w:rsidRDefault="00890D02" w:rsidP="00890D02">
      <w:pPr>
        <w:widowControl/>
        <w:tabs>
          <w:tab w:val="left" w:pos="287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zasypanie zewnętrznej ściany krawężnika gruntem i ubicie,</w:t>
      </w:r>
    </w:p>
    <w:p w14:paraId="49D72775" w14:textId="77777777" w:rsidR="00521358" w:rsidRPr="00980729" w:rsidRDefault="00521358" w:rsidP="00980729">
      <w:pPr>
        <w:spacing w:line="2" w:lineRule="exact"/>
        <w:ind w:left="284" w:right="426"/>
        <w:jc w:val="both"/>
        <w:rPr>
          <w:rFonts w:eastAsia="Symbol"/>
          <w:sz w:val="20"/>
          <w:szCs w:val="20"/>
        </w:rPr>
      </w:pPr>
    </w:p>
    <w:p w14:paraId="5E118ED7" w14:textId="29CDA639" w:rsidR="00521358" w:rsidRPr="00980729" w:rsidRDefault="00890D02" w:rsidP="00890D02">
      <w:pPr>
        <w:widowControl/>
        <w:tabs>
          <w:tab w:val="left" w:pos="287"/>
        </w:tabs>
        <w:autoSpaceDE/>
        <w:autoSpaceDN/>
        <w:spacing w:line="235" w:lineRule="auto"/>
        <w:ind w:left="284" w:right="426"/>
        <w:jc w:val="both"/>
        <w:rPr>
          <w:rFonts w:eastAsia="Symbol"/>
          <w:sz w:val="20"/>
          <w:szCs w:val="20"/>
        </w:rPr>
      </w:pPr>
      <w:r>
        <w:rPr>
          <w:rFonts w:eastAsia="Tahoma"/>
          <w:sz w:val="20"/>
          <w:szCs w:val="20"/>
        </w:rPr>
        <w:t xml:space="preserve">- </w:t>
      </w:r>
      <w:r w:rsidR="00521358" w:rsidRPr="00980729">
        <w:rPr>
          <w:rFonts w:eastAsia="Tahoma"/>
          <w:sz w:val="20"/>
          <w:szCs w:val="20"/>
        </w:rPr>
        <w:t>przeprowadzenie badań i pomiarów wymaganych w specyfikacji technicznej.</w:t>
      </w:r>
    </w:p>
    <w:p w14:paraId="62A1B80D" w14:textId="77777777" w:rsidR="00521358" w:rsidRPr="00980729" w:rsidRDefault="00521358" w:rsidP="00980729">
      <w:pPr>
        <w:spacing w:line="243" w:lineRule="exact"/>
        <w:ind w:left="284" w:right="426"/>
        <w:jc w:val="both"/>
        <w:rPr>
          <w:rFonts w:eastAsia="Times New Roman"/>
          <w:sz w:val="20"/>
          <w:szCs w:val="20"/>
        </w:rPr>
      </w:pPr>
    </w:p>
    <w:p w14:paraId="516EA0B6" w14:textId="5ABCA97F" w:rsidR="00890D02" w:rsidRDefault="00890D02" w:rsidP="00890D02">
      <w:pPr>
        <w:pStyle w:val="Nagwek1"/>
      </w:pPr>
      <w:bookmarkStart w:id="54" w:name="_Toc120458027"/>
      <w:r>
        <w:t>10.</w:t>
      </w:r>
      <w:r>
        <w:tab/>
      </w:r>
      <w:r w:rsidR="00521358" w:rsidRPr="00980729">
        <w:t>PRZEPISY ZWIĄZANE</w:t>
      </w:r>
      <w:bookmarkEnd w:id="54"/>
      <w:r w:rsidR="00521358" w:rsidRPr="00980729">
        <w:t xml:space="preserve"> </w:t>
      </w:r>
    </w:p>
    <w:p w14:paraId="711EC4C7" w14:textId="12BF58D0" w:rsidR="00521358" w:rsidRPr="00890D02" w:rsidRDefault="00890D02" w:rsidP="00890D02">
      <w:pPr>
        <w:pStyle w:val="Nagwek1"/>
        <w:spacing w:after="240"/>
      </w:pPr>
      <w:bookmarkStart w:id="55" w:name="_Toc120458028"/>
      <w:r>
        <w:t>10.1</w:t>
      </w:r>
      <w:r>
        <w:tab/>
      </w:r>
      <w:r w:rsidR="00521358" w:rsidRPr="00890D02">
        <w:t>Normy</w:t>
      </w:r>
      <w:bookmarkEnd w:id="55"/>
    </w:p>
    <w:p w14:paraId="44700260" w14:textId="77777777" w:rsidR="00521358" w:rsidRPr="00980729" w:rsidRDefault="00521358" w:rsidP="00980729">
      <w:pPr>
        <w:spacing w:line="5" w:lineRule="exact"/>
        <w:ind w:left="284" w:right="426"/>
        <w:jc w:val="both"/>
        <w:rPr>
          <w:rFonts w:eastAsia="Times New Roman"/>
          <w:sz w:val="20"/>
          <w:szCs w:val="20"/>
        </w:rPr>
      </w:pPr>
    </w:p>
    <w:tbl>
      <w:tblPr>
        <w:tblW w:w="9654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1843"/>
        <w:gridCol w:w="7087"/>
      </w:tblGrid>
      <w:tr w:rsidR="00521358" w:rsidRPr="00980729" w14:paraId="1D387017" w14:textId="77777777" w:rsidTr="00890D02">
        <w:trPr>
          <w:trHeight w:val="217"/>
        </w:trPr>
        <w:tc>
          <w:tcPr>
            <w:tcW w:w="724" w:type="dxa"/>
            <w:shd w:val="clear" w:color="auto" w:fill="auto"/>
            <w:vAlign w:val="bottom"/>
          </w:tcPr>
          <w:p w14:paraId="1817EEED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5A99A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PN-B-01080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4AB858EE" w14:textId="77777777" w:rsidR="00521358" w:rsidRPr="00980729" w:rsidRDefault="00521358" w:rsidP="00890D02">
            <w:pPr>
              <w:spacing w:line="0" w:lineRule="atLeast"/>
              <w:ind w:left="157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Kamień dla budownictwa i drogownictwa. Klasyfikacja i zastosowanie</w:t>
            </w:r>
          </w:p>
        </w:tc>
      </w:tr>
      <w:tr w:rsidR="00521358" w:rsidRPr="00980729" w14:paraId="652BA36A" w14:textId="77777777" w:rsidTr="00890D02">
        <w:trPr>
          <w:trHeight w:val="216"/>
        </w:trPr>
        <w:tc>
          <w:tcPr>
            <w:tcW w:w="724" w:type="dxa"/>
            <w:shd w:val="clear" w:color="auto" w:fill="auto"/>
            <w:vAlign w:val="bottom"/>
          </w:tcPr>
          <w:p w14:paraId="1930DCBA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09228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PN-B-06050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7F43C00D" w14:textId="77777777" w:rsidR="00521358" w:rsidRPr="00980729" w:rsidRDefault="00521358" w:rsidP="00890D02">
            <w:pPr>
              <w:spacing w:line="216" w:lineRule="exact"/>
              <w:ind w:left="157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Roboty ziemne budowlane</w:t>
            </w:r>
          </w:p>
        </w:tc>
      </w:tr>
      <w:tr w:rsidR="00521358" w:rsidRPr="00980729" w14:paraId="75E11641" w14:textId="77777777" w:rsidTr="00890D02">
        <w:trPr>
          <w:trHeight w:val="218"/>
        </w:trPr>
        <w:tc>
          <w:tcPr>
            <w:tcW w:w="724" w:type="dxa"/>
            <w:shd w:val="clear" w:color="auto" w:fill="auto"/>
            <w:vAlign w:val="bottom"/>
          </w:tcPr>
          <w:p w14:paraId="5629119E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5BAC3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PN-B-06711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0B2A6E96" w14:textId="77777777" w:rsidR="00521358" w:rsidRPr="00980729" w:rsidRDefault="00521358" w:rsidP="00890D02">
            <w:pPr>
              <w:spacing w:line="0" w:lineRule="atLeast"/>
              <w:ind w:left="157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Kruszywa mineralne. Piasek do zapraw budowlanych</w:t>
            </w:r>
          </w:p>
        </w:tc>
      </w:tr>
      <w:tr w:rsidR="00521358" w:rsidRPr="00980729" w14:paraId="504D35C0" w14:textId="77777777" w:rsidTr="00890D02">
        <w:trPr>
          <w:trHeight w:val="216"/>
        </w:trPr>
        <w:tc>
          <w:tcPr>
            <w:tcW w:w="724" w:type="dxa"/>
            <w:shd w:val="clear" w:color="auto" w:fill="auto"/>
            <w:vAlign w:val="bottom"/>
          </w:tcPr>
          <w:p w14:paraId="571FB5EF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936CDC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PN-B-06712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10C4285D" w14:textId="77777777" w:rsidR="00521358" w:rsidRPr="00980729" w:rsidRDefault="00521358" w:rsidP="00890D02">
            <w:pPr>
              <w:spacing w:line="216" w:lineRule="exact"/>
              <w:ind w:left="157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Kruszywa mineralne do betonu zwykłego</w:t>
            </w:r>
          </w:p>
        </w:tc>
      </w:tr>
      <w:tr w:rsidR="00521358" w:rsidRPr="00980729" w14:paraId="2D925D0F" w14:textId="77777777" w:rsidTr="00890D02">
        <w:trPr>
          <w:trHeight w:val="218"/>
        </w:trPr>
        <w:tc>
          <w:tcPr>
            <w:tcW w:w="724" w:type="dxa"/>
            <w:shd w:val="clear" w:color="auto" w:fill="auto"/>
            <w:vAlign w:val="bottom"/>
          </w:tcPr>
          <w:p w14:paraId="3D13E8E8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AE42C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PN-B-06720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4B70484C" w14:textId="77777777" w:rsidR="00521358" w:rsidRPr="00980729" w:rsidRDefault="00521358" w:rsidP="00890D02">
            <w:pPr>
              <w:spacing w:line="0" w:lineRule="atLeast"/>
              <w:ind w:left="157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Pobieranie próbek materiałów kamiennych</w:t>
            </w:r>
          </w:p>
        </w:tc>
      </w:tr>
      <w:tr w:rsidR="00521358" w:rsidRPr="00980729" w14:paraId="052C2D43" w14:textId="77777777" w:rsidTr="00890D02">
        <w:trPr>
          <w:trHeight w:val="216"/>
        </w:trPr>
        <w:tc>
          <w:tcPr>
            <w:tcW w:w="724" w:type="dxa"/>
            <w:shd w:val="clear" w:color="auto" w:fill="auto"/>
            <w:vAlign w:val="bottom"/>
          </w:tcPr>
          <w:p w14:paraId="6308CCEF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6.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AC769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PN-EN -197-1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29B0F823" w14:textId="77777777" w:rsidR="00521358" w:rsidRPr="00980729" w:rsidRDefault="00521358" w:rsidP="00890D02">
            <w:pPr>
              <w:spacing w:line="216" w:lineRule="exact"/>
              <w:ind w:left="157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 xml:space="preserve">Cement. </w:t>
            </w:r>
            <w:hyperlink r:id="rId10" w:history="1">
              <w:r w:rsidRPr="00980729">
                <w:rPr>
                  <w:rFonts w:eastAsia="Tahoma"/>
                  <w:sz w:val="20"/>
                  <w:szCs w:val="20"/>
                </w:rPr>
                <w:t>Część 1: Skład, wymagania i kryteria zgodności dotyczące cementów</w:t>
              </w:r>
            </w:hyperlink>
          </w:p>
        </w:tc>
      </w:tr>
      <w:tr w:rsidR="00521358" w:rsidRPr="00980729" w14:paraId="260C1065" w14:textId="77777777" w:rsidTr="00890D02">
        <w:trPr>
          <w:trHeight w:val="218"/>
        </w:trPr>
        <w:tc>
          <w:tcPr>
            <w:tcW w:w="724" w:type="dxa"/>
            <w:shd w:val="clear" w:color="auto" w:fill="auto"/>
            <w:vAlign w:val="bottom"/>
          </w:tcPr>
          <w:p w14:paraId="0AD10EF4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1374F2E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11E55574" w14:textId="77777777" w:rsidR="00521358" w:rsidRPr="00980729" w:rsidRDefault="005F2772" w:rsidP="00890D02">
            <w:pPr>
              <w:spacing w:line="0" w:lineRule="atLeast"/>
              <w:ind w:left="157"/>
              <w:jc w:val="both"/>
              <w:rPr>
                <w:rFonts w:eastAsia="Tahoma"/>
                <w:sz w:val="20"/>
                <w:szCs w:val="20"/>
              </w:rPr>
            </w:pPr>
            <w:hyperlink r:id="rId11" w:history="1">
              <w:r w:rsidR="00521358" w:rsidRPr="00980729">
                <w:rPr>
                  <w:rFonts w:eastAsia="Tahoma"/>
                  <w:sz w:val="20"/>
                  <w:szCs w:val="20"/>
                </w:rPr>
                <w:t>powszechnego użytku</w:t>
              </w:r>
            </w:hyperlink>
          </w:p>
        </w:tc>
      </w:tr>
      <w:tr w:rsidR="00521358" w:rsidRPr="00980729" w14:paraId="5B339EA0" w14:textId="77777777" w:rsidTr="00890D02">
        <w:trPr>
          <w:trHeight w:val="216"/>
        </w:trPr>
        <w:tc>
          <w:tcPr>
            <w:tcW w:w="724" w:type="dxa"/>
            <w:shd w:val="clear" w:color="auto" w:fill="auto"/>
            <w:vAlign w:val="bottom"/>
          </w:tcPr>
          <w:p w14:paraId="37DDB095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7.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C1F51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PN-B-32250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07DA4271" w14:textId="77777777" w:rsidR="00521358" w:rsidRPr="00980729" w:rsidRDefault="00521358" w:rsidP="00890D02">
            <w:pPr>
              <w:spacing w:line="216" w:lineRule="exact"/>
              <w:ind w:left="157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Materiały budowlane. Woda do betonów i zapraw</w:t>
            </w:r>
          </w:p>
        </w:tc>
      </w:tr>
      <w:tr w:rsidR="00521358" w:rsidRPr="00980729" w14:paraId="0F68F83F" w14:textId="77777777" w:rsidTr="00890D02">
        <w:trPr>
          <w:trHeight w:val="218"/>
        </w:trPr>
        <w:tc>
          <w:tcPr>
            <w:tcW w:w="724" w:type="dxa"/>
            <w:shd w:val="clear" w:color="auto" w:fill="auto"/>
            <w:vAlign w:val="bottom"/>
          </w:tcPr>
          <w:p w14:paraId="66593517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8.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6B2D0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BN-62/6716-04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241687EB" w14:textId="77777777" w:rsidR="00521358" w:rsidRPr="00980729" w:rsidRDefault="00521358" w:rsidP="00890D02">
            <w:pPr>
              <w:spacing w:line="0" w:lineRule="atLeast"/>
              <w:ind w:left="157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Kamień dla budownictwa i drogownictwa. Bloki surowe</w:t>
            </w:r>
          </w:p>
        </w:tc>
      </w:tr>
      <w:tr w:rsidR="00521358" w:rsidRPr="00980729" w14:paraId="43AA3FAA" w14:textId="77777777" w:rsidTr="00890D02">
        <w:trPr>
          <w:trHeight w:val="216"/>
        </w:trPr>
        <w:tc>
          <w:tcPr>
            <w:tcW w:w="724" w:type="dxa"/>
            <w:shd w:val="clear" w:color="auto" w:fill="auto"/>
            <w:vAlign w:val="bottom"/>
          </w:tcPr>
          <w:p w14:paraId="4908535D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9.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305C1" w14:textId="77777777" w:rsidR="00521358" w:rsidRPr="00980729" w:rsidRDefault="00521358" w:rsidP="00890D02">
            <w:pPr>
              <w:spacing w:line="216" w:lineRule="exac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BN-66/6775-01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5AB09753" w14:textId="77777777" w:rsidR="00521358" w:rsidRPr="00980729" w:rsidRDefault="00521358" w:rsidP="00890D02">
            <w:pPr>
              <w:spacing w:line="216" w:lineRule="exact"/>
              <w:ind w:left="157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Elementy kamienne. Krawężniki uliczne, mostowe i drogowe.</w:t>
            </w:r>
          </w:p>
        </w:tc>
      </w:tr>
      <w:tr w:rsidR="00521358" w:rsidRPr="00980729" w14:paraId="798D135F" w14:textId="77777777" w:rsidTr="00890D02">
        <w:trPr>
          <w:trHeight w:val="218"/>
        </w:trPr>
        <w:tc>
          <w:tcPr>
            <w:tcW w:w="724" w:type="dxa"/>
            <w:shd w:val="clear" w:color="auto" w:fill="auto"/>
            <w:vAlign w:val="bottom"/>
          </w:tcPr>
          <w:p w14:paraId="755947E7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w w:val="95"/>
                <w:sz w:val="20"/>
                <w:szCs w:val="20"/>
              </w:rPr>
            </w:pPr>
            <w:r w:rsidRPr="00980729">
              <w:rPr>
                <w:rFonts w:eastAsia="Tahoma"/>
                <w:w w:val="95"/>
                <w:sz w:val="20"/>
                <w:szCs w:val="20"/>
              </w:rPr>
              <w:t>10.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85F60" w14:textId="77777777" w:rsidR="00521358" w:rsidRPr="00980729" w:rsidRDefault="00521358" w:rsidP="00890D02">
            <w:pPr>
              <w:spacing w:line="0" w:lineRule="atLeast"/>
              <w:ind w:left="157" w:right="142"/>
              <w:jc w:val="both"/>
              <w:rPr>
                <w:rFonts w:eastAsia="Tahoma"/>
                <w:sz w:val="20"/>
                <w:szCs w:val="20"/>
              </w:rPr>
            </w:pPr>
            <w:r w:rsidRPr="00980729">
              <w:rPr>
                <w:rFonts w:eastAsia="Tahoma"/>
                <w:sz w:val="20"/>
                <w:szCs w:val="20"/>
              </w:rPr>
              <w:t>PN-B-11213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10DFECD3" w14:textId="77777777" w:rsidR="00521358" w:rsidRPr="00980729" w:rsidRDefault="00521358" w:rsidP="00890D02">
            <w:pPr>
              <w:spacing w:line="0" w:lineRule="atLeast"/>
              <w:ind w:left="157"/>
              <w:jc w:val="both"/>
              <w:rPr>
                <w:rFonts w:eastAsia="Tahoma"/>
                <w:w w:val="99"/>
                <w:sz w:val="20"/>
                <w:szCs w:val="20"/>
              </w:rPr>
            </w:pPr>
            <w:r w:rsidRPr="00980729">
              <w:rPr>
                <w:rFonts w:eastAsia="Tahoma"/>
                <w:w w:val="99"/>
                <w:sz w:val="20"/>
                <w:szCs w:val="20"/>
              </w:rPr>
              <w:t>Materiały kamienne. Elementy kamienne, krawężniki uliczne, mostowe i drogowe.</w:t>
            </w:r>
          </w:p>
        </w:tc>
      </w:tr>
    </w:tbl>
    <w:p w14:paraId="3FE2F621" w14:textId="092E8734" w:rsidR="00521358" w:rsidRPr="00980729" w:rsidRDefault="00521358" w:rsidP="00335DB1">
      <w:pPr>
        <w:spacing w:line="20" w:lineRule="exact"/>
        <w:ind w:right="426"/>
        <w:jc w:val="both"/>
        <w:rPr>
          <w:rFonts w:eastAsia="Times New Roman"/>
          <w:sz w:val="20"/>
          <w:szCs w:val="20"/>
        </w:rPr>
        <w:sectPr w:rsidR="00521358" w:rsidRPr="00980729" w:rsidSect="009C5AA4">
          <w:pgSz w:w="11900" w:h="16841"/>
          <w:pgMar w:top="851" w:right="560" w:bottom="709" w:left="1133" w:header="0" w:footer="0" w:gutter="0"/>
          <w:cols w:space="0" w:equalWidth="0">
            <w:col w:w="9334"/>
          </w:cols>
          <w:docGrid w:linePitch="360"/>
        </w:sectPr>
      </w:pPr>
      <w:r w:rsidRPr="00980729">
        <w:rPr>
          <w:rFonts w:eastAsia="Tahoma"/>
          <w:noProof/>
          <w:w w:val="99"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1917344A" wp14:editId="70E5CFBE">
            <wp:simplePos x="0" y="0"/>
            <wp:positionH relativeFrom="column">
              <wp:posOffset>-17780</wp:posOffset>
            </wp:positionH>
            <wp:positionV relativeFrom="paragraph">
              <wp:posOffset>7091045</wp:posOffset>
            </wp:positionV>
            <wp:extent cx="5978525" cy="63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52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C1027" w14:textId="13276BD2" w:rsidR="00FF2C81" w:rsidRPr="004F5B90" w:rsidRDefault="00FF2C81" w:rsidP="00335DB1">
      <w:pPr>
        <w:spacing w:line="239" w:lineRule="auto"/>
        <w:ind w:right="1360"/>
      </w:pPr>
    </w:p>
    <w:sectPr w:rsidR="00FF2C81" w:rsidRPr="004F5B90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4A50A2" w:rsidRDefault="004A50A2">
      <w:r>
        <w:separator/>
      </w:r>
    </w:p>
  </w:endnote>
  <w:endnote w:type="continuationSeparator" w:id="0">
    <w:p w14:paraId="7FF5A0DF" w14:textId="77777777" w:rsidR="004A50A2" w:rsidRDefault="004A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4A50A2" w:rsidRDefault="004A50A2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4A50A2" w:rsidRDefault="004A50A2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0F4C">
                            <w:rPr>
                              <w:noProof/>
                              <w:sz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4A50A2" w:rsidRDefault="004A50A2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20F4C">
                      <w:rPr>
                        <w:noProof/>
                        <w:sz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4A50A2" w:rsidRDefault="004A50A2">
      <w:r>
        <w:separator/>
      </w:r>
    </w:p>
  </w:footnote>
  <w:footnote w:type="continuationSeparator" w:id="0">
    <w:p w14:paraId="5501EFD2" w14:textId="77777777" w:rsidR="004A50A2" w:rsidRDefault="004A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4A50A2" w:rsidRPr="0068603C" w:rsidRDefault="004A50A2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507ED7A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EB141F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41B71EF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79E2A9E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7545E14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hybridMultilevel"/>
    <w:tmpl w:val="515F007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8"/>
    <w:multiLevelType w:val="hybridMultilevel"/>
    <w:tmpl w:val="5BD062C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9"/>
    <w:multiLevelType w:val="hybridMultilevel"/>
    <w:tmpl w:val="1220085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A"/>
    <w:multiLevelType w:val="hybridMultilevel"/>
    <w:tmpl w:val="4DB127F8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146A6723"/>
    <w:multiLevelType w:val="hybridMultilevel"/>
    <w:tmpl w:val="1B5AB8B6"/>
    <w:lvl w:ilvl="0" w:tplc="FFFFFFFF">
      <w:start w:val="4"/>
      <w:numFmt w:val="bullet"/>
      <w:pStyle w:val="Wypunktowanie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12411"/>
    <w:multiLevelType w:val="multilevel"/>
    <w:tmpl w:val="A5624246"/>
    <w:lvl w:ilvl="0">
      <w:start w:val="10"/>
      <w:numFmt w:val="decimal"/>
      <w:lvlText w:val="%1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num w:numId="1" w16cid:durableId="1957371892">
    <w:abstractNumId w:val="11"/>
  </w:num>
  <w:num w:numId="2" w16cid:durableId="1966276795">
    <w:abstractNumId w:val="9"/>
  </w:num>
  <w:num w:numId="3" w16cid:durableId="1654215670">
    <w:abstractNumId w:val="0"/>
  </w:num>
  <w:num w:numId="4" w16cid:durableId="425032287">
    <w:abstractNumId w:val="1"/>
  </w:num>
  <w:num w:numId="5" w16cid:durableId="1746142510">
    <w:abstractNumId w:val="2"/>
  </w:num>
  <w:num w:numId="6" w16cid:durableId="135614808">
    <w:abstractNumId w:val="3"/>
  </w:num>
  <w:num w:numId="7" w16cid:durableId="1196232638">
    <w:abstractNumId w:val="4"/>
  </w:num>
  <w:num w:numId="8" w16cid:durableId="1191407240">
    <w:abstractNumId w:val="5"/>
  </w:num>
  <w:num w:numId="9" w16cid:durableId="1497110936">
    <w:abstractNumId w:val="6"/>
  </w:num>
  <w:num w:numId="10" w16cid:durableId="534544234">
    <w:abstractNumId w:val="7"/>
  </w:num>
  <w:num w:numId="11" w16cid:durableId="1752265216">
    <w:abstractNumId w:val="8"/>
  </w:num>
  <w:num w:numId="12" w16cid:durableId="53053067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24E4E"/>
    <w:rsid w:val="00036BE3"/>
    <w:rsid w:val="00041278"/>
    <w:rsid w:val="00053870"/>
    <w:rsid w:val="000B1D75"/>
    <w:rsid w:val="000D1297"/>
    <w:rsid w:val="000D67F3"/>
    <w:rsid w:val="000E5914"/>
    <w:rsid w:val="000F6FB6"/>
    <w:rsid w:val="00113847"/>
    <w:rsid w:val="00117933"/>
    <w:rsid w:val="001706D2"/>
    <w:rsid w:val="00172ED9"/>
    <w:rsid w:val="0018630F"/>
    <w:rsid w:val="001B1248"/>
    <w:rsid w:val="001B1E8D"/>
    <w:rsid w:val="00234C85"/>
    <w:rsid w:val="00242558"/>
    <w:rsid w:val="0029215A"/>
    <w:rsid w:val="002B4F01"/>
    <w:rsid w:val="002C1E28"/>
    <w:rsid w:val="002C5437"/>
    <w:rsid w:val="002C649E"/>
    <w:rsid w:val="002E2ABF"/>
    <w:rsid w:val="002F47F3"/>
    <w:rsid w:val="002F5001"/>
    <w:rsid w:val="00303FFE"/>
    <w:rsid w:val="003155E7"/>
    <w:rsid w:val="00321D59"/>
    <w:rsid w:val="003303D8"/>
    <w:rsid w:val="00335DB1"/>
    <w:rsid w:val="003460F3"/>
    <w:rsid w:val="003518DF"/>
    <w:rsid w:val="00360836"/>
    <w:rsid w:val="003A380B"/>
    <w:rsid w:val="003D4CDA"/>
    <w:rsid w:val="003D76EA"/>
    <w:rsid w:val="003E2AD2"/>
    <w:rsid w:val="003E712D"/>
    <w:rsid w:val="0043269F"/>
    <w:rsid w:val="004449FC"/>
    <w:rsid w:val="00455A23"/>
    <w:rsid w:val="0047155D"/>
    <w:rsid w:val="004919CA"/>
    <w:rsid w:val="004A3A41"/>
    <w:rsid w:val="004A50A2"/>
    <w:rsid w:val="004A5229"/>
    <w:rsid w:val="004D2BAE"/>
    <w:rsid w:val="004F5B90"/>
    <w:rsid w:val="00513833"/>
    <w:rsid w:val="00521358"/>
    <w:rsid w:val="00531909"/>
    <w:rsid w:val="00532CA1"/>
    <w:rsid w:val="0053669D"/>
    <w:rsid w:val="00542D58"/>
    <w:rsid w:val="00544C49"/>
    <w:rsid w:val="0054744B"/>
    <w:rsid w:val="00575A21"/>
    <w:rsid w:val="00576801"/>
    <w:rsid w:val="0057792C"/>
    <w:rsid w:val="005A0DC2"/>
    <w:rsid w:val="005A3152"/>
    <w:rsid w:val="005A4F47"/>
    <w:rsid w:val="005A7D37"/>
    <w:rsid w:val="005B22C9"/>
    <w:rsid w:val="005B3339"/>
    <w:rsid w:val="005D0CE3"/>
    <w:rsid w:val="005E72CC"/>
    <w:rsid w:val="005E74B5"/>
    <w:rsid w:val="005F2772"/>
    <w:rsid w:val="005F6362"/>
    <w:rsid w:val="00613DC5"/>
    <w:rsid w:val="00626278"/>
    <w:rsid w:val="0064773F"/>
    <w:rsid w:val="00663970"/>
    <w:rsid w:val="006811E6"/>
    <w:rsid w:val="0068603C"/>
    <w:rsid w:val="006A2E6F"/>
    <w:rsid w:val="006A30A0"/>
    <w:rsid w:val="006D1FE4"/>
    <w:rsid w:val="00756B33"/>
    <w:rsid w:val="007605BA"/>
    <w:rsid w:val="0076361E"/>
    <w:rsid w:val="007651E3"/>
    <w:rsid w:val="0077205E"/>
    <w:rsid w:val="00772E1A"/>
    <w:rsid w:val="00772E68"/>
    <w:rsid w:val="00777384"/>
    <w:rsid w:val="0079337D"/>
    <w:rsid w:val="00793419"/>
    <w:rsid w:val="007B6F41"/>
    <w:rsid w:val="007C5147"/>
    <w:rsid w:val="007D54A9"/>
    <w:rsid w:val="007F2C1D"/>
    <w:rsid w:val="007F59E6"/>
    <w:rsid w:val="0080364E"/>
    <w:rsid w:val="00811008"/>
    <w:rsid w:val="00812BEE"/>
    <w:rsid w:val="0082465B"/>
    <w:rsid w:val="00826C34"/>
    <w:rsid w:val="0084120E"/>
    <w:rsid w:val="00850B1E"/>
    <w:rsid w:val="00856DDE"/>
    <w:rsid w:val="00890D02"/>
    <w:rsid w:val="008C68E4"/>
    <w:rsid w:val="008D1159"/>
    <w:rsid w:val="00905E38"/>
    <w:rsid w:val="00914914"/>
    <w:rsid w:val="0091795F"/>
    <w:rsid w:val="009222B5"/>
    <w:rsid w:val="00947B17"/>
    <w:rsid w:val="00955DC4"/>
    <w:rsid w:val="00980729"/>
    <w:rsid w:val="0098242E"/>
    <w:rsid w:val="00984B95"/>
    <w:rsid w:val="00985148"/>
    <w:rsid w:val="00990C4C"/>
    <w:rsid w:val="009936DB"/>
    <w:rsid w:val="0099682D"/>
    <w:rsid w:val="009A1EF4"/>
    <w:rsid w:val="009A6B41"/>
    <w:rsid w:val="009A6DBA"/>
    <w:rsid w:val="009B463F"/>
    <w:rsid w:val="009C5AA4"/>
    <w:rsid w:val="009C690C"/>
    <w:rsid w:val="00A1159A"/>
    <w:rsid w:val="00A15B4F"/>
    <w:rsid w:val="00A16CC8"/>
    <w:rsid w:val="00A218D2"/>
    <w:rsid w:val="00A21FD7"/>
    <w:rsid w:val="00A22677"/>
    <w:rsid w:val="00AA595F"/>
    <w:rsid w:val="00AC731E"/>
    <w:rsid w:val="00AD58AF"/>
    <w:rsid w:val="00B15ED2"/>
    <w:rsid w:val="00B16A37"/>
    <w:rsid w:val="00B47F50"/>
    <w:rsid w:val="00B50C59"/>
    <w:rsid w:val="00B5220F"/>
    <w:rsid w:val="00B5260D"/>
    <w:rsid w:val="00BA250A"/>
    <w:rsid w:val="00BB428D"/>
    <w:rsid w:val="00BB4AFB"/>
    <w:rsid w:val="00BC519F"/>
    <w:rsid w:val="00BC5CDE"/>
    <w:rsid w:val="00BE6D78"/>
    <w:rsid w:val="00BF2E2A"/>
    <w:rsid w:val="00C20F4C"/>
    <w:rsid w:val="00C25C75"/>
    <w:rsid w:val="00C56C96"/>
    <w:rsid w:val="00C5797F"/>
    <w:rsid w:val="00C64911"/>
    <w:rsid w:val="00C82F92"/>
    <w:rsid w:val="00C8404C"/>
    <w:rsid w:val="00C85769"/>
    <w:rsid w:val="00CB0844"/>
    <w:rsid w:val="00D06AC6"/>
    <w:rsid w:val="00D41EEC"/>
    <w:rsid w:val="00D562F3"/>
    <w:rsid w:val="00D60792"/>
    <w:rsid w:val="00D62DD3"/>
    <w:rsid w:val="00D6655B"/>
    <w:rsid w:val="00D67C15"/>
    <w:rsid w:val="00DA5C2E"/>
    <w:rsid w:val="00DD632C"/>
    <w:rsid w:val="00DF4746"/>
    <w:rsid w:val="00E1415A"/>
    <w:rsid w:val="00E1745C"/>
    <w:rsid w:val="00E20217"/>
    <w:rsid w:val="00E40438"/>
    <w:rsid w:val="00EC43C9"/>
    <w:rsid w:val="00EC7A70"/>
    <w:rsid w:val="00EE0BEE"/>
    <w:rsid w:val="00F0173A"/>
    <w:rsid w:val="00F075B7"/>
    <w:rsid w:val="00F52932"/>
    <w:rsid w:val="00F6181D"/>
    <w:rsid w:val="00FA7023"/>
    <w:rsid w:val="00FB353B"/>
    <w:rsid w:val="00FB6643"/>
    <w:rsid w:val="00FC0567"/>
    <w:rsid w:val="00FC3D12"/>
    <w:rsid w:val="00FF2C81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26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26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547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2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2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2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aliases w:val="Lista uwag,Akapit z listą2"/>
    <w:basedOn w:val="Normalny"/>
    <w:link w:val="AkapitzlistZnak"/>
    <w:uiPriority w:val="34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2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5474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semiHidden/>
    <w:rsid w:val="0054744B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4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4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744B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44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Tekstpodstawowywcity2">
    <w:name w:val="Body Text Indent 2"/>
    <w:basedOn w:val="Normalny"/>
    <w:link w:val="Tekstpodstawowywcity2Znak"/>
    <w:unhideWhenUsed/>
    <w:rsid w:val="005474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Spistreci3">
    <w:name w:val="toc 3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455A23"/>
  </w:style>
  <w:style w:type="character" w:styleId="Odwoanieprzypisudolnego">
    <w:name w:val="footnote reference"/>
    <w:basedOn w:val="Domylnaczcionkaakapitu"/>
    <w:semiHidden/>
    <w:rsid w:val="00455A23"/>
    <w:rPr>
      <w:vertAlign w:val="superscript"/>
    </w:rPr>
  </w:style>
  <w:style w:type="paragraph" w:customStyle="1" w:styleId="Standardowytekst">
    <w:name w:val="Standardowy.tekst"/>
    <w:rsid w:val="00455A2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455A23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5A23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455A23"/>
    <w:pPr>
      <w:widowControl/>
      <w:autoSpaceDE/>
      <w:autoSpaceDN/>
      <w:spacing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455A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5A2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455A23"/>
    <w:pPr>
      <w:numPr>
        <w:numId w:val="2"/>
      </w:numPr>
      <w:autoSpaceDE/>
      <w:autoSpaceDN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455A23"/>
    <w:pPr>
      <w:autoSpaceDE/>
      <w:autoSpaceDN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2CC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2CC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2CC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customStyle="1" w:styleId="Teksttablicy">
    <w:name w:val="Tekst tablicy"/>
    <w:basedOn w:val="Tekstpodstawowy"/>
    <w:next w:val="Tekstpodstawowy"/>
    <w:rsid w:val="005E72CC"/>
    <w:pPr>
      <w:keepLines/>
      <w:widowControl/>
      <w:autoSpaceDE/>
      <w:autoSpaceDN/>
      <w:ind w:left="0"/>
      <w:jc w:val="center"/>
    </w:pPr>
    <w:rPr>
      <w:rFonts w:ascii="Arial" w:eastAsia="Times New Roman" w:hAnsi="Arial" w:cs="Times New Roman"/>
      <w:sz w:val="24"/>
      <w:lang w:val="fr-FR" w:eastAsia="pl-PL"/>
    </w:rPr>
  </w:style>
  <w:style w:type="paragraph" w:customStyle="1" w:styleId="StylIwony">
    <w:name w:val="Styl Iwony"/>
    <w:basedOn w:val="Normalny"/>
    <w:rsid w:val="0080364E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customStyle="1" w:styleId="Style182">
    <w:name w:val="Style182"/>
    <w:basedOn w:val="Normalny"/>
    <w:rsid w:val="004D2BAE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17">
    <w:name w:val="Font Style217"/>
    <w:rsid w:val="004D2BA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4D2BAE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947B17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6">
    <w:name w:val="Style16"/>
    <w:basedOn w:val="Normalny"/>
    <w:rsid w:val="00B16A37"/>
    <w:pPr>
      <w:adjustRightInd w:val="0"/>
      <w:spacing w:line="235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92">
    <w:name w:val="Style192"/>
    <w:basedOn w:val="Normalny"/>
    <w:rsid w:val="004449FC"/>
    <w:pPr>
      <w:adjustRightInd w:val="0"/>
      <w:spacing w:line="235" w:lineRule="exact"/>
      <w:ind w:hanging="278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4449FC"/>
    <w:pPr>
      <w:adjustRightInd w:val="0"/>
      <w:spacing w:line="480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9">
    <w:name w:val="Style189"/>
    <w:basedOn w:val="Normalny"/>
    <w:rsid w:val="00BB428D"/>
    <w:pPr>
      <w:adjustRightInd w:val="0"/>
      <w:spacing w:line="228" w:lineRule="exact"/>
      <w:ind w:hanging="36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5">
    <w:name w:val="Style185"/>
    <w:basedOn w:val="Normalny"/>
    <w:rsid w:val="00BF2E2A"/>
    <w:pPr>
      <w:adjustRightInd w:val="0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92">
    <w:name w:val="Style92"/>
    <w:basedOn w:val="Normalny"/>
    <w:rsid w:val="00BF2E2A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rsid w:val="003D76EA"/>
    <w:rPr>
      <w:rFonts w:ascii="Arial" w:hAnsi="Arial" w:cs="Arial"/>
      <w:b/>
      <w:bCs/>
      <w:sz w:val="30"/>
      <w:szCs w:val="30"/>
    </w:rPr>
  </w:style>
  <w:style w:type="paragraph" w:styleId="Spisilustracji">
    <w:name w:val="table of figures"/>
    <w:basedOn w:val="Normalny"/>
    <w:next w:val="Normalny"/>
    <w:uiPriority w:val="99"/>
    <w:rsid w:val="007651E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A50A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A50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a uwag Znak,Akapit z listą2 Znak"/>
    <w:link w:val="Akapitzlist"/>
    <w:uiPriority w:val="34"/>
    <w:locked/>
    <w:rsid w:val="004A50A2"/>
    <w:rPr>
      <w:rFonts w:ascii="Verdana" w:eastAsia="Verdana" w:hAnsi="Verdana" w:cs="Verdana"/>
      <w:lang w:val="pl-PL"/>
    </w:rPr>
  </w:style>
  <w:style w:type="paragraph" w:customStyle="1" w:styleId="TEKSTPODSTAWOWY0">
    <w:name w:val="TEKST PODSTAWOWY"/>
    <w:basedOn w:val="Normalny"/>
    <w:link w:val="TEKSTPODSTAWOWYZnak"/>
    <w:autoRedefine/>
    <w:rsid w:val="0082465B"/>
    <w:pPr>
      <w:widowControl/>
      <w:autoSpaceDE/>
      <w:autoSpaceDN/>
      <w:ind w:left="284" w:right="629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0"/>
    <w:rsid w:val="0082465B"/>
    <w:rPr>
      <w:rFonts w:ascii="Verdana" w:eastAsia="Times New Roman" w:hAnsi="Verdana" w:cs="Times New Roman"/>
      <w:sz w:val="20"/>
      <w:szCs w:val="20"/>
      <w:lang w:val="pl-PL" w:eastAsia="pl-PL"/>
    </w:rPr>
  </w:style>
  <w:style w:type="paragraph" w:styleId="Listanumerowana3">
    <w:name w:val="List Number 3"/>
    <w:basedOn w:val="Normalny"/>
    <w:rsid w:val="00D562F3"/>
    <w:pPr>
      <w:widowControl/>
      <w:autoSpaceDE/>
      <w:autoSpaceDN/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2772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ormy.pl/?m=doc&amp;nid=PN-91.100.10-0025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ormy.pl/?m=doc&amp;nid=PN-91.100.10-0025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019A4-B736-44B2-9E16-912F69759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8</Pages>
  <Words>1412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126</cp:revision>
  <dcterms:created xsi:type="dcterms:W3CDTF">2022-09-29T19:21:00Z</dcterms:created>
  <dcterms:modified xsi:type="dcterms:W3CDTF">2023-03-13T13:11:00Z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