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73E06F5C" w:rsidR="008747B6" w:rsidRPr="008512AE" w:rsidRDefault="008747B6" w:rsidP="000B27D6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8834CF">
              <w:rPr>
                <w:rFonts w:ascii="Arial" w:hAnsi="Arial" w:cs="Arial"/>
                <w:b/>
                <w:spacing w:val="12"/>
                <w:szCs w:val="19"/>
              </w:rPr>
              <w:t>3</w:t>
            </w:r>
            <w:r w:rsidR="000B27D6">
              <w:rPr>
                <w:rFonts w:ascii="Arial" w:hAnsi="Arial" w:cs="Arial"/>
                <w:b/>
                <w:spacing w:val="12"/>
                <w:szCs w:val="19"/>
              </w:rPr>
              <w:t>7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77777777" w:rsidR="008747B6" w:rsidRPr="00D06E95" w:rsidRDefault="008747B6" w:rsidP="008747B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 prowadzenia działalności: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3D6A010D" w:rsidR="00162AFA" w:rsidRPr="00D06E95" w:rsidRDefault="009946EC" w:rsidP="000B27D6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A759F5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DOSTAWA</w:t>
      </w:r>
      <w:r w:rsidR="005D0CBF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0B27D6" w:rsidRPr="000B27D6">
        <w:rPr>
          <w:rFonts w:ascii="Arial" w:hAnsi="Arial" w:cs="Arial"/>
          <w:b/>
          <w:color w:val="0066FF"/>
          <w:spacing w:val="-6"/>
          <w:sz w:val="19"/>
          <w:szCs w:val="19"/>
        </w:rPr>
        <w:t>ELEME</w:t>
      </w:r>
      <w:r w:rsidR="00902280">
        <w:rPr>
          <w:rFonts w:ascii="Arial" w:hAnsi="Arial" w:cs="Arial"/>
          <w:b/>
          <w:color w:val="0066FF"/>
          <w:spacing w:val="-6"/>
          <w:sz w:val="19"/>
          <w:szCs w:val="19"/>
        </w:rPr>
        <w:t>NTÓW ROTACYJNYCH DO ZESTAWÓW IP</w:t>
      </w:r>
      <w:r w:rsidR="000B27D6" w:rsidRPr="000B27D6">
        <w:rPr>
          <w:rFonts w:ascii="Arial" w:hAnsi="Arial" w:cs="Arial"/>
          <w:b/>
          <w:color w:val="0066FF"/>
          <w:spacing w:val="-6"/>
          <w:sz w:val="19"/>
          <w:szCs w:val="19"/>
        </w:rPr>
        <w:t>M</w:t>
      </w:r>
      <w:r w:rsidR="00902280">
        <w:rPr>
          <w:rFonts w:ascii="Arial" w:hAnsi="Arial" w:cs="Arial"/>
          <w:b/>
          <w:color w:val="0066FF"/>
          <w:spacing w:val="-6"/>
          <w:sz w:val="19"/>
          <w:szCs w:val="19"/>
        </w:rPr>
        <w:t>E</w:t>
      </w:r>
      <w:bookmarkStart w:id="0" w:name="_GoBack"/>
      <w:bookmarkEnd w:id="0"/>
      <w:r w:rsidR="000B27D6" w:rsidRPr="000B27D6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D I WALIZEK REANIMACYJNYCH </w:t>
      </w:r>
      <w:r w:rsidR="005B226E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zadanie nr ____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17A75816" w:rsidR="008834CF" w:rsidRPr="000B27D6" w:rsidRDefault="008834CF" w:rsidP="000B27D6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>WYKONAWCA zobowiązany jest do realizacji przedmiotu zamówienia, w nieprzekraczalnym terminie</w:t>
      </w:r>
      <w:r w:rsidR="000B27D6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do </w:t>
      </w:r>
      <w:r w:rsidR="00A6369A" w:rsidRPr="009503F8">
        <w:rPr>
          <w:rFonts w:ascii="Arial" w:hAnsi="Arial" w:cs="Arial"/>
          <w:bCs/>
          <w:spacing w:val="-6"/>
          <w:sz w:val="19"/>
          <w:szCs w:val="19"/>
        </w:rPr>
        <w:t>1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mies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. od daty </w:t>
      </w:r>
      <w:r w:rsidR="000B27D6">
        <w:rPr>
          <w:rFonts w:ascii="Arial" w:hAnsi="Arial" w:cs="Arial"/>
          <w:bCs/>
          <w:spacing w:val="-6"/>
          <w:sz w:val="19"/>
          <w:szCs w:val="19"/>
        </w:rPr>
        <w:t>podpisania umowy.</w:t>
      </w:r>
    </w:p>
    <w:p w14:paraId="74D93960" w14:textId="77777777" w:rsidR="009503F8" w:rsidRPr="009503F8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Ostroroga 35. </w:t>
      </w:r>
    </w:p>
    <w:p w14:paraId="5C0DE94C" w14:textId="502A0D3E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ZAMAWIAJĄCY dopuszcza dostarczanie 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usługi kurierskie, podwykonawcy), po przekazaniu ZAMAWIAJĄCEMU danych podmiotu trzeciego (nazwa firmy, siedziba</w:t>
      </w:r>
      <w:r w:rsidR="00D8188F" w:rsidRPr="00D06E95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09AE907B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784B01">
        <w:rPr>
          <w:rFonts w:ascii="Arial" w:hAnsi="Arial" w:cs="Arial"/>
          <w:b/>
          <w:bCs/>
          <w:spacing w:val="-6"/>
          <w:sz w:val="19"/>
          <w:szCs w:val="19"/>
        </w:rPr>
        <w:t>5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dni roboczych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1C6987BA" w:rsidR="00D101E5" w:rsidRPr="00D06E95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101E5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powyżej może być ustalony jedynie w dni robocze</w:t>
      </w:r>
      <w:r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D06E95">
        <w:rPr>
          <w:rFonts w:ascii="Arial" w:hAnsi="Arial" w:cs="Arial"/>
          <w:spacing w:val="-6"/>
          <w:sz w:val="19"/>
          <w:szCs w:val="19"/>
        </w:rPr>
        <w:t>realizacji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D06E95">
        <w:rPr>
          <w:rFonts w:ascii="Arial" w:hAnsi="Arial" w:cs="Arial"/>
          <w:spacing w:val="-6"/>
          <w:sz w:val="19"/>
          <w:szCs w:val="19"/>
        </w:rPr>
        <w:t>na podstawie protokołu 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braku zastrzeżeń z ww. czynności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51937286" w14:textId="77777777" w:rsidR="004735AB" w:rsidRPr="009503F8" w:rsidRDefault="004735AB" w:rsidP="004735AB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lastRenderedPageBreak/>
        <w:t>Wraz z dostawą przedmiotu zamówienia do ZAMAWIAJĄCEGO w przypadku występowania w dostarczanych produktach Niebezpiecznych Substancji Chemicznych (NSCh) lub/i Substancji Zubożających Warstwę Ozonową (SZWO) wraz z dokumentacją WYKONAWCA  dostarcza Kartę Charakterystyki NSCh lub/i SZWO /</w:t>
      </w:r>
      <w:r w:rsidRPr="009503F8">
        <w:rPr>
          <w:rFonts w:ascii="Arial" w:hAnsi="Arial" w:cs="Arial"/>
          <w:bCs/>
          <w:i/>
          <w:spacing w:val="-6"/>
          <w:sz w:val="19"/>
          <w:szCs w:val="19"/>
        </w:rPr>
        <w:t>jeśli dotyczy</w:t>
      </w:r>
      <w:r w:rsidRPr="009503F8">
        <w:rPr>
          <w:rFonts w:ascii="Arial" w:hAnsi="Arial" w:cs="Arial"/>
          <w:bCs/>
          <w:spacing w:val="-6"/>
          <w:sz w:val="19"/>
          <w:szCs w:val="19"/>
        </w:rPr>
        <w:t>/.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7AFDB6A0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534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351AFC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351AFC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25066F02" w14:textId="22B99223" w:rsidR="00607E95" w:rsidRPr="008C7129" w:rsidRDefault="0055395D" w:rsidP="00626668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4806F2E" w14:textId="77777777" w:rsidR="00F53F25" w:rsidRPr="008C7129" w:rsidRDefault="00F53F25" w:rsidP="00F53F25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 xml:space="preserve">ZAMAWIAJĄCY w okresie trwania umowy, na mocy art. 441 ust 1 ustawy Pzp., </w:t>
      </w:r>
      <w:r w:rsidRPr="008C7129">
        <w:rPr>
          <w:rFonts w:ascii="Arial" w:hAnsi="Arial" w:cs="Arial"/>
          <w:b/>
          <w:bCs/>
          <w:spacing w:val="-6"/>
          <w:sz w:val="19"/>
          <w:szCs w:val="19"/>
        </w:rPr>
        <w:t>może skorzystać z prawa opcji</w:t>
      </w:r>
      <w:r w:rsidRPr="008C7129">
        <w:rPr>
          <w:rFonts w:ascii="Arial" w:hAnsi="Arial" w:cs="Arial"/>
          <w:bCs/>
          <w:spacing w:val="-6"/>
          <w:sz w:val="19"/>
          <w:szCs w:val="19"/>
        </w:rPr>
        <w:t>, co jest rozumiane przez Strony umowy, że zakres dostaw towaru może ulegać zwiększaniu do maksymalnych ilości dostaw poszczególnych pozycji towaru:</w:t>
      </w:r>
    </w:p>
    <w:p w14:paraId="6158AC79" w14:textId="78651693" w:rsidR="00624B92" w:rsidRPr="008C7129" w:rsidRDefault="00624B92" w:rsidP="00624B92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 xml:space="preserve">Zamawiający określił </w:t>
      </w:r>
      <w:r w:rsidR="0013257B" w:rsidRPr="008C7129">
        <w:rPr>
          <w:rFonts w:ascii="Arial" w:hAnsi="Arial" w:cs="Arial"/>
          <w:bCs/>
          <w:spacing w:val="-6"/>
          <w:sz w:val="19"/>
          <w:szCs w:val="19"/>
        </w:rPr>
        <w:t>w</w:t>
      </w:r>
      <w:r w:rsidR="008C7129" w:rsidRPr="008C7129">
        <w:rPr>
          <w:rFonts w:ascii="Arial" w:hAnsi="Arial" w:cs="Arial"/>
          <w:bCs/>
          <w:spacing w:val="-6"/>
          <w:sz w:val="19"/>
          <w:szCs w:val="19"/>
        </w:rPr>
        <w:t xml:space="preserve"> OPZ i</w:t>
      </w:r>
      <w:r w:rsidR="0013257B" w:rsidRPr="008C7129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8C7129" w:rsidRPr="008C7129">
        <w:rPr>
          <w:rFonts w:ascii="Arial" w:hAnsi="Arial" w:cs="Arial"/>
          <w:bCs/>
          <w:spacing w:val="-6"/>
          <w:sz w:val="19"/>
          <w:szCs w:val="19"/>
        </w:rPr>
        <w:t xml:space="preserve">formularzu cenowym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zakres i ilości jakie WYKONAWCA ma bezwarunkowo zrealizować, dalej zwane „podstawowym zakresem”;</w:t>
      </w:r>
    </w:p>
    <w:p w14:paraId="5E36245B" w14:textId="48906C2F" w:rsidR="00F53F25" w:rsidRPr="008C7129" w:rsidRDefault="00F53F25" w:rsidP="00F53F25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Prawem opcji jest możliwość zwiększenia dostawy przedmiotu zamówienia, na warunkach zawartej umowy, do wielkości maksymalnych wskazanych w OPZ i formularzu cenowym (załączniki nr 1 i 2 do umowy);</w:t>
      </w:r>
    </w:p>
    <w:p w14:paraId="5E1D9F6F" w14:textId="6692C33C" w:rsidR="00F53F25" w:rsidRPr="008C7129" w:rsidRDefault="00F53F25" w:rsidP="00F53F25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317A4023" w14:textId="3D1E3273" w:rsidR="00F53F25" w:rsidRPr="008C7129" w:rsidRDefault="00F53F25" w:rsidP="000B27D6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 xml:space="preserve">Warunkiem uruchomienia prawa opcji jest złożenie przez ZAMAWIAJĄCEGO oświadczenia woli w przedmiocie skorzystania z prawa opcji w określonym przez niego zakresie oraz złożenie odpowiedniego zamówienia częściowego, wykraczającego poza ilości określone w podstawowym zakresie. Złożenie oświadczenia woli nastąpi nie później niż 2 tygodnie </w:t>
      </w:r>
      <w:r w:rsidR="000B27D6" w:rsidRPr="008C7129">
        <w:rPr>
          <w:rFonts w:ascii="Arial" w:hAnsi="Arial" w:cs="Arial"/>
          <w:bCs/>
          <w:spacing w:val="-6"/>
          <w:sz w:val="19"/>
          <w:szCs w:val="19"/>
        </w:rPr>
        <w:t>upływem terminu ważności umowy;</w:t>
      </w:r>
    </w:p>
    <w:p w14:paraId="3F31E07A" w14:textId="012FD6AD" w:rsidR="000240E9" w:rsidRPr="008C7129" w:rsidRDefault="00F53F25" w:rsidP="000240E9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 xml:space="preserve">Realizacja dostaw opcjonalnych może nastąpić tylko i wyłącznie za zgodą </w:t>
      </w:r>
      <w:r w:rsidR="00624B92" w:rsidRPr="008C7129">
        <w:rPr>
          <w:rFonts w:ascii="Arial" w:hAnsi="Arial" w:cs="Arial"/>
          <w:bCs/>
          <w:spacing w:val="-6"/>
          <w:sz w:val="19"/>
          <w:szCs w:val="19"/>
        </w:rPr>
        <w:t>ZAMAWIAJĄCEGO</w:t>
      </w:r>
      <w:r w:rsidRPr="008C7129">
        <w:rPr>
          <w:rFonts w:ascii="Arial" w:hAnsi="Arial" w:cs="Arial"/>
          <w:bCs/>
          <w:spacing w:val="-6"/>
          <w:sz w:val="19"/>
          <w:szCs w:val="19"/>
        </w:rPr>
        <w:t>, w zakresie i i</w:t>
      </w:r>
      <w:r w:rsidR="000240E9" w:rsidRPr="008C7129">
        <w:rPr>
          <w:rFonts w:ascii="Arial" w:hAnsi="Arial" w:cs="Arial"/>
          <w:bCs/>
          <w:spacing w:val="-6"/>
          <w:sz w:val="19"/>
          <w:szCs w:val="19"/>
        </w:rPr>
        <w:t>lościach przez niego wskazanych</w:t>
      </w:r>
      <w:r w:rsidR="000240E9" w:rsidRPr="008C7129">
        <w:rPr>
          <w:rFonts w:ascii="Arial" w:hAnsi="Arial"/>
          <w:spacing w:val="-6"/>
          <w:sz w:val="18"/>
          <w:szCs w:val="18"/>
        </w:rPr>
        <w:t>, w obowi</w:t>
      </w:r>
      <w:r w:rsidR="000240E9" w:rsidRPr="008C7129">
        <w:rPr>
          <w:rFonts w:ascii="Arial" w:hAnsi="Arial" w:hint="cs"/>
          <w:spacing w:val="-6"/>
          <w:sz w:val="18"/>
          <w:szCs w:val="18"/>
        </w:rPr>
        <w:t>ą</w:t>
      </w:r>
      <w:r w:rsidR="000240E9" w:rsidRPr="008C7129">
        <w:rPr>
          <w:rFonts w:ascii="Arial" w:hAnsi="Arial"/>
          <w:spacing w:val="-6"/>
          <w:sz w:val="18"/>
          <w:szCs w:val="18"/>
        </w:rPr>
        <w:t>zuj</w:t>
      </w:r>
      <w:r w:rsidR="000240E9" w:rsidRPr="008C7129">
        <w:rPr>
          <w:rFonts w:ascii="Arial" w:hAnsi="Arial" w:hint="cs"/>
          <w:spacing w:val="-6"/>
          <w:sz w:val="18"/>
          <w:szCs w:val="18"/>
        </w:rPr>
        <w:t>ą</w:t>
      </w:r>
      <w:r w:rsidR="000240E9" w:rsidRPr="008C7129">
        <w:rPr>
          <w:rFonts w:ascii="Arial" w:hAnsi="Arial"/>
          <w:spacing w:val="-6"/>
          <w:sz w:val="18"/>
          <w:szCs w:val="18"/>
        </w:rPr>
        <w:t>cych cenach jednostkowych, w terminie realizacji (obowi</w:t>
      </w:r>
      <w:r w:rsidR="000240E9" w:rsidRPr="008C7129">
        <w:rPr>
          <w:rFonts w:ascii="Arial" w:hAnsi="Arial" w:hint="cs"/>
          <w:spacing w:val="-6"/>
          <w:sz w:val="18"/>
          <w:szCs w:val="18"/>
        </w:rPr>
        <w:t>ą</w:t>
      </w:r>
      <w:r w:rsidR="000240E9" w:rsidRPr="008C7129">
        <w:rPr>
          <w:rFonts w:ascii="Arial" w:hAnsi="Arial"/>
          <w:spacing w:val="-6"/>
          <w:sz w:val="18"/>
          <w:szCs w:val="18"/>
        </w:rPr>
        <w:t>zywania) Umowy;</w:t>
      </w:r>
    </w:p>
    <w:p w14:paraId="7B5B876D" w14:textId="306C8B84" w:rsidR="00F53F25" w:rsidRPr="008C7129" w:rsidRDefault="00F53F25" w:rsidP="00F53F25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Prawo opcji jest uprawnieniem ZAMAWIAJĄCEGO, z którego może, ale nie musi skorzystać w ramach realizacji zawartej umowy. W przypadku nie skorzystania przez ZAMAWIAJĄCEGO z prawa opcji lub skorzystania częściowego, WYKONAWCY nie przysługują żadne roszczenia z tego tytułu;</w:t>
      </w:r>
    </w:p>
    <w:p w14:paraId="01675A10" w14:textId="77777777" w:rsidR="00F53F25" w:rsidRPr="008C7129" w:rsidRDefault="00F53F25" w:rsidP="00F53F25">
      <w:pPr>
        <w:pStyle w:val="Akapitzlist"/>
        <w:numPr>
          <w:ilvl w:val="1"/>
          <w:numId w:val="27"/>
        </w:numPr>
        <w:spacing w:before="40" w:after="0" w:line="260" w:lineRule="exact"/>
        <w:ind w:left="850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8C7129">
        <w:rPr>
          <w:rFonts w:ascii="Arial" w:hAnsi="Arial" w:cs="Arial"/>
          <w:bCs/>
          <w:spacing w:val="-6"/>
          <w:sz w:val="19"/>
          <w:szCs w:val="19"/>
        </w:rPr>
        <w:t>Warunki i sposób realizacji przedmiotu zamówienia objętego prawem opcji są tożsame z obowiązującymi przy realizacji zakresu podstawowego przedmiotu zamówienia.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6B1A5444" w14:textId="77777777" w:rsidR="007452EC" w:rsidRPr="007452EC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Wartości określone w ust. 1 stanowią sumę wartości: </w:t>
      </w:r>
    </w:p>
    <w:p w14:paraId="6C1F9788" w14:textId="44AC57AC" w:rsidR="007452EC" w:rsidRPr="007452EC" w:rsidRDefault="007452EC" w:rsidP="007452EC">
      <w:pPr>
        <w:pStyle w:val="Akapitzlist"/>
        <w:numPr>
          <w:ilvl w:val="1"/>
          <w:numId w:val="33"/>
        </w:numPr>
        <w:spacing w:after="0" w:line="260" w:lineRule="exact"/>
        <w:ind w:left="850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zamówienia </w:t>
      </w:r>
      <w:r w:rsidRPr="007452EC">
        <w:rPr>
          <w:rFonts w:ascii="Arial" w:hAnsi="Arial" w:cs="Arial"/>
          <w:b/>
          <w:spacing w:val="-6"/>
          <w:sz w:val="19"/>
          <w:szCs w:val="19"/>
        </w:rPr>
        <w:t>podstawowego</w:t>
      </w:r>
      <w:r w:rsidRPr="007452EC">
        <w:rPr>
          <w:rFonts w:ascii="Arial" w:hAnsi="Arial" w:cs="Arial"/>
          <w:spacing w:val="-6"/>
          <w:sz w:val="19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31B110A2" w14:textId="77777777" w:rsidTr="0013257B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3052CBA" w14:textId="77777777" w:rsidR="007452EC" w:rsidRPr="007452EC" w:rsidRDefault="007452EC" w:rsidP="00445891">
            <w:pPr>
              <w:spacing w:after="0" w:line="260" w:lineRule="exact"/>
              <w:ind w:right="-115"/>
              <w:rPr>
                <w:rFonts w:ascii="Arial" w:hAnsi="Arial" w:cs="Arial"/>
                <w:b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9199D6" w14:textId="77777777" w:rsidR="007452EC" w:rsidRPr="007452EC" w:rsidRDefault="007452EC" w:rsidP="00445891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14C77E69" w14:textId="77777777" w:rsidR="007452EC" w:rsidRPr="007452EC" w:rsidRDefault="007452EC" w:rsidP="00445891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4449498D" w14:textId="77777777" w:rsidR="007452EC" w:rsidRPr="007452EC" w:rsidRDefault="007452EC" w:rsidP="00445891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A978408" w14:textId="77777777" w:rsidR="007452EC" w:rsidRPr="007452EC" w:rsidRDefault="007452EC" w:rsidP="00445891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z w:val="16"/>
                <w:szCs w:val="19"/>
              </w:rPr>
              <w:t>… i 00/100)</w:t>
            </w:r>
          </w:p>
        </w:tc>
      </w:tr>
    </w:tbl>
    <w:p w14:paraId="70D7D5A4" w14:textId="77777777" w:rsidR="007452EC" w:rsidRPr="007452EC" w:rsidRDefault="007452EC" w:rsidP="007452EC">
      <w:pPr>
        <w:pStyle w:val="Akapitzlist"/>
        <w:numPr>
          <w:ilvl w:val="1"/>
          <w:numId w:val="33"/>
        </w:numPr>
        <w:spacing w:after="0" w:line="260" w:lineRule="exact"/>
        <w:ind w:left="850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zamówienia w ramach </w:t>
      </w:r>
      <w:r w:rsidRPr="007452EC">
        <w:rPr>
          <w:rFonts w:ascii="Arial" w:hAnsi="Arial" w:cs="Arial"/>
          <w:b/>
          <w:spacing w:val="-6"/>
          <w:sz w:val="19"/>
          <w:szCs w:val="19"/>
        </w:rPr>
        <w:t>prawa opcji</w:t>
      </w:r>
      <w:r w:rsidRPr="007452EC">
        <w:rPr>
          <w:rFonts w:ascii="Arial" w:hAnsi="Arial" w:cs="Arial"/>
          <w:spacing w:val="-6"/>
          <w:sz w:val="19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32CC3924" w14:textId="77777777" w:rsidTr="0013257B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232BD6A9" w14:textId="77777777" w:rsidR="007452EC" w:rsidRPr="007452EC" w:rsidRDefault="007452EC" w:rsidP="00445891">
            <w:pPr>
              <w:spacing w:after="0" w:line="260" w:lineRule="exact"/>
              <w:ind w:right="-115"/>
              <w:rPr>
                <w:rFonts w:ascii="Arial" w:hAnsi="Arial" w:cs="Arial"/>
                <w:b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D6E264" w14:textId="77777777" w:rsidR="007452EC" w:rsidRPr="007452EC" w:rsidRDefault="007452EC" w:rsidP="00445891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45B7FDBB" w14:textId="77777777" w:rsidR="007452EC" w:rsidRPr="007452EC" w:rsidRDefault="007452EC" w:rsidP="00445891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3E8DBBE3" w14:textId="77777777" w:rsidR="007452EC" w:rsidRPr="007452EC" w:rsidRDefault="007452EC" w:rsidP="00445891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6DBBD8" w14:textId="77777777" w:rsidR="007452EC" w:rsidRPr="007452EC" w:rsidRDefault="007452EC" w:rsidP="00445891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z w:val="16"/>
                <w:szCs w:val="19"/>
              </w:rPr>
              <w:t>… i 00/100)</w:t>
            </w:r>
          </w:p>
        </w:tc>
      </w:tr>
    </w:tbl>
    <w:p w14:paraId="4709CADF" w14:textId="7F07272D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</w:t>
      </w:r>
      <w:r w:rsidRPr="00626668">
        <w:rPr>
          <w:rFonts w:ascii="Arial" w:hAnsi="Arial" w:cs="Arial"/>
          <w:spacing w:val="-6"/>
          <w:sz w:val="19"/>
          <w:szCs w:val="19"/>
        </w:rPr>
        <w:lastRenderedPageBreak/>
        <w:t xml:space="preserve">ust. 2 pkt 2.1., 2.2. lub 2.3.a), WYKONAWCY przysługuje minimalne 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9503F8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nie </w:t>
      </w:r>
      <w:r w:rsidRPr="009503F8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9503F8">
        <w:rPr>
          <w:rFonts w:ascii="Arial" w:hAnsi="Arial" w:cs="Arial"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spacing w:val="-6"/>
          <w:sz w:val="19"/>
          <w:szCs w:val="19"/>
        </w:rPr>
        <w:t>.</w:t>
      </w:r>
      <w:r w:rsidR="004418E4" w:rsidRPr="009503F8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9503F8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9503F8">
        <w:rPr>
          <w:rFonts w:ascii="Arial" w:hAnsi="Arial" w:cs="Arial"/>
          <w:spacing w:val="-6"/>
          <w:sz w:val="19"/>
          <w:szCs w:val="19"/>
        </w:rPr>
        <w:t xml:space="preserve">ZAMAWIAJĄCY zobowiązuje się do zapłaty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1586E10E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8C7129" w:rsidRPr="008C7129">
        <w:rPr>
          <w:rFonts w:ascii="Arial" w:hAnsi="Arial" w:cs="Arial"/>
          <w:spacing w:val="-6"/>
          <w:sz w:val="19"/>
          <w:szCs w:val="19"/>
        </w:rPr>
        <w:t>mowa w ust. 9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0A04D2A4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 przypadku, gdy rachunek bankowy WYKONAWCY nie spełnia warunków określonych w ust. 1</w:t>
      </w:r>
      <w:r w:rsidR="00C15524">
        <w:rPr>
          <w:rFonts w:ascii="Arial" w:hAnsi="Arial" w:cs="Arial"/>
          <w:spacing w:val="-6"/>
          <w:sz w:val="19"/>
          <w:szCs w:val="19"/>
        </w:rPr>
        <w:t>3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, opóźnienia w dokonaniu płatności w terminie określonym w ust. 7,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</w:t>
      </w:r>
      <w:r w:rsidR="007A59DB" w:rsidRPr="004A1CF1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4A1CF1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stwierdzenia w okresie gwarancji wad fizycznych w dostarczonym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4A1CF1">
        <w:rPr>
          <w:rFonts w:ascii="Arial" w:hAnsi="Arial" w:cs="Arial"/>
          <w:spacing w:val="-6"/>
          <w:sz w:val="19"/>
          <w:szCs w:val="19"/>
        </w:rPr>
        <w:t>Z</w:t>
      </w:r>
      <w:r w:rsidRPr="004A1CF1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15973EB1" w:rsidR="00F97033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Przedmiotem Zamówienia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244CDDE8" w14:textId="290B9D03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wymieni wadliwy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na nowy 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w terminie </w:t>
      </w:r>
      <w:r w:rsidR="0073022D">
        <w:rPr>
          <w:rFonts w:ascii="Arial" w:hAnsi="Arial" w:cs="Arial"/>
          <w:spacing w:val="-6"/>
          <w:sz w:val="18"/>
          <w:szCs w:val="19"/>
        </w:rPr>
        <w:t>14</w:t>
      </w:r>
      <w:r w:rsidR="00A45712" w:rsidRPr="004A1CF1">
        <w:rPr>
          <w:rFonts w:ascii="Arial" w:hAnsi="Arial" w:cs="Arial"/>
          <w:spacing w:val="-6"/>
          <w:sz w:val="18"/>
          <w:szCs w:val="19"/>
        </w:rPr>
        <w:t xml:space="preserve"> dni roboczych, na własny koszt i ryzyko</w:t>
      </w:r>
      <w:r w:rsidRPr="004A1CF1">
        <w:rPr>
          <w:rFonts w:ascii="Arial" w:hAnsi="Arial" w:cs="Arial"/>
          <w:spacing w:val="-6"/>
          <w:sz w:val="18"/>
          <w:szCs w:val="19"/>
        </w:rPr>
        <w:t>;</w:t>
      </w:r>
    </w:p>
    <w:p w14:paraId="59EB7C42" w14:textId="6C139E34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405AF4D5" w:rsidR="00F97033" w:rsidRPr="004A1CF1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4A1CF1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4A1CF1">
        <w:rPr>
          <w:rFonts w:ascii="Arial" w:hAnsi="Arial" w:cs="Arial"/>
          <w:spacing w:val="-6"/>
          <w:sz w:val="18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8"/>
          <w:szCs w:val="19"/>
        </w:rPr>
        <w:t xml:space="preserve"> powiększoną o karę umowną w wysokości 10% asortymentu podlegającego reklamacji, jeżeli nie wykona zobowiązań wynikających z pkt. 7.2 </w:t>
      </w:r>
      <w:r w:rsidR="00AE72F1">
        <w:rPr>
          <w:rFonts w:ascii="Arial" w:hAnsi="Arial" w:cs="Arial"/>
          <w:spacing w:val="-6"/>
          <w:sz w:val="18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9"/>
        </w:rPr>
        <w:t>niniejszego ustępu.</w:t>
      </w:r>
    </w:p>
    <w:p w14:paraId="0AE43EE6" w14:textId="7EC7FD58" w:rsidR="00A45712" w:rsidRPr="004A1CF1" w:rsidRDefault="00A45712" w:rsidP="00A45712">
      <w:pPr>
        <w:widowControl w:val="0"/>
        <w:numPr>
          <w:ilvl w:val="0"/>
          <w:numId w:val="2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Jeżeli w wykonaniu swoich obowiązków WYKONAWCA dokonał napraw Przedmiotu Zamówienia objętego gwarancją, termin gwarancji biegnie na nowo od chwili dostarczenia przedmiotu zamówienia wolnego od wad lub zwrócenia naprawionego. W innych wypadkach termin gwarancji ulega przedłużeniu o czas, w ciągu którego, wskutek wady ZAMAWIAJĄCY nie mógł z niego</w:t>
      </w:r>
      <w:r w:rsidR="00796FD2">
        <w:rPr>
          <w:rFonts w:ascii="Arial" w:hAnsi="Arial" w:cs="Arial"/>
          <w:spacing w:val="-6"/>
          <w:sz w:val="19"/>
          <w:szCs w:val="19"/>
        </w:rPr>
        <w:t xml:space="preserve"> korzystać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6F5E63D" w14:textId="67DA73A8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57204F" w:rsidRPr="004A1CF1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4A1CF1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4A1CF1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4E42291" w14:textId="77777777" w:rsidR="00624B92" w:rsidRDefault="00624B92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</w:p>
    <w:p w14:paraId="1D027D19" w14:textId="1470C28C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559ACE13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F137D7">
        <w:rPr>
          <w:rFonts w:ascii="Arial" w:hAnsi="Arial" w:cs="Arial"/>
          <w:spacing w:val="-6"/>
          <w:sz w:val="18"/>
          <w:szCs w:val="18"/>
        </w:rPr>
        <w:t>pkt. 7.2.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oraz 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397B19D3" w14:textId="77777777" w:rsidR="00624B92" w:rsidRDefault="00624B92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lastRenderedPageBreak/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C43AE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upływu min. sześciu mies.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lastRenderedPageBreak/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lastRenderedPageBreak/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902280">
      <w:footerReference w:type="default" r:id="rId9"/>
      <w:pgSz w:w="11906" w:h="16838" w:code="9"/>
      <w:pgMar w:top="567" w:right="425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730CB4" w:rsidRDefault="00730CB4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730CB4" w:rsidRDefault="00730CB4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04AE53E3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902280">
      <w:rPr>
        <w:rFonts w:ascii="Arial Narrow" w:hAnsi="Arial Narrow"/>
        <w:b/>
        <w:bCs/>
        <w:noProof/>
        <w:sz w:val="14"/>
        <w:szCs w:val="20"/>
      </w:rPr>
      <w:t>1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902280">
      <w:rPr>
        <w:rFonts w:ascii="Arial Narrow" w:hAnsi="Arial Narrow"/>
        <w:b/>
        <w:bCs/>
        <w:noProof/>
        <w:sz w:val="14"/>
        <w:szCs w:val="20"/>
      </w:rPr>
      <w:t>8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730CB4" w:rsidRDefault="00730CB4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730CB4" w:rsidRDefault="00730CB4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F1E"/>
    <w:rsid w:val="001302CD"/>
    <w:rsid w:val="0013093E"/>
    <w:rsid w:val="0013257B"/>
    <w:rsid w:val="00135C52"/>
    <w:rsid w:val="0013768E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5334"/>
    <w:rsid w:val="0057680F"/>
    <w:rsid w:val="0058280C"/>
    <w:rsid w:val="00592527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137D1"/>
    <w:rsid w:val="00816251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CC3"/>
    <w:rsid w:val="00962B32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5937"/>
    <w:rsid w:val="009C3CB5"/>
    <w:rsid w:val="009C5E4F"/>
    <w:rsid w:val="009C7860"/>
    <w:rsid w:val="009D1B74"/>
    <w:rsid w:val="009D20DE"/>
    <w:rsid w:val="009D2EF7"/>
    <w:rsid w:val="009D7820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207DA"/>
    <w:rsid w:val="00F24305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CD171-AB0F-4B74-8A7F-F84F9BE611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6BF1184-B8F0-462F-9B1F-DABDCDE5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8</Pages>
  <Words>4402</Words>
  <Characters>26412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Akonom Katarzyna</cp:lastModifiedBy>
  <cp:revision>33</cp:revision>
  <cp:lastPrinted>2024-09-10T10:10:00Z</cp:lastPrinted>
  <dcterms:created xsi:type="dcterms:W3CDTF">2024-01-11T09:01:00Z</dcterms:created>
  <dcterms:modified xsi:type="dcterms:W3CDTF">2024-09-10T10:10:00Z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e0af1a2d-5b79-4856-b9fa-40ef23ae76f7</vt:lpwstr>
  </op:property>
  <op:property fmtid="{D5CDD505-2E9C-101B-9397-08002B2CF9AE}" pid="3" name="bjSaver">
    <vt:lpwstr>9I+wK+Y81Em3c12f4swpZ/hdFWNiCxx1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organization">
    <vt:lpwstr>MILNET-Z</vt:lpwstr>
  </op:property>
  <op:property fmtid="{D5CDD505-2E9C-101B-9397-08002B2CF9AE}" pid="8" name="s5636:Creator type=person">
    <vt:lpwstr>anowak684</vt:lpwstr>
  </op:property>
  <op:property fmtid="{D5CDD505-2E9C-101B-9397-08002B2CF9AE}" pid="9" name="s5636:Creator type=author">
    <vt:lpwstr>Nowak Anna Teresa</vt:lpwstr>
  </op:property>
  <op:property fmtid="{D5CDD505-2E9C-101B-9397-08002B2CF9AE}" pid="12" name="s5636:Creator type=IP">
    <vt:lpwstr>10.11.176.88</vt:lpwstr>
  </op:property>
  <op:property fmtid="{D5CDD505-2E9C-101B-9397-08002B2CF9AE}" pid="1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7" name="bjDocumentLabelXML-0">
    <vt:lpwstr>ames.com/2008/01/sie/internal/label"&gt;&lt;element uid="d7220eed-17a6-431d-810c-83a0ddfed893" value="" /&gt;&lt;/sisl&gt;</vt:lpwstr>
  </op:property>
  <op:property fmtid="{D5CDD505-2E9C-101B-9397-08002B2CF9AE}" pid="18" name="bjLabelRefreshRequired">
    <vt:lpwstr>FileClassifier</vt:lpwstr>
  </op:property>
</op:Properties>
</file>