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68593B29" w14:textId="77777777" w:rsidR="00FE3DA5" w:rsidRDefault="00FE3DA5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23F9226" w14:textId="77777777" w:rsidR="00FE3DA5" w:rsidRDefault="00FE3DA5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580E9D1D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F5764F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0D2F58">
        <w:rPr>
          <w:rFonts w:ascii="Century Gothic" w:eastAsia="Times New Roman" w:hAnsi="Century Gothic" w:cs="Century Gothic"/>
          <w:sz w:val="18"/>
          <w:szCs w:val="18"/>
          <w:lang w:eastAsia="zh-CN"/>
        </w:rPr>
        <w:t>4</w:t>
      </w:r>
      <w:r w:rsidR="00F5764F">
        <w:rPr>
          <w:rFonts w:ascii="Century Gothic" w:eastAsia="Times New Roman" w:hAnsi="Century Gothic" w:cs="Century Gothic"/>
          <w:sz w:val="18"/>
          <w:szCs w:val="18"/>
          <w:lang w:eastAsia="zh-CN"/>
        </w:rPr>
        <w:t>8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</w:t>
      </w:r>
    </w:p>
    <w:p w14:paraId="0542417D" w14:textId="064F839F" w:rsidR="00814707" w:rsidRPr="00FE3DA5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  <w:r w:rsidRPr="00FE3DA5">
        <w:rPr>
          <w:rFonts w:ascii="Century Gothic" w:hAnsi="Century Gothic"/>
          <w:bCs/>
          <w:sz w:val="18"/>
          <w:szCs w:val="18"/>
        </w:rPr>
        <w:t>Data</w:t>
      </w:r>
      <w:r w:rsidR="000C71B5">
        <w:rPr>
          <w:rFonts w:ascii="Century Gothic" w:hAnsi="Century Gothic"/>
          <w:bCs/>
          <w:sz w:val="18"/>
          <w:szCs w:val="18"/>
        </w:rPr>
        <w:t xml:space="preserve"> </w:t>
      </w:r>
      <w:r w:rsidR="000D2F58">
        <w:rPr>
          <w:rFonts w:ascii="Century Gothic" w:hAnsi="Century Gothic"/>
          <w:bCs/>
          <w:sz w:val="18"/>
          <w:szCs w:val="18"/>
        </w:rPr>
        <w:t>27.11</w:t>
      </w:r>
      <w:r w:rsidRPr="00FE3DA5">
        <w:rPr>
          <w:rFonts w:ascii="Century Gothic" w:hAnsi="Century Gothic"/>
          <w:bCs/>
          <w:sz w:val="18"/>
          <w:szCs w:val="18"/>
        </w:rPr>
        <w:t>.2023 r.</w:t>
      </w:r>
    </w:p>
    <w:p w14:paraId="168771E6" w14:textId="77777777" w:rsidR="00FE3DA5" w:rsidRDefault="00FE3DA5" w:rsidP="00FE3DA5">
      <w:pPr>
        <w:pStyle w:val="Default"/>
        <w:jc w:val="center"/>
        <w:rPr>
          <w:rFonts w:ascii="Century Gothic" w:eastAsia="Calibri" w:hAnsi="Century Gothic"/>
          <w:b/>
          <w:color w:val="auto"/>
          <w:sz w:val="20"/>
          <w:szCs w:val="20"/>
          <w:u w:val="single"/>
        </w:rPr>
      </w:pPr>
    </w:p>
    <w:p w14:paraId="23C536E9" w14:textId="47F1C183" w:rsidR="00FE3DA5" w:rsidRDefault="00FE3DA5" w:rsidP="00FE3DA5">
      <w:pPr>
        <w:pStyle w:val="Default"/>
        <w:jc w:val="center"/>
        <w:rPr>
          <w:rFonts w:ascii="Century Gothic" w:hAnsi="Century Gothic"/>
          <w:bCs/>
          <w:sz w:val="22"/>
          <w:szCs w:val="22"/>
        </w:rPr>
      </w:pPr>
      <w:r w:rsidRPr="00FE3DA5"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>ODPOWIED</w:t>
      </w:r>
      <w:r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>Ź</w:t>
      </w:r>
      <w:r w:rsidRPr="00FE3DA5"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 xml:space="preserve">  NA  PYTAN</w:t>
      </w:r>
      <w:r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>IE DO ZAPROSZENIA</w:t>
      </w:r>
    </w:p>
    <w:p w14:paraId="07560E1E" w14:textId="77777777" w:rsidR="00FE3DA5" w:rsidRDefault="00FE3DA5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61166C31" w14:textId="77777777" w:rsidR="00FE3DA5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34418EE9" w14:textId="0568EE32" w:rsidR="00FE3DA5" w:rsidRPr="00F5764F" w:rsidRDefault="00FE3DA5" w:rsidP="00F5764F">
      <w:pPr>
        <w:pStyle w:val="Default"/>
        <w:ind w:left="851" w:hanging="851"/>
        <w:rPr>
          <w:rFonts w:ascii="Century Gothic" w:eastAsia="Tahoma" w:hAnsi="Century Gothic"/>
          <w:b/>
          <w:bCs/>
          <w:sz w:val="18"/>
          <w:szCs w:val="18"/>
          <w:lang w:val="ru-RU"/>
        </w:rPr>
      </w:pPr>
      <w:r w:rsidRPr="00F5764F">
        <w:rPr>
          <w:rFonts w:ascii="Century Gothic" w:hAnsi="Century Gothic"/>
          <w:bCs/>
          <w:sz w:val="18"/>
          <w:szCs w:val="18"/>
        </w:rPr>
        <w:t xml:space="preserve">Dotyczy: </w:t>
      </w:r>
      <w:r w:rsidR="00F5764F" w:rsidRPr="00F5764F">
        <w:rPr>
          <w:rFonts w:ascii="Century Gothic" w:hAnsi="Century Gothic"/>
          <w:bCs/>
          <w:sz w:val="18"/>
          <w:szCs w:val="18"/>
        </w:rPr>
        <w:t xml:space="preserve"> </w:t>
      </w:r>
      <w:r w:rsidR="000D2F58" w:rsidRPr="0020308E">
        <w:rPr>
          <w:rFonts w:ascii="Century Gothic" w:eastAsia="Calibri" w:hAnsi="Century Gothic"/>
          <w:b/>
          <w:bCs/>
          <w:sz w:val="18"/>
          <w:szCs w:val="18"/>
        </w:rPr>
        <w:t>Dostaw</w:t>
      </w:r>
      <w:r w:rsidR="000D2F58">
        <w:rPr>
          <w:rFonts w:ascii="Century Gothic" w:eastAsia="Calibri" w:hAnsi="Century Gothic"/>
          <w:b/>
          <w:bCs/>
          <w:sz w:val="18"/>
          <w:szCs w:val="18"/>
        </w:rPr>
        <w:t>ę</w:t>
      </w:r>
      <w:r w:rsidR="000D2F58" w:rsidRPr="0020308E">
        <w:rPr>
          <w:rFonts w:ascii="Century Gothic" w:eastAsia="Calibri" w:hAnsi="Century Gothic"/>
          <w:b/>
          <w:bCs/>
          <w:sz w:val="18"/>
          <w:szCs w:val="18"/>
        </w:rPr>
        <w:t xml:space="preserve"> </w:t>
      </w:r>
      <w:r w:rsidR="000D2F58">
        <w:rPr>
          <w:rFonts w:ascii="Century Gothic" w:eastAsia="Calibri" w:hAnsi="Century Gothic"/>
          <w:b/>
          <w:bCs/>
          <w:sz w:val="18"/>
          <w:szCs w:val="18"/>
        </w:rPr>
        <w:t>mebli</w:t>
      </w:r>
      <w:r w:rsidR="000D2F58" w:rsidRPr="0020308E">
        <w:rPr>
          <w:rFonts w:ascii="Century Gothic" w:eastAsia="Calibri" w:hAnsi="Century Gothic"/>
          <w:b/>
          <w:bCs/>
          <w:sz w:val="18"/>
          <w:szCs w:val="18"/>
        </w:rPr>
        <w:t xml:space="preserve"> </w:t>
      </w:r>
      <w:r w:rsidR="000D2F58">
        <w:rPr>
          <w:rFonts w:ascii="Century Gothic" w:eastAsia="Calibri" w:hAnsi="Century Gothic"/>
          <w:b/>
          <w:bCs/>
          <w:sz w:val="18"/>
          <w:szCs w:val="18"/>
        </w:rPr>
        <w:t xml:space="preserve">medycznych do </w:t>
      </w:r>
      <w:r w:rsidR="000D2F58"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p w14:paraId="6FFC2383" w14:textId="77777777" w:rsidR="00F5764F" w:rsidRPr="00F5764F" w:rsidRDefault="00F5764F" w:rsidP="00F5764F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1F063D07" w14:textId="41A949C2" w:rsidR="00FE3DA5" w:rsidRPr="00F5764F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  <w:r w:rsidRPr="00F5764F">
        <w:rPr>
          <w:rFonts w:ascii="Century Gothic" w:hAnsi="Century Gothic"/>
          <w:bCs/>
          <w:sz w:val="18"/>
          <w:szCs w:val="18"/>
        </w:rPr>
        <w:t>Zamawiający udziela odpowiedzi na pytani</w:t>
      </w:r>
      <w:r w:rsidR="00F5764F">
        <w:rPr>
          <w:rFonts w:ascii="Century Gothic" w:hAnsi="Century Gothic"/>
          <w:bCs/>
          <w:sz w:val="18"/>
          <w:szCs w:val="18"/>
        </w:rPr>
        <w:t>a</w:t>
      </w:r>
      <w:r w:rsidRPr="00F5764F">
        <w:rPr>
          <w:rFonts w:ascii="Century Gothic" w:hAnsi="Century Gothic"/>
          <w:bCs/>
          <w:sz w:val="18"/>
          <w:szCs w:val="18"/>
        </w:rPr>
        <w:t>:</w:t>
      </w:r>
    </w:p>
    <w:p w14:paraId="7E9684F7" w14:textId="77777777" w:rsidR="00FE3DA5" w:rsidRPr="00F5764F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6F77ECD7" w14:textId="515FB705" w:rsidR="00FE3DA5" w:rsidRPr="00F5764F" w:rsidRDefault="00FE3DA5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F5764F">
        <w:rPr>
          <w:rFonts w:ascii="Century Gothic" w:hAnsi="Century Gothic"/>
          <w:b/>
          <w:bCs/>
          <w:sz w:val="18"/>
          <w:szCs w:val="18"/>
        </w:rPr>
        <w:t xml:space="preserve">WYKONAWCA 1 </w:t>
      </w:r>
    </w:p>
    <w:p w14:paraId="0D755BB2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12B85FC9" w14:textId="4D18AC7F" w:rsidR="000D2F58" w:rsidRPr="000D2F58" w:rsidRDefault="000D2F58" w:rsidP="000D2F58">
      <w:pPr>
        <w:spacing w:after="0" w:line="240" w:lineRule="auto"/>
        <w:jc w:val="both"/>
        <w:rPr>
          <w:rFonts w:ascii="Century Gothic" w:eastAsia="Calibri" w:hAnsi="Century Gothic" w:cs="Bai Jamjuree Medium"/>
          <w:b/>
          <w:bCs/>
          <w:iCs/>
          <w:color w:val="000000"/>
          <w:sz w:val="18"/>
          <w:szCs w:val="18"/>
        </w:rPr>
      </w:pPr>
      <w:r w:rsidRPr="000D2F58">
        <w:rPr>
          <w:rFonts w:ascii="Century Gothic" w:eastAsia="Calibri" w:hAnsi="Century Gothic" w:cs="Bai Jamjuree Medium"/>
          <w:b/>
          <w:bCs/>
          <w:iCs/>
          <w:color w:val="000000"/>
          <w:sz w:val="18"/>
          <w:szCs w:val="18"/>
        </w:rPr>
        <w:t xml:space="preserve">Dotyczy: Pakiet nr 1, zdanie nr 1 – Łóżko </w:t>
      </w:r>
      <w:proofErr w:type="spellStart"/>
      <w:r w:rsidRPr="000D2F58">
        <w:rPr>
          <w:rFonts w:ascii="Century Gothic" w:eastAsia="Calibri" w:hAnsi="Century Gothic" w:cs="Bai Jamjuree Medium"/>
          <w:b/>
          <w:bCs/>
          <w:iCs/>
          <w:color w:val="000000"/>
          <w:sz w:val="18"/>
          <w:szCs w:val="18"/>
        </w:rPr>
        <w:t>bariatryczne</w:t>
      </w:r>
      <w:proofErr w:type="spellEnd"/>
      <w:r w:rsidRPr="000D2F58">
        <w:rPr>
          <w:rFonts w:ascii="Century Gothic" w:eastAsia="Calibri" w:hAnsi="Century Gothic" w:cs="Bai Jamjuree Medium"/>
          <w:b/>
          <w:bCs/>
          <w:iCs/>
          <w:color w:val="000000"/>
          <w:sz w:val="18"/>
          <w:szCs w:val="18"/>
        </w:rPr>
        <w:t xml:space="preserve"> – 2 szt. </w:t>
      </w:r>
    </w:p>
    <w:p w14:paraId="463F526C" w14:textId="77777777" w:rsidR="000D2F58" w:rsidRPr="000D2F58" w:rsidRDefault="000D2F58" w:rsidP="0043074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entury Gothic" w:eastAsia="Calibri" w:hAnsi="Century Gothic" w:cs="Bai Jamjuree Medium"/>
          <w:sz w:val="18"/>
          <w:szCs w:val="18"/>
        </w:rPr>
      </w:pPr>
      <w:r w:rsidRPr="000D2F58">
        <w:rPr>
          <w:rFonts w:ascii="Century Gothic" w:eastAsia="Calibri" w:hAnsi="Century Gothic" w:cs="Bai Jamjuree Medium"/>
          <w:sz w:val="18"/>
          <w:szCs w:val="18"/>
        </w:rPr>
        <w:t xml:space="preserve">Czy Zamawiający wyrazi zgodę na realizację zamówienia w terminie do 8 tygodni 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</w:rPr>
        <w:t>od dnia zawarcia umowy</w:t>
      </w:r>
      <w:r w:rsidRPr="000D2F58">
        <w:rPr>
          <w:rFonts w:ascii="Century Gothic" w:eastAsia="Calibri" w:hAnsi="Century Gothic" w:cs="Bai Jamjuree Medium"/>
          <w:sz w:val="18"/>
          <w:szCs w:val="18"/>
        </w:rPr>
        <w:t xml:space="preserve">? Proponowany termin realizacji zamówienia będzie zgodny ze standardowym cyklem produkcji, co pozwoli Wykonawcy należycie zrealizować przedmiot umowy. </w:t>
      </w:r>
    </w:p>
    <w:p w14:paraId="0649E01D" w14:textId="77777777" w:rsidR="000D2F58" w:rsidRPr="000D2F58" w:rsidRDefault="000D2F58" w:rsidP="00430744">
      <w:pPr>
        <w:spacing w:after="0" w:line="240" w:lineRule="auto"/>
        <w:ind w:left="284"/>
        <w:jc w:val="both"/>
        <w:rPr>
          <w:rFonts w:ascii="Century Gothic" w:eastAsia="Calibri" w:hAnsi="Century Gothic" w:cs="Bai Jamjuree Medium"/>
          <w:sz w:val="18"/>
          <w:szCs w:val="18"/>
        </w:rPr>
      </w:pPr>
      <w:r w:rsidRPr="000D2F58">
        <w:rPr>
          <w:rFonts w:ascii="Century Gothic" w:eastAsia="Calibri" w:hAnsi="Century Gothic" w:cs="Bai Jamjuree Medium"/>
          <w:sz w:val="18"/>
          <w:szCs w:val="18"/>
        </w:rPr>
        <w:t>Jeśli Zamawiający nie wyrazi zgody na zaproponowany termin realizacji prosimy o informację o ile Zamawiający ma możliwość jego wydłużenia.</w:t>
      </w:r>
    </w:p>
    <w:p w14:paraId="5B277B12" w14:textId="7261621B" w:rsidR="000D2F58" w:rsidRPr="00430744" w:rsidRDefault="000D2F58" w:rsidP="00430744">
      <w:pPr>
        <w:spacing w:after="0" w:line="240" w:lineRule="auto"/>
        <w:ind w:left="284"/>
        <w:jc w:val="both"/>
        <w:rPr>
          <w:rFonts w:ascii="Century Gothic" w:eastAsia="Calibri" w:hAnsi="Century Gothic" w:cs="Bai Jamjuree Medium"/>
          <w:sz w:val="18"/>
          <w:szCs w:val="18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</w:rPr>
        <w:t xml:space="preserve"> Nie, Zamawiający nie wyraża zgody na  proponowany termin realizacji - do 8 tygodni. </w:t>
      </w:r>
    </w:p>
    <w:p w14:paraId="65CA666C" w14:textId="345C87AE" w:rsidR="000D2F58" w:rsidRPr="000D2F58" w:rsidRDefault="000D2F58" w:rsidP="000D2F58">
      <w:pPr>
        <w:spacing w:after="0" w:line="240" w:lineRule="auto"/>
        <w:ind w:left="360" w:firstLine="491"/>
        <w:jc w:val="both"/>
        <w:rPr>
          <w:rFonts w:ascii="Century Gothic" w:eastAsia="Calibri" w:hAnsi="Century Gothic" w:cs="Bai Jamjuree Medium"/>
          <w:sz w:val="18"/>
          <w:szCs w:val="18"/>
        </w:rPr>
      </w:pPr>
      <w:r w:rsidRPr="00430744">
        <w:rPr>
          <w:rFonts w:ascii="Century Gothic" w:eastAsia="Calibri" w:hAnsi="Century Gothic" w:cs="Bai Jamjuree Medium"/>
          <w:sz w:val="18"/>
          <w:szCs w:val="18"/>
        </w:rPr>
        <w:t>Zamawiający wyrazi zgodę na termin do 5 tygodni od dnia podpisania umowy.</w:t>
      </w:r>
    </w:p>
    <w:p w14:paraId="14A946C5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Prosimy (w pkt. 1) o rezygnację z wymogu „lakier </w:t>
      </w:r>
      <w:r w:rsidRPr="000D2F58">
        <w:rPr>
          <w:rFonts w:ascii="Century Gothic" w:eastAsia="Calibri" w:hAnsi="Century Gothic" w:cs="Bai Jamjuree Medium"/>
          <w:sz w:val="18"/>
          <w:szCs w:val="18"/>
        </w:rPr>
        <w:t>zgodne z wymogami EN ISO 10993-5:2009 lub równoważny potwierdzającym, że stosowana powłoka lakiernicza nie wywołuje zmian nowotworowych”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. </w:t>
      </w:r>
    </w:p>
    <w:p w14:paraId="3D0CB641" w14:textId="77777777" w:rsidR="000D2F58" w:rsidRPr="000D2F58" w:rsidRDefault="000D2F58" w:rsidP="000D2F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Norma EN ISO 10993 dotyczy określenia wpływu wyrobów medycznych na tkanki, co nie ma odniesienia do łóżka szpitalnego, jak również w/w norma EN ISO 10993-5:2009 opisuje Biologiczną ocenę wyrobów medycznych – Część 5: Badania cytotoksyczności in vitro. Zatem powyższa norma nie ma odniesienia do łóżek szpitalnych. </w:t>
      </w:r>
    </w:p>
    <w:p w14:paraId="2BB8A86B" w14:textId="77777777" w:rsidR="000D2F58" w:rsidRPr="000D2F58" w:rsidRDefault="000D2F58" w:rsidP="000D2F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Oferowane przez nas łóżka posiadają Deklarację Zgodności CE wystawioną przez producenta oraz są dopuszczone do używania w placówkach służby zdrowia. </w:t>
      </w:r>
    </w:p>
    <w:p w14:paraId="6621CB50" w14:textId="77777777" w:rsidR="000D2F58" w:rsidRPr="000D2F58" w:rsidRDefault="000D2F58" w:rsidP="000D2F58">
      <w:pPr>
        <w:spacing w:after="0" w:line="240" w:lineRule="auto"/>
        <w:ind w:left="360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  <w:t>Pozostałe parametry w pkt. 1 zgodnie z oczekiwaniami Zamawiającego.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</w:t>
      </w:r>
    </w:p>
    <w:p w14:paraId="3981AFFA" w14:textId="22DDB142" w:rsidR="000D2F58" w:rsidRPr="000D2F58" w:rsidRDefault="000D2F58" w:rsidP="000D2F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Nie</w:t>
      </w:r>
      <w:r w:rsidR="00C77BFE"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>, Z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>amawiający nie wyraża zgody na powyższe.</w:t>
      </w:r>
    </w:p>
    <w:p w14:paraId="3F48E396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</w:rPr>
        <w:t xml:space="preserve">Czy (w pkt. 1) Zamawiający wyrazi zgodę na zaoferowanie łóżka posiadającego podstawę pantografową tj. cztery punkty podparcia zintegrowane z leżem oraz sześć punktów podparcia zintegrowanych z podstawą łóżka gwarantującą stabilność leża? Oferowane rozwiązanie jest bardzo zbliżone do wskazanego przez Zamawiającego. </w:t>
      </w:r>
    </w:p>
    <w:p w14:paraId="6A4FBC32" w14:textId="77777777" w:rsidR="000D2F58" w:rsidRPr="000D2F58" w:rsidRDefault="000D2F58" w:rsidP="000D2F58">
      <w:pPr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  <w:t>Pozostałe parametry w pkt. 1 zgodnie z oczekiwaniami Zamawiającego.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</w:t>
      </w:r>
    </w:p>
    <w:p w14:paraId="0FF3A7AE" w14:textId="330E523C" w:rsidR="000D2F58" w:rsidRPr="000D2F58" w:rsidRDefault="00C77BFE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powyższe.</w:t>
      </w:r>
    </w:p>
    <w:p w14:paraId="117465B4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</w:rPr>
        <w:t>Czy (w pkt. 1) Zamawiający wyrazi zgodę na zaoferowanie łóżka posiadającego szyny stalowe lakierowane proszkowo mocowane po bokach wzdłuż ramy leża na elementy wyposażenia?</w:t>
      </w:r>
      <w:r w:rsidRPr="000D2F58">
        <w:rPr>
          <w:rFonts w:ascii="Century Gothic" w:eastAsia="Calibri" w:hAnsi="Century Gothic" w:cs="Bai Jamjuree Medium"/>
          <w:sz w:val="18"/>
          <w:szCs w:val="18"/>
        </w:rPr>
        <w:t xml:space="preserve"> 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</w:rPr>
        <w:t>Oferowane rozwiązanie jest tożsame ze wskazanym przez Zamawiającego.</w:t>
      </w:r>
    </w:p>
    <w:p w14:paraId="396E534D" w14:textId="77777777" w:rsidR="000D2F58" w:rsidRPr="000D2F58" w:rsidRDefault="000D2F58" w:rsidP="000D2F58">
      <w:pPr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  <w:t>Pozostałe parametry w pkt. 1 zgodnie z oczekiwaniami Zamawiającego.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</w:t>
      </w:r>
    </w:p>
    <w:p w14:paraId="587E918E" w14:textId="69C7F94D" w:rsidR="000D2F58" w:rsidRPr="000D2F58" w:rsidRDefault="00C77BFE" w:rsidP="00C77BFE">
      <w:pPr>
        <w:ind w:left="720" w:hanging="436"/>
        <w:contextualSpacing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Nie, Zamawiający nie wyraża zgody na powyższe</w:t>
      </w:r>
    </w:p>
    <w:p w14:paraId="0AA2D399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2) Zamawiający wyrazi zgodę na zaoferowanie łóżka posiadającego długość całkowitą 2220 mm (+/- 10 mm) oraz szerokość całkowitą 980 mm (+/- 10 mm)?</w:t>
      </w:r>
    </w:p>
    <w:p w14:paraId="239C5459" w14:textId="471A7887" w:rsidR="000D2F58" w:rsidRPr="000D2F58" w:rsidRDefault="00C77BFE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</w:t>
      </w:r>
    </w:p>
    <w:p w14:paraId="3F5CA3E9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4) Zamawiający wyrazi zgodę na zaoferowanie łóżka posiadającego w części wezgłowia krążki jednoosiowe?</w:t>
      </w:r>
    </w:p>
    <w:p w14:paraId="600909B8" w14:textId="77777777" w:rsidR="000D2F58" w:rsidRPr="000D2F58" w:rsidRDefault="000D2F58" w:rsidP="00430744">
      <w:pPr>
        <w:spacing w:after="0" w:line="240" w:lineRule="auto"/>
        <w:ind w:left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  <w:t>Pozostałe parametry w pkt. 4 zgodnie z oczekiwaniami Zamawiającego.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</w:t>
      </w:r>
    </w:p>
    <w:p w14:paraId="55C6BD25" w14:textId="66FCD111" w:rsidR="000D2F58" w:rsidRPr="000D2F58" w:rsidRDefault="00C77BFE" w:rsidP="00430744">
      <w:pPr>
        <w:spacing w:after="0" w:line="240" w:lineRule="auto"/>
        <w:ind w:firstLine="284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</w:t>
      </w:r>
    </w:p>
    <w:p w14:paraId="44532476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lastRenderedPageBreak/>
        <w:t xml:space="preserve">Czy (w pkt. 6) Zamawiający wyrazi zgodę na zaoferowanie łóżka posiadającego leże wypełnione łatwo odejmowanymi panelami (bez konieczności użycia narzędzi) z tworzywa ABS? Oferowane rozwiązanie jest tożsame ze wskazanym przez Zamawiającego. </w:t>
      </w:r>
    </w:p>
    <w:p w14:paraId="44AA8B8C" w14:textId="77777777" w:rsidR="000D2F58" w:rsidRPr="000D2F58" w:rsidRDefault="000D2F58" w:rsidP="000D2F58">
      <w:pPr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  <w:t>Pozostałe parametry w pkt. 6 zgodnie z oczekiwaniami Zamawiającego.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</w:t>
      </w:r>
    </w:p>
    <w:p w14:paraId="5DB85B0A" w14:textId="5F0EB0DD" w:rsidR="000D2F58" w:rsidRPr="000D2F58" w:rsidRDefault="00C77BFE" w:rsidP="000D2F58">
      <w:pPr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</w:t>
      </w:r>
    </w:p>
    <w:p w14:paraId="04897F07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Czy (w pkt. 6 i 13) Zamawiający wyrazi zgodę na zaoferowanie łóżka nie wyposażonego w tworzywową kieszeń zabezpieczającą pilota w czasie transportu oraz barierki nie wyposażone w tworzywowy uchwyt podtrzymujący pilota? Oferowane łóżko będzie posiadało pilota z uchwytem umożliwiającym zawieszenie go np. na barierce bocznej w czasie transportu, co jest rozwiązaniem równoważnym do wskazanego przez Zamawiającego. </w:t>
      </w:r>
    </w:p>
    <w:p w14:paraId="29DAF4B4" w14:textId="77777777" w:rsidR="000D2F58" w:rsidRPr="000D2F58" w:rsidRDefault="000D2F58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</w:pPr>
      <w:r w:rsidRPr="000D2F58">
        <w:rPr>
          <w:rFonts w:ascii="Century Gothic" w:eastAsia="Calibri" w:hAnsi="Century Gothic" w:cs="Bai Jamjuree Medium"/>
          <w:i/>
          <w:iCs/>
          <w:color w:val="000000"/>
          <w:sz w:val="18"/>
          <w:szCs w:val="18"/>
        </w:rPr>
        <w:t>Pozostałe parametry w pkt. 6 i 13 zgodnie z oczekiwaniami Zamawiającego.</w:t>
      </w:r>
    </w:p>
    <w:p w14:paraId="4FEA69F7" w14:textId="483BCBAF" w:rsidR="000D2F58" w:rsidRPr="000D2F58" w:rsidRDefault="00C77BFE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Nie, Zamawiający nie wyraża zgody na powyższe.</w:t>
      </w:r>
    </w:p>
    <w:p w14:paraId="6EF01AFE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>Czy (w pkt. 9) Zamawiający wyrazi zgodę na zaoferowanie łóżka posiadającego sterowanie funkcjami:</w:t>
      </w:r>
    </w:p>
    <w:p w14:paraId="0C48828E" w14:textId="77777777" w:rsidR="000D2F58" w:rsidRPr="000D2F58" w:rsidRDefault="000D2F58" w:rsidP="000D2F5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>Panel w barierkach od wewnątrz dla pacjenta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umożliwiający czytelne zastosowanie funkcji tj.: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regulacja segmentu oparcia pleców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segmentu uda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wysokości leża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funkcji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autokontur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 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-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diody LED informujące o zablokowanej funkcji; przycisk bezpieczeństwa aktywujący w sposób świadomy funkcje sterowania; zaprogramowana pozycja wyjściowa dostępna za pomocą jednego przycisku oraz dioda LED informującą 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podczas regulacji segmentu oparcia pleców (segment oparcia pleców po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zatrzymuje się automatycznie)</w:t>
      </w:r>
    </w:p>
    <w:p w14:paraId="54C533DD" w14:textId="77777777" w:rsidR="000D2F58" w:rsidRPr="000D2F58" w:rsidRDefault="000D2F58" w:rsidP="000D2F5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>Panel dla personelu medycznego po stronie zewnętrznej barierek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p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osiadający sterowanie następującymi funkcjami: </w:t>
      </w:r>
      <w:bookmarkStart w:id="0" w:name="_Hlk128563115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regulacja segmentu oparcia pleców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segmentu uda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wysokości leża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funkcji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autokontur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, pozycji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Trendelenburga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 i anty-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Trendelenburga</w:t>
      </w:r>
      <w:bookmarkStart w:id="1" w:name="_Hlk128563306"/>
      <w:bookmarkEnd w:id="0"/>
      <w:proofErr w:type="spellEnd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-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diody LED informujące o zablokowanej funkcji; przycisk bezpieczeństwa aktywując w sposób świadomy funkcje sterowania</w:t>
      </w:r>
      <w:bookmarkEnd w:id="1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;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zaprogramowane funkcje dostępne za pomocą jednego przycisku:</w:t>
      </w:r>
      <w:bookmarkStart w:id="2" w:name="_Hlk128563186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 pozycja wyjściowa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pozycja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antyszokowa</w:t>
      </w:r>
      <w:proofErr w:type="spellEnd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pozycja reanimacyjna (CPR), pozycja egzaminacyjna, pozycja krzesła kardiologicznego</w:t>
      </w:r>
      <w:bookmarkEnd w:id="2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;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dioda LED informująca 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podczas regulacji segmentu oparcia pleców (segment oparcia pleców po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zatrzymuje się automatycznie), dioda LED informująca o najniższym położeniu łóżka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oraz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dioda LED sygnalizująca proces ładowania akumulatora</w:t>
      </w:r>
    </w:p>
    <w:p w14:paraId="2C637A8E" w14:textId="77777777" w:rsidR="000D2F58" w:rsidRPr="000D2F58" w:rsidRDefault="000D2F58" w:rsidP="000D2F5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Panel centralny dla personelu posiadający sterowanie następującymi funkcjami: </w:t>
      </w:r>
      <w:bookmarkStart w:id="3" w:name="_Hlk128563510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regulacja segmentu oparcia pleców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segmentu uda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wysokości leża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funkcji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autokontur</w:t>
      </w:r>
      <w:proofErr w:type="spellEnd"/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pozycji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Trendelenburga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 i anty-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Trendelenburga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 - </w:t>
      </w:r>
      <w:bookmarkStart w:id="4" w:name="_Hlk128563704"/>
      <w:bookmarkEnd w:id="3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diody LED informujące o zablokowanej funkcji</w:t>
      </w:r>
      <w:bookmarkEnd w:id="4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; zaprogramowane funkcje dostępne za pomocą jednego przycisku:</w:t>
      </w:r>
      <w:bookmarkStart w:id="5" w:name="_Hlk128563525"/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pozycja wyjściowa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pozycja krzesła kardiologicznego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pozycja egzaminacyjna, pozycja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antyszokowa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, pozycja reanimacyjna (CPR) oznaczona kolorem ostrzegawczym (np. czerwonym) działająca z podwójną prędkością w odróżnieniu od innych funkcji</w:t>
      </w:r>
      <w:bookmarkEnd w:id="5"/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;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dioda LED informująca 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podczas regulacji segmentu oparcia pleców (segment oparcia pleców po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zatrzymuje się automatycznie), dioda LED informującą o najniższym położeniu łóżka oraz dioda LED sygnalizując proces ładowania akumulatora</w:t>
      </w:r>
    </w:p>
    <w:p w14:paraId="7F61682F" w14:textId="77777777" w:rsidR="000D2F58" w:rsidRPr="000D2F58" w:rsidRDefault="000D2F58" w:rsidP="000D2F5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Dodatkowy pilot przewodowy </w:t>
      </w:r>
      <w:r w:rsidRPr="000D2F58">
        <w:rPr>
          <w:rFonts w:ascii="Century Gothic" w:eastAsia="Times New Roman" w:hAnsi="Century Gothic" w:cs="Bai Jamjuree Medium"/>
          <w:b/>
          <w:bCs/>
          <w:sz w:val="18"/>
          <w:szCs w:val="18"/>
          <w:lang w:eastAsia="pl-PL"/>
        </w:rPr>
        <w:t xml:space="preserve">z podświetlanymi przyciskami 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posiadający sterowanie następującymi funkcjami: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regulacja segmentu oparcia pleców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segmentu uda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wysokości leża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,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 xml:space="preserve">funkcji </w:t>
      </w:r>
      <w:proofErr w:type="spellStart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autokontur</w:t>
      </w:r>
      <w:proofErr w:type="spellEnd"/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; zaprogramowana pozycja wyjściowa dostępna za pomocą jednego przycisku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;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przycisk bezpieczeństwa, aktywując w sposób świadomy funkcje sterowania</w:t>
      </w:r>
      <w:r w:rsidRPr="000D2F58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;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dioda LED informująca 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podczas regulacji segmentu oparcia pleców (segment oparcia pleców po uzyskaniu kąta 30</w:t>
      </w:r>
      <w:r w:rsidRPr="000D2F58">
        <w:rPr>
          <w:rFonts w:ascii="Century Gothic" w:eastAsia="Times New Roman" w:hAnsi="Century Gothic" w:cs="Bai Jamjuree Medium"/>
          <w:sz w:val="18"/>
          <w:szCs w:val="18"/>
          <w:vertAlign w:val="superscript"/>
          <w:lang w:eastAsia="pl-PL"/>
        </w:rPr>
        <w:t xml:space="preserve">o </w:t>
      </w:r>
      <w:r w:rsidRPr="000D2F58">
        <w:rPr>
          <w:rFonts w:ascii="Century Gothic" w:eastAsia="Times New Roman" w:hAnsi="Century Gothic" w:cs="Bai Jamjuree Medium"/>
          <w:sz w:val="18"/>
          <w:szCs w:val="18"/>
          <w:lang w:eastAsia="pl-PL"/>
        </w:rPr>
        <w:t>zatrzymuje się automatycznie) oraz dioda LED informująca o najniższym położeniu łóżka?</w:t>
      </w:r>
    </w:p>
    <w:p w14:paraId="56E6C1AB" w14:textId="43D950AB" w:rsidR="000D2F58" w:rsidRPr="000D2F58" w:rsidRDefault="00E37001" w:rsidP="00E37001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</w:pPr>
      <w:r w:rsidRPr="00E37001">
        <w:rPr>
          <w:rFonts w:ascii="Century Gothic" w:eastAsia="Calibri" w:hAnsi="Century Gothic" w:cs="Bai Jamjuree Medium"/>
          <w:b/>
          <w:bCs/>
          <w:sz w:val="18"/>
          <w:szCs w:val="18"/>
          <w:lang w:eastAsia="pl-PL"/>
        </w:rPr>
        <w:t xml:space="preserve">Odp.: </w:t>
      </w:r>
      <w:r w:rsidRPr="00E37001">
        <w:rPr>
          <w:rFonts w:ascii="Century Gothic" w:eastAsia="Calibri" w:hAnsi="Century Gothic" w:cs="Bai Jamjuree Medium"/>
          <w:bCs/>
          <w:sz w:val="18"/>
          <w:szCs w:val="18"/>
          <w:lang w:eastAsia="pl-PL"/>
        </w:rPr>
        <w:t>Tak, Zamawiający wyraża zgodę na powyższe.</w:t>
      </w:r>
    </w:p>
    <w:p w14:paraId="4E36347C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łóżka posiadającego elektryczną regulację wysokości w zakresie od 390 mm do 790 mm (+/- 10 mm)?</w:t>
      </w:r>
    </w:p>
    <w:p w14:paraId="108868B1" w14:textId="7C16C3FF" w:rsidR="000D2F58" w:rsidRPr="000D2F58" w:rsidRDefault="00C77BFE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Nie, Zamawiający nie wyraża zgody na powyższe</w:t>
      </w:r>
    </w:p>
    <w:p w14:paraId="5C251A80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łóżka posiadającego elektryczną regulację segmentu oparcia pleców od 0 do 65 stopni (+/- 5</w:t>
      </w:r>
      <w:r w:rsidRPr="000D2F58">
        <w:rPr>
          <w:rFonts w:ascii="Century Gothic" w:eastAsia="Calibri" w:hAnsi="Century Gothic" w:cs="Bai Jamjuree Medium"/>
          <w:sz w:val="18"/>
          <w:szCs w:val="18"/>
          <w:vertAlign w:val="superscript"/>
          <w:lang w:eastAsia="pl-PL"/>
        </w:rPr>
        <w:t>o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)?</w:t>
      </w:r>
    </w:p>
    <w:p w14:paraId="1676964A" w14:textId="6DA22ADB" w:rsidR="000D2F58" w:rsidRPr="000D2F58" w:rsidRDefault="003D33A5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Zamawiający dopuści do regulacje do 70° (+/- 5°)</w:t>
      </w:r>
    </w:p>
    <w:p w14:paraId="5E705D0A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łóżka posiadającego elektryczną regulację segmentu uda od 0 do 44 stopni (+/- 2</w:t>
      </w:r>
      <w:r w:rsidRPr="000D2F58">
        <w:rPr>
          <w:rFonts w:ascii="Century Gothic" w:eastAsia="Calibri" w:hAnsi="Century Gothic" w:cs="Bai Jamjuree Medium"/>
          <w:sz w:val="18"/>
          <w:szCs w:val="18"/>
          <w:vertAlign w:val="superscript"/>
          <w:lang w:eastAsia="pl-PL"/>
        </w:rPr>
        <w:t>o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)?</w:t>
      </w:r>
    </w:p>
    <w:p w14:paraId="17AE1F67" w14:textId="34A2D62A" w:rsidR="000D2F58" w:rsidRPr="000D2F58" w:rsidRDefault="003D33A5" w:rsidP="000D2F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Tak, Zamawiający wyraża zgodę na powyższe</w:t>
      </w:r>
    </w:p>
    <w:p w14:paraId="0DF772EF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Czy (w pkt. 10) Zamawiający wyrazi zgodę na zaoferowanie łóżka posiadającego elektryczną regulację pozycji </w:t>
      </w:r>
      <w:proofErr w:type="spellStart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Trendelenburga</w:t>
      </w:r>
      <w:proofErr w:type="spellEnd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od 0 do 17 stopni (+/- 2</w:t>
      </w:r>
      <w:r w:rsidRPr="000D2F58">
        <w:rPr>
          <w:rFonts w:ascii="Century Gothic" w:eastAsia="Calibri" w:hAnsi="Century Gothic" w:cs="Bai Jamjuree Medium"/>
          <w:sz w:val="18"/>
          <w:szCs w:val="18"/>
          <w:vertAlign w:val="superscript"/>
          <w:lang w:eastAsia="pl-PL"/>
        </w:rPr>
        <w:t>o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)? </w:t>
      </w:r>
    </w:p>
    <w:p w14:paraId="6900FD5C" w14:textId="64731697" w:rsidR="000D2F58" w:rsidRPr="000D2F58" w:rsidRDefault="003D33A5" w:rsidP="003D33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Tak, Zamawiający wyraża zgodę na powyższe</w:t>
      </w:r>
    </w:p>
    <w:p w14:paraId="660497A6" w14:textId="77777777" w:rsidR="000D2F58" w:rsidRPr="000D2F58" w:rsidRDefault="000D2F58" w:rsidP="004307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łóżka posiadającego elektryczną regulację pozycji anty-</w:t>
      </w:r>
      <w:proofErr w:type="spellStart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Trendelenburga</w:t>
      </w:r>
      <w:proofErr w:type="spellEnd"/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od 0 do 17 stopni (+/- 2</w:t>
      </w:r>
      <w:r w:rsidRPr="000D2F58">
        <w:rPr>
          <w:rFonts w:ascii="Century Gothic" w:eastAsia="Calibri" w:hAnsi="Century Gothic" w:cs="Bai Jamjuree Medium"/>
          <w:sz w:val="18"/>
          <w:szCs w:val="18"/>
          <w:vertAlign w:val="superscript"/>
          <w:lang w:eastAsia="pl-PL"/>
        </w:rPr>
        <w:t>o</w:t>
      </w: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)?</w:t>
      </w:r>
    </w:p>
    <w:p w14:paraId="593AA45A" w14:textId="075679AE" w:rsidR="000D2F58" w:rsidRPr="000D2F58" w:rsidRDefault="003D33A5" w:rsidP="003D33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Tak, Zamawiający wyraża zgodę na powyższe</w:t>
      </w:r>
    </w:p>
    <w:p w14:paraId="39C003DC" w14:textId="77777777" w:rsidR="000D2F58" w:rsidRPr="000D2F58" w:rsidRDefault="000D2F58" w:rsidP="000D2F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łóżka posiadającego zakres regulacji wysokości leża góra / dół 400 mm (+/- 10 mm)?</w:t>
      </w:r>
    </w:p>
    <w:p w14:paraId="1660EFBB" w14:textId="3DAAB755" w:rsidR="000D2F58" w:rsidRPr="000D2F58" w:rsidRDefault="003D33A5" w:rsidP="003D33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lastRenderedPageBreak/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Nie, Zamawiający nie wyraża zgody na powyższe.</w:t>
      </w:r>
    </w:p>
    <w:p w14:paraId="1FD9A67D" w14:textId="77777777" w:rsidR="000D2F58" w:rsidRPr="000D2F58" w:rsidRDefault="000D2F58" w:rsidP="000D2F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łóżka posiadającego sygnalizację wizualną (dioda LED) informującą o najniższej pozycji leża? Oferowane rozwiązanie jest tożsame ze wskazany przez Zamawiającego.</w:t>
      </w:r>
    </w:p>
    <w:p w14:paraId="7BD4BCCF" w14:textId="2B4C6ACF" w:rsidR="000D2F58" w:rsidRPr="000D2F58" w:rsidRDefault="003D33A5" w:rsidP="003D33A5">
      <w:pPr>
        <w:ind w:left="720" w:hanging="294"/>
        <w:contextualSpacing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Nie, Zamawiający nie wyraża zgody na powyższe.</w:t>
      </w:r>
    </w:p>
    <w:p w14:paraId="2B5C4245" w14:textId="77777777" w:rsidR="000D2F58" w:rsidRPr="000D2F58" w:rsidRDefault="000D2F58" w:rsidP="000D2F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Czy (w pkt. 14) Zamawiający wyrazi zgodę na zaoferowanie łóżka posiadającego </w:t>
      </w:r>
      <w:r w:rsidRPr="000D2F58">
        <w:rPr>
          <w:rFonts w:ascii="Century Gothic" w:eastAsia="Calibri" w:hAnsi="Century Gothic" w:cs="Bai Jamjuree Medium"/>
          <w:sz w:val="18"/>
          <w:szCs w:val="18"/>
        </w:rPr>
        <w:t>wysuwaną półkę na prowadnicach teleskopowych do odkładania pościeli z możliwością podwieszenia pod nią panelu centralnego?</w:t>
      </w:r>
    </w:p>
    <w:p w14:paraId="0D67084B" w14:textId="60498E1C" w:rsidR="000D2F58" w:rsidRPr="000D2F58" w:rsidRDefault="003D33A5" w:rsidP="003D33A5">
      <w:pPr>
        <w:ind w:left="720" w:hanging="294"/>
        <w:contextualSpacing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Tak, Zamawiający wyraża zgodę na powyższe</w:t>
      </w:r>
    </w:p>
    <w:p w14:paraId="44B5D3B4" w14:textId="77777777" w:rsidR="000D2F58" w:rsidRPr="000D2F58" w:rsidRDefault="000D2F58" w:rsidP="000D2F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Czy (w pkt. 15) Zamawiający wyrazi zgodę na zaoferowanie łóżka posiadającego przedłużenie leża 30 cm, </w:t>
      </w:r>
      <w:r w:rsidRPr="000D2F58">
        <w:rPr>
          <w:rFonts w:ascii="Century Gothic" w:eastAsia="Calibri" w:hAnsi="Century Gothic" w:cs="Bai Jamjuree Medium"/>
          <w:sz w:val="18"/>
          <w:szCs w:val="18"/>
        </w:rPr>
        <w:t>dźwignie zwalniania mechanizmu przedłużenia leża umieszczone od strony nóg po bokach leża?</w:t>
      </w:r>
    </w:p>
    <w:p w14:paraId="0E876B8C" w14:textId="21C707F6" w:rsidR="000D2F58" w:rsidRPr="000D2F58" w:rsidRDefault="003D33A5" w:rsidP="003D33A5">
      <w:pPr>
        <w:ind w:left="720" w:hanging="294"/>
        <w:contextualSpacing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</w:t>
      </w:r>
    </w:p>
    <w:p w14:paraId="7C359473" w14:textId="77777777" w:rsidR="000D2F58" w:rsidRPr="000D2F58" w:rsidRDefault="000D2F58" w:rsidP="000D2F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>Czy (w pkt. 18) Zamawiający wyrazi zgodę na zaoferowanie łóżka posiadającego bezpieczne obciążenie robocze 250 kg? Oferowany parametr jest zbliżony do wskazanego przez Zamawiającego.</w:t>
      </w:r>
    </w:p>
    <w:p w14:paraId="2E8D01A1" w14:textId="2F4D33A8" w:rsidR="000D2F58" w:rsidRPr="000D2F58" w:rsidRDefault="003D33A5" w:rsidP="003D33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sz w:val="18"/>
          <w:szCs w:val="18"/>
          <w:lang w:eastAsia="pl-PL"/>
        </w:rPr>
        <w:t xml:space="preserve"> Tak, Zamawiający wyraża zgodę na powyższe</w:t>
      </w:r>
    </w:p>
    <w:p w14:paraId="72844F15" w14:textId="77777777" w:rsidR="000D2F58" w:rsidRPr="000D2F58" w:rsidRDefault="000D2F58" w:rsidP="000D2F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Calibri" w:hAnsi="Century Gothic" w:cs="Bai Jamjuree Medium"/>
          <w:sz w:val="18"/>
          <w:szCs w:val="18"/>
          <w:lang w:eastAsia="pl-PL"/>
        </w:rPr>
      </w:pPr>
      <w:r w:rsidRPr="000D2F58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>Czy (w pkt. 19) Zamawiający wyrazi zgodę na zaoferowanie łóżka posiadającego układ elektryczny spełniający wymagania IP66? Oferowany parametr jest lepszy niż wskazany przez Zamawiającego.</w:t>
      </w:r>
    </w:p>
    <w:p w14:paraId="58DAD16A" w14:textId="1A92E3E1" w:rsidR="000D2F58" w:rsidRPr="000D2F58" w:rsidRDefault="003D33A5" w:rsidP="00430744">
      <w:pPr>
        <w:spacing w:after="0" w:line="240" w:lineRule="auto"/>
        <w:ind w:firstLine="426"/>
        <w:jc w:val="both"/>
        <w:rPr>
          <w:rFonts w:ascii="Century Gothic" w:eastAsia="Times New Roman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Times New Roman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Times New Roman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</w:t>
      </w:r>
    </w:p>
    <w:p w14:paraId="6A4B6266" w14:textId="4979B6CA" w:rsidR="000D2F58" w:rsidRPr="00430744" w:rsidRDefault="000D2F58" w:rsidP="003D33A5">
      <w:pPr>
        <w:pStyle w:val="Default"/>
        <w:numPr>
          <w:ilvl w:val="0"/>
          <w:numId w:val="26"/>
        </w:numPr>
        <w:rPr>
          <w:rFonts w:ascii="Century Gothic" w:hAnsi="Century Gothic"/>
          <w:b/>
          <w:bCs/>
          <w:sz w:val="18"/>
          <w:szCs w:val="18"/>
        </w:rPr>
      </w:pPr>
      <w:r w:rsidRPr="00430744">
        <w:rPr>
          <w:rFonts w:ascii="Century Gothic" w:eastAsia="Calibri" w:hAnsi="Century Gothic" w:cs="Bai Jamjuree Medium"/>
          <w:sz w:val="18"/>
          <w:szCs w:val="18"/>
        </w:rPr>
        <w:t xml:space="preserve">Prosimy (w pkt. 21) o wyrażenie zgody na posiadanie certyfikatu ISO 13485:2016 </w:t>
      </w:r>
      <w:r w:rsidRPr="00430744">
        <w:rPr>
          <w:rFonts w:ascii="Century Gothic" w:eastAsia="Calibri" w:hAnsi="Century Gothic" w:cs="Bai Jamjuree Medium"/>
          <w:sz w:val="18"/>
          <w:szCs w:val="18"/>
          <w:u w:val="single"/>
        </w:rPr>
        <w:t>lub równoważnego</w:t>
      </w:r>
      <w:r w:rsidRPr="00430744">
        <w:rPr>
          <w:rFonts w:ascii="Century Gothic" w:eastAsia="Calibri" w:hAnsi="Century Gothic" w:cs="Bai Jamjuree Medium"/>
          <w:sz w:val="18"/>
          <w:szCs w:val="18"/>
        </w:rPr>
        <w:t xml:space="preserve"> potwierdzającego, że producent wdrożył i utrzymuje system zarządzania jakością dla wyrobów medycznych.</w:t>
      </w:r>
    </w:p>
    <w:p w14:paraId="690ADFBC" w14:textId="5C86FA6A" w:rsidR="000D2F58" w:rsidRPr="00430744" w:rsidRDefault="003D33A5" w:rsidP="00430744">
      <w:pPr>
        <w:pStyle w:val="Default"/>
        <w:ind w:firstLine="426"/>
        <w:rPr>
          <w:rFonts w:ascii="Century Gothic" w:hAnsi="Century Gothic"/>
          <w:b/>
          <w:bCs/>
          <w:sz w:val="18"/>
          <w:szCs w:val="18"/>
        </w:rPr>
      </w:pPr>
      <w:r w:rsidRPr="00430744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Pr="00430744">
        <w:rPr>
          <w:rFonts w:ascii="Century Gothic" w:hAnsi="Century Gothic"/>
          <w:bCs/>
          <w:sz w:val="18"/>
          <w:szCs w:val="18"/>
        </w:rPr>
        <w:t>Tak, Zamawiający wyraża zgodę na powyższe.</w:t>
      </w:r>
    </w:p>
    <w:p w14:paraId="613612BA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1A0BC53E" w14:textId="77777777" w:rsidR="000D2F58" w:rsidRPr="000D2F58" w:rsidRDefault="000D2F58" w:rsidP="000D2F58">
      <w:pPr>
        <w:shd w:val="clear" w:color="auto" w:fill="BFBFBF"/>
        <w:spacing w:after="0" w:line="240" w:lineRule="auto"/>
        <w:jc w:val="both"/>
        <w:rPr>
          <w:rFonts w:ascii="Bai Jamjuree Medium" w:eastAsia="Calibri" w:hAnsi="Bai Jamjuree Medium" w:cs="Bai Jamjuree Medium"/>
          <w:b/>
          <w:bCs/>
          <w:iCs/>
          <w:color w:val="000000"/>
        </w:rPr>
      </w:pPr>
      <w:r w:rsidRPr="000D2F58">
        <w:rPr>
          <w:rFonts w:ascii="Bai Jamjuree Medium" w:eastAsia="Calibri" w:hAnsi="Bai Jamjuree Medium" w:cs="Bai Jamjuree Medium"/>
          <w:b/>
          <w:bCs/>
          <w:iCs/>
          <w:color w:val="000000"/>
        </w:rPr>
        <w:t xml:space="preserve">Dotyczy: Pakiet nr 2, zdanie nr 1 – Wózek opatrunkowy – 1 szt. </w:t>
      </w:r>
    </w:p>
    <w:p w14:paraId="509A9BBC" w14:textId="77777777" w:rsidR="000D2F58" w:rsidRPr="000D2F58" w:rsidRDefault="000D2F58" w:rsidP="0043074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 Gothic" w:eastAsia="Calibri" w:hAnsi="Century Gothic" w:cs="Bai Jamjuree Medium"/>
          <w:sz w:val="18"/>
          <w:szCs w:val="18"/>
        </w:rPr>
      </w:pPr>
      <w:r w:rsidRPr="000D2F58">
        <w:rPr>
          <w:rFonts w:ascii="Century Gothic" w:eastAsia="Calibri" w:hAnsi="Century Gothic" w:cs="Bai Jamjuree Medium"/>
          <w:sz w:val="18"/>
          <w:szCs w:val="18"/>
        </w:rPr>
        <w:t xml:space="preserve">Czy Zamawiający wyrazi zgodę na realizację zamówienia w terminie do 8 tygodni </w:t>
      </w:r>
      <w:r w:rsidRPr="000D2F58">
        <w:rPr>
          <w:rFonts w:ascii="Century Gothic" w:eastAsia="Calibri" w:hAnsi="Century Gothic" w:cs="Bai Jamjuree Medium"/>
          <w:color w:val="000000"/>
          <w:sz w:val="18"/>
          <w:szCs w:val="18"/>
        </w:rPr>
        <w:t>od dnia zawarcia umowy</w:t>
      </w:r>
      <w:r w:rsidRPr="000D2F58">
        <w:rPr>
          <w:rFonts w:ascii="Century Gothic" w:eastAsia="Calibri" w:hAnsi="Century Gothic" w:cs="Bai Jamjuree Medium"/>
          <w:sz w:val="18"/>
          <w:szCs w:val="18"/>
        </w:rPr>
        <w:t xml:space="preserve">? Proponowany termin realizacji zamówienia będzie zgodny ze standardowym cyklem produkcji, co pozwoli Wykonawcy należycie zrealizować przedmiot umowy. </w:t>
      </w:r>
    </w:p>
    <w:p w14:paraId="56556EAF" w14:textId="77777777" w:rsidR="000D2F58" w:rsidRPr="000D2F58" w:rsidRDefault="000D2F58" w:rsidP="00430744">
      <w:pPr>
        <w:spacing w:after="0" w:line="240" w:lineRule="auto"/>
        <w:ind w:left="360" w:hanging="76"/>
        <w:jc w:val="both"/>
        <w:rPr>
          <w:rFonts w:ascii="Century Gothic" w:eastAsia="Calibri" w:hAnsi="Century Gothic" w:cs="Bai Jamjuree Medium"/>
          <w:sz w:val="18"/>
          <w:szCs w:val="18"/>
        </w:rPr>
      </w:pPr>
      <w:r w:rsidRPr="000D2F58">
        <w:rPr>
          <w:rFonts w:ascii="Century Gothic" w:eastAsia="Calibri" w:hAnsi="Century Gothic" w:cs="Bai Jamjuree Medium"/>
          <w:sz w:val="18"/>
          <w:szCs w:val="18"/>
        </w:rPr>
        <w:t>Jeśli Zamawiający nie wyrazi zgody na zaproponowany termin realizacji prosimy o informację o ile Zamawiający ma możliwość jego wydłużenia.</w:t>
      </w:r>
    </w:p>
    <w:p w14:paraId="37C8DCD1" w14:textId="77777777" w:rsidR="003D33A5" w:rsidRPr="00430744" w:rsidRDefault="003D33A5" w:rsidP="00430744">
      <w:pPr>
        <w:spacing w:after="0" w:line="240" w:lineRule="auto"/>
        <w:ind w:firstLine="349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Nie, Zamawiający nie wyraża zgody na  proponowany termin realizacji - do 8 tygodni. </w:t>
      </w:r>
    </w:p>
    <w:p w14:paraId="2684254A" w14:textId="2FCC21A8" w:rsidR="000D2F58" w:rsidRPr="000D2F58" w:rsidRDefault="003D33A5" w:rsidP="00430744">
      <w:pPr>
        <w:spacing w:after="0" w:line="240" w:lineRule="auto"/>
        <w:ind w:firstLine="349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>Zamawiający wyrazi zgodę na termin do 5 tygodni od dnia podpisania umowy.</w:t>
      </w:r>
    </w:p>
    <w:p w14:paraId="36974912" w14:textId="77777777" w:rsidR="000D2F58" w:rsidRPr="000D2F58" w:rsidRDefault="000D2F58" w:rsidP="0043074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Times New Roman" w:hAnsi="Century Gothic" w:cs="Bai Jamjuree Medium"/>
          <w:sz w:val="18"/>
          <w:szCs w:val="18"/>
          <w:lang w:eastAsia="ar-SA"/>
        </w:rPr>
        <w:t>Czy (w pkt. 6) Zamawiający wyrazi zgodę na zaoferowanie wózka wyposażonego w uchwyt z tacką na odpady?</w:t>
      </w:r>
    </w:p>
    <w:p w14:paraId="64DB126D" w14:textId="39665D11" w:rsidR="000D2F58" w:rsidRPr="000D2F58" w:rsidRDefault="000D2F58" w:rsidP="00430744">
      <w:p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Times New Roman" w:hAnsi="Century Gothic" w:cs="Bai Jamjuree Medium"/>
          <w:sz w:val="18"/>
          <w:szCs w:val="18"/>
          <w:lang w:eastAsia="ar-SA"/>
        </w:rPr>
        <w:t xml:space="preserve"> </w:t>
      </w:r>
      <w:r w:rsidR="00430744" w:rsidRPr="00430744">
        <w:rPr>
          <w:rFonts w:ascii="Century Gothic" w:eastAsia="Times New Roman" w:hAnsi="Century Gothic" w:cs="Bai Jamjuree Medium"/>
          <w:b/>
          <w:sz w:val="18"/>
          <w:szCs w:val="18"/>
          <w:lang w:eastAsia="ar-SA"/>
        </w:rPr>
        <w:t>Odp.:</w:t>
      </w:r>
      <w:r w:rsidR="00430744" w:rsidRPr="00430744">
        <w:rPr>
          <w:rFonts w:ascii="Century Gothic" w:eastAsia="Times New Roman" w:hAnsi="Century Gothic" w:cs="Bai Jamjuree Medium"/>
          <w:sz w:val="18"/>
          <w:szCs w:val="18"/>
          <w:lang w:eastAsia="ar-SA"/>
        </w:rPr>
        <w:t xml:space="preserve"> Tak, Zamawiający wyraża zgodę na powyższe</w:t>
      </w:r>
    </w:p>
    <w:p w14:paraId="594D97A3" w14:textId="77777777" w:rsidR="00430744" w:rsidRPr="00430744" w:rsidRDefault="000D2F58" w:rsidP="0043074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Times New Roman" w:hAnsi="Century Gothic" w:cs="Bai Jamjuree Medium"/>
          <w:sz w:val="18"/>
          <w:szCs w:val="18"/>
          <w:lang w:eastAsia="ar-SA"/>
        </w:rPr>
        <w:t>Czy (w pkt. 9) Zamawiający wyrazi zgodę na zaoferowanie wózka wyposażonego w nadstawkę z 10 uchylnymi pojemnikami?</w:t>
      </w:r>
    </w:p>
    <w:p w14:paraId="435EC61A" w14:textId="56C8AE82" w:rsidR="000D2F58" w:rsidRPr="000D2F58" w:rsidRDefault="000D2F58" w:rsidP="004307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0D2F58">
        <w:rPr>
          <w:rFonts w:ascii="Century Gothic" w:eastAsia="Times New Roman" w:hAnsi="Century Gothic" w:cs="Bai Jamjuree Medium"/>
          <w:sz w:val="18"/>
          <w:szCs w:val="18"/>
          <w:lang w:eastAsia="ar-SA"/>
        </w:rPr>
        <w:t xml:space="preserve"> </w:t>
      </w:r>
      <w:r w:rsidR="00430744" w:rsidRPr="00430744">
        <w:rPr>
          <w:rFonts w:ascii="Century Gothic" w:eastAsia="Times New Roman" w:hAnsi="Century Gothic" w:cs="Bai Jamjuree Medium"/>
          <w:b/>
          <w:sz w:val="18"/>
          <w:szCs w:val="18"/>
          <w:lang w:eastAsia="ar-SA"/>
        </w:rPr>
        <w:t>Odp.:</w:t>
      </w:r>
      <w:r w:rsidR="00430744" w:rsidRPr="00430744">
        <w:rPr>
          <w:rFonts w:ascii="Century Gothic" w:eastAsia="Times New Roman" w:hAnsi="Century Gothic" w:cs="Bai Jamjuree Medium"/>
          <w:sz w:val="18"/>
          <w:szCs w:val="18"/>
          <w:lang w:eastAsia="ar-SA"/>
        </w:rPr>
        <w:t xml:space="preserve"> Tak, Zamawiający wyraża zgodę na powyższe.</w:t>
      </w:r>
    </w:p>
    <w:p w14:paraId="0127BD56" w14:textId="77777777" w:rsidR="000D2F58" w:rsidRPr="000D2F58" w:rsidRDefault="000D2F58" w:rsidP="0043074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Bai Jamjuree Medium"/>
          <w:color w:val="000000"/>
          <w:kern w:val="2"/>
          <w:sz w:val="18"/>
          <w:szCs w:val="18"/>
          <w14:ligatures w14:val="standardContextual"/>
        </w:rPr>
      </w:pPr>
      <w:r w:rsidRPr="000D2F58">
        <w:rPr>
          <w:rFonts w:ascii="Century Gothic" w:eastAsia="Calibri" w:hAnsi="Century Gothic" w:cs="Bai Jamjuree Medium"/>
          <w:sz w:val="18"/>
          <w:szCs w:val="18"/>
          <w:lang w:eastAsia="pl-PL"/>
        </w:rPr>
        <w:t>Czy (w pkt. 10) Zamawiający wyrazi zgodę na zaoferowanie wózka nie posiadającego szyn sprzętowych</w:t>
      </w:r>
      <w:r w:rsidRPr="000D2F58">
        <w:rPr>
          <w:rFonts w:ascii="Century Gothic" w:eastAsia="Calibri" w:hAnsi="Century Gothic" w:cs="Bai Jamjuree Medium"/>
          <w:color w:val="000000"/>
          <w:kern w:val="2"/>
          <w:sz w:val="18"/>
          <w:szCs w:val="18"/>
          <w:lang w:eastAsia="pl-PL"/>
          <w14:ligatures w14:val="standardContextual"/>
        </w:rPr>
        <w:t>? W oferowanym wózku wyposażenie dodatkowe jest mocowane bezpośrednio do korpusu wózka lub na specjalnym stelażu nad blatem wózka (bez konieczności stosowania szyn do jego montowania).</w:t>
      </w:r>
    </w:p>
    <w:p w14:paraId="6C974D0E" w14:textId="3EE968D5" w:rsidR="000D2F58" w:rsidRPr="000D2F58" w:rsidRDefault="00430744" w:rsidP="00430744">
      <w:p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</w:pPr>
      <w:r w:rsidRPr="00430744">
        <w:rPr>
          <w:rFonts w:ascii="Century Gothic" w:eastAsia="Calibri" w:hAnsi="Century Gothic" w:cs="Bai Jamjuree Medium"/>
          <w:b/>
          <w:color w:val="000000"/>
          <w:sz w:val="18"/>
          <w:szCs w:val="18"/>
          <w:lang w:eastAsia="pl-PL"/>
        </w:rPr>
        <w:t>Odp.:</w:t>
      </w:r>
      <w:r w:rsidRPr="00430744">
        <w:rPr>
          <w:rFonts w:ascii="Century Gothic" w:eastAsia="Calibri" w:hAnsi="Century Gothic" w:cs="Bai Jamjuree Medium"/>
          <w:color w:val="000000"/>
          <w:sz w:val="18"/>
          <w:szCs w:val="18"/>
          <w:lang w:eastAsia="pl-PL"/>
        </w:rPr>
        <w:t xml:space="preserve"> Tak, Zamawiający wyraża zgodę na powyższe</w:t>
      </w:r>
    </w:p>
    <w:p w14:paraId="727944D5" w14:textId="7E99F415" w:rsidR="000D2F58" w:rsidRPr="00430744" w:rsidRDefault="000D2F58" w:rsidP="00430744">
      <w:pPr>
        <w:pStyle w:val="Default"/>
        <w:numPr>
          <w:ilvl w:val="0"/>
          <w:numId w:val="28"/>
        </w:numPr>
        <w:ind w:left="284" w:hanging="284"/>
        <w:rPr>
          <w:rFonts w:ascii="Century Gothic" w:hAnsi="Century Gothic"/>
          <w:b/>
          <w:bCs/>
          <w:sz w:val="18"/>
          <w:szCs w:val="18"/>
        </w:rPr>
      </w:pPr>
      <w:r w:rsidRPr="00430744">
        <w:rPr>
          <w:rFonts w:ascii="Century Gothic" w:eastAsia="Times New Roman" w:hAnsi="Century Gothic" w:cs="Bai Jamjuree Medium"/>
          <w:color w:val="auto"/>
          <w:sz w:val="18"/>
          <w:szCs w:val="18"/>
          <w:lang w:eastAsia="ar-SA"/>
        </w:rPr>
        <w:t>Czy (w pkt. 13) Zamawiający wyrazi zgodę na zaoferowanie wózka o wymiarach 720 x 620 x 985 mm?</w:t>
      </w:r>
    </w:p>
    <w:p w14:paraId="3152825C" w14:textId="63AF5B7A" w:rsidR="000D2F58" w:rsidRDefault="00430744" w:rsidP="00430744">
      <w:pPr>
        <w:pStyle w:val="Default"/>
        <w:ind w:firstLine="284"/>
        <w:rPr>
          <w:rFonts w:ascii="Century Gothic" w:hAnsi="Century Gothic"/>
          <w:b/>
          <w:bCs/>
          <w:sz w:val="18"/>
          <w:szCs w:val="18"/>
        </w:rPr>
      </w:pPr>
      <w:r w:rsidRPr="00430744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Pr="00430744">
        <w:rPr>
          <w:rFonts w:ascii="Century Gothic" w:hAnsi="Century Gothic"/>
          <w:bCs/>
          <w:sz w:val="18"/>
          <w:szCs w:val="18"/>
        </w:rPr>
        <w:t>Nie, Zamawiający nie wyraża zgody na powyższe.</w:t>
      </w:r>
    </w:p>
    <w:p w14:paraId="455FDB50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096D6861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4549FC52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4261C0A3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3B2807CE" w14:textId="77777777" w:rsidR="000D2F58" w:rsidRDefault="000D2F58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14:paraId="09C03478" w14:textId="37B52116" w:rsidR="000D2F58" w:rsidRPr="00F13653" w:rsidRDefault="00F13653" w:rsidP="00F13653">
      <w:pPr>
        <w:pStyle w:val="Default"/>
        <w:ind w:firstLine="6237"/>
        <w:rPr>
          <w:rFonts w:ascii="Century Gothic" w:hAnsi="Century Gothic"/>
          <w:bCs/>
          <w:sz w:val="18"/>
          <w:szCs w:val="18"/>
        </w:rPr>
      </w:pPr>
      <w:r w:rsidRPr="00F13653">
        <w:rPr>
          <w:rFonts w:ascii="Century Gothic" w:hAnsi="Century Gothic"/>
          <w:bCs/>
          <w:sz w:val="18"/>
          <w:szCs w:val="18"/>
        </w:rPr>
        <w:t>Z upoważnienia</w:t>
      </w:r>
    </w:p>
    <w:p w14:paraId="490AA051" w14:textId="04C9361E" w:rsidR="00F13653" w:rsidRPr="00F13653" w:rsidRDefault="00F13653" w:rsidP="00F13653">
      <w:pPr>
        <w:pStyle w:val="Default"/>
        <w:ind w:firstLine="6946"/>
        <w:rPr>
          <w:rFonts w:ascii="Century Gothic" w:hAnsi="Century Gothic"/>
          <w:bCs/>
          <w:sz w:val="18"/>
          <w:szCs w:val="18"/>
        </w:rPr>
      </w:pPr>
      <w:r w:rsidRPr="00F13653">
        <w:rPr>
          <w:rFonts w:ascii="Century Gothic" w:hAnsi="Century Gothic"/>
          <w:bCs/>
          <w:sz w:val="18"/>
          <w:szCs w:val="18"/>
        </w:rPr>
        <w:t xml:space="preserve">      Kierownik Sekcji</w:t>
      </w:r>
    </w:p>
    <w:p w14:paraId="7682771B" w14:textId="414EBD84" w:rsidR="00F13653" w:rsidRPr="00F13653" w:rsidRDefault="00F13653" w:rsidP="00F13653">
      <w:pPr>
        <w:pStyle w:val="Default"/>
        <w:ind w:firstLine="6946"/>
        <w:rPr>
          <w:rFonts w:ascii="Century Gothic" w:hAnsi="Century Gothic"/>
          <w:bCs/>
          <w:sz w:val="18"/>
          <w:szCs w:val="18"/>
        </w:rPr>
      </w:pPr>
      <w:r w:rsidRPr="00F13653">
        <w:rPr>
          <w:rFonts w:ascii="Century Gothic" w:hAnsi="Century Gothic"/>
          <w:bCs/>
          <w:sz w:val="18"/>
          <w:szCs w:val="18"/>
        </w:rPr>
        <w:t xml:space="preserve">  zamówień publicznych</w:t>
      </w:r>
    </w:p>
    <w:p w14:paraId="30E20884" w14:textId="3E071671" w:rsidR="00F13653" w:rsidRPr="00F13653" w:rsidRDefault="00F13653" w:rsidP="00F13653">
      <w:pPr>
        <w:pStyle w:val="Default"/>
        <w:ind w:firstLine="6946"/>
        <w:rPr>
          <w:rFonts w:ascii="Century Gothic" w:hAnsi="Century Gothic"/>
          <w:bCs/>
          <w:sz w:val="18"/>
          <w:szCs w:val="18"/>
        </w:rPr>
      </w:pPr>
      <w:r w:rsidRPr="00F13653">
        <w:rPr>
          <w:rFonts w:ascii="Century Gothic" w:hAnsi="Century Gothic"/>
          <w:bCs/>
          <w:sz w:val="18"/>
          <w:szCs w:val="18"/>
        </w:rPr>
        <w:t>Agnieszka Lis - Nowacka</w:t>
      </w:r>
    </w:p>
    <w:p w14:paraId="2DA98FC6" w14:textId="597E6E3E" w:rsidR="000D2F58" w:rsidRPr="00F13653" w:rsidRDefault="00F13653" w:rsidP="00F13653">
      <w:pPr>
        <w:pStyle w:val="Default"/>
        <w:tabs>
          <w:tab w:val="left" w:pos="7005"/>
        </w:tabs>
        <w:rPr>
          <w:rFonts w:ascii="Century Gothic" w:hAnsi="Century Gothic"/>
          <w:bCs/>
          <w:sz w:val="18"/>
          <w:szCs w:val="18"/>
        </w:rPr>
      </w:pPr>
      <w:r w:rsidRPr="00F13653">
        <w:rPr>
          <w:rFonts w:ascii="Century Gothic" w:hAnsi="Century Gothic"/>
          <w:bCs/>
          <w:sz w:val="18"/>
          <w:szCs w:val="18"/>
        </w:rPr>
        <w:tab/>
        <w:t>(podpis w oryginale)</w:t>
      </w:r>
    </w:p>
    <w:p w14:paraId="4447DDDB" w14:textId="362DC31D" w:rsidR="00F13653" w:rsidRDefault="00F13653" w:rsidP="009C7757">
      <w:pPr>
        <w:tabs>
          <w:tab w:val="left" w:pos="5745"/>
        </w:tabs>
        <w:spacing w:after="0"/>
        <w:ind w:firstLine="5954"/>
        <w:rPr>
          <w:rFonts w:ascii="Century Gothic" w:hAnsi="Century Gothic"/>
          <w:sz w:val="18"/>
          <w:szCs w:val="18"/>
        </w:rPr>
      </w:pPr>
    </w:p>
    <w:p w14:paraId="2739D996" w14:textId="77777777" w:rsidR="00F13653" w:rsidRPr="00F13653" w:rsidRDefault="00F13653" w:rsidP="00F13653">
      <w:pPr>
        <w:rPr>
          <w:rFonts w:ascii="Century Gothic" w:hAnsi="Century Gothic"/>
          <w:sz w:val="18"/>
          <w:szCs w:val="18"/>
        </w:rPr>
      </w:pPr>
      <w:bookmarkStart w:id="6" w:name="_GoBack"/>
      <w:bookmarkEnd w:id="6"/>
    </w:p>
    <w:p w14:paraId="1D581B71" w14:textId="77777777" w:rsidR="00F13653" w:rsidRPr="00F13653" w:rsidRDefault="00F13653" w:rsidP="00F13653">
      <w:pPr>
        <w:rPr>
          <w:rFonts w:ascii="Century Gothic" w:hAnsi="Century Gothic"/>
          <w:sz w:val="18"/>
          <w:szCs w:val="18"/>
        </w:rPr>
      </w:pPr>
    </w:p>
    <w:p w14:paraId="2B00795F" w14:textId="331E9F10" w:rsidR="00F13653" w:rsidRPr="00F13653" w:rsidRDefault="00F13653" w:rsidP="00F13653">
      <w:pPr>
        <w:rPr>
          <w:rFonts w:ascii="Century Gothic" w:hAnsi="Century Gothic"/>
          <w:sz w:val="18"/>
          <w:szCs w:val="18"/>
        </w:rPr>
      </w:pPr>
    </w:p>
    <w:sectPr w:rsidR="00F13653" w:rsidRPr="00F13653" w:rsidSect="00DC479E">
      <w:footerReference w:type="default" r:id="rId9"/>
      <w:pgSz w:w="11906" w:h="16838" w:code="9"/>
      <w:pgMar w:top="11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BE00" w14:textId="77777777" w:rsidR="00FE053C" w:rsidRDefault="00FE053C" w:rsidP="00E57D75">
      <w:pPr>
        <w:spacing w:after="0" w:line="240" w:lineRule="auto"/>
      </w:pPr>
      <w:r>
        <w:separator/>
      </w:r>
    </w:p>
  </w:endnote>
  <w:endnote w:type="continuationSeparator" w:id="0">
    <w:p w14:paraId="7CDE5243" w14:textId="77777777" w:rsidR="00FE053C" w:rsidRDefault="00FE053C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i Jamjuree Medium">
    <w:altName w:val="Arial Unicode MS"/>
    <w:charset w:val="EE"/>
    <w:family w:val="auto"/>
    <w:pitch w:val="variable"/>
    <w:sig w:usb0="00000000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F13653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4FB7" w14:textId="77777777" w:rsidR="00FE053C" w:rsidRDefault="00FE053C" w:rsidP="00E57D75">
      <w:pPr>
        <w:spacing w:after="0" w:line="240" w:lineRule="auto"/>
      </w:pPr>
      <w:r>
        <w:separator/>
      </w:r>
    </w:p>
  </w:footnote>
  <w:footnote w:type="continuationSeparator" w:id="0">
    <w:p w14:paraId="3193A665" w14:textId="77777777" w:rsidR="00FE053C" w:rsidRDefault="00FE053C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8763F03"/>
    <w:multiLevelType w:val="hybridMultilevel"/>
    <w:tmpl w:val="53A4529A"/>
    <w:lvl w:ilvl="0" w:tplc="DF02EF5C">
      <w:start w:val="1"/>
      <w:numFmt w:val="lowerLetter"/>
      <w:lvlText w:val="%1)"/>
      <w:lvlJc w:val="left"/>
      <w:pPr>
        <w:ind w:left="144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6727F6"/>
    <w:multiLevelType w:val="hybridMultilevel"/>
    <w:tmpl w:val="1870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7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F160FA"/>
    <w:multiLevelType w:val="hybridMultilevel"/>
    <w:tmpl w:val="4CDC058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10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2A4F4764"/>
    <w:multiLevelType w:val="hybridMultilevel"/>
    <w:tmpl w:val="CF2669E8"/>
    <w:lvl w:ilvl="0" w:tplc="53C40C74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EC53C9A"/>
    <w:multiLevelType w:val="hybridMultilevel"/>
    <w:tmpl w:val="336295E0"/>
    <w:lvl w:ilvl="0" w:tplc="43545938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911"/>
    <w:multiLevelType w:val="hybridMultilevel"/>
    <w:tmpl w:val="237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03E4"/>
    <w:multiLevelType w:val="hybridMultilevel"/>
    <w:tmpl w:val="34669DEC"/>
    <w:lvl w:ilvl="0" w:tplc="CDB65A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6694"/>
    <w:multiLevelType w:val="hybridMultilevel"/>
    <w:tmpl w:val="008676C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21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3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F876FD5"/>
    <w:multiLevelType w:val="hybridMultilevel"/>
    <w:tmpl w:val="70A01D1C"/>
    <w:lvl w:ilvl="0" w:tplc="0CFC8072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7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5394C"/>
    <w:multiLevelType w:val="hybridMultilevel"/>
    <w:tmpl w:val="C0E6EA94"/>
    <w:lvl w:ilvl="0" w:tplc="9BD48D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9"/>
  </w:num>
  <w:num w:numId="9">
    <w:abstractNumId w:val="22"/>
  </w:num>
  <w:num w:numId="10">
    <w:abstractNumId w:val="1"/>
  </w:num>
  <w:num w:numId="11">
    <w:abstractNumId w:val="23"/>
  </w:num>
  <w:num w:numId="12">
    <w:abstractNumId w:val="9"/>
  </w:num>
  <w:num w:numId="13">
    <w:abstractNumId w:val="13"/>
  </w:num>
  <w:num w:numId="14">
    <w:abstractNumId w:val="24"/>
  </w:num>
  <w:num w:numId="15">
    <w:abstractNumId w:val="26"/>
  </w:num>
  <w:num w:numId="16">
    <w:abstractNumId w:val="5"/>
  </w:num>
  <w:num w:numId="17">
    <w:abstractNumId w:val="21"/>
  </w:num>
  <w:num w:numId="18">
    <w:abstractNumId w:val="15"/>
  </w:num>
  <w:num w:numId="19">
    <w:abstractNumId w:val="17"/>
  </w:num>
  <w:num w:numId="20">
    <w:abstractNumId w:val="25"/>
  </w:num>
  <w:num w:numId="21">
    <w:abstractNumId w:val="8"/>
  </w:num>
  <w:num w:numId="22">
    <w:abstractNumId w:val="28"/>
  </w:num>
  <w:num w:numId="23">
    <w:abstractNumId w:val="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4412C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C71B5"/>
    <w:rsid w:val="000D2F58"/>
    <w:rsid w:val="000D33A5"/>
    <w:rsid w:val="000E083D"/>
    <w:rsid w:val="000E18F7"/>
    <w:rsid w:val="000E215E"/>
    <w:rsid w:val="000E2D90"/>
    <w:rsid w:val="000E5A4E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030A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17C71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053C"/>
    <w:rsid w:val="00251CFC"/>
    <w:rsid w:val="002520B5"/>
    <w:rsid w:val="00252171"/>
    <w:rsid w:val="0025267A"/>
    <w:rsid w:val="002633A4"/>
    <w:rsid w:val="00263778"/>
    <w:rsid w:val="00263CD6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5307"/>
    <w:rsid w:val="0029725C"/>
    <w:rsid w:val="002A6521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D2398"/>
    <w:rsid w:val="003D33A5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25863"/>
    <w:rsid w:val="00430744"/>
    <w:rsid w:val="00430840"/>
    <w:rsid w:val="00431E6F"/>
    <w:rsid w:val="00434636"/>
    <w:rsid w:val="004357FF"/>
    <w:rsid w:val="00436B65"/>
    <w:rsid w:val="00441A3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A2E91"/>
    <w:rsid w:val="004A5837"/>
    <w:rsid w:val="004B140E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4F8"/>
    <w:rsid w:val="00511C46"/>
    <w:rsid w:val="0051336C"/>
    <w:rsid w:val="00515771"/>
    <w:rsid w:val="005250B6"/>
    <w:rsid w:val="00533547"/>
    <w:rsid w:val="00534F10"/>
    <w:rsid w:val="00535EE4"/>
    <w:rsid w:val="0054177A"/>
    <w:rsid w:val="005434E6"/>
    <w:rsid w:val="00554F8C"/>
    <w:rsid w:val="005671AB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06EE2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E61E8"/>
    <w:rsid w:val="006F1132"/>
    <w:rsid w:val="006F1193"/>
    <w:rsid w:val="006F637D"/>
    <w:rsid w:val="006F67BF"/>
    <w:rsid w:val="00700DEF"/>
    <w:rsid w:val="007025AA"/>
    <w:rsid w:val="007046D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3FF4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16800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E4686"/>
    <w:rsid w:val="008F0364"/>
    <w:rsid w:val="008F7607"/>
    <w:rsid w:val="008F76E3"/>
    <w:rsid w:val="009058A6"/>
    <w:rsid w:val="009113F6"/>
    <w:rsid w:val="00913091"/>
    <w:rsid w:val="00917238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C7757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1416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4CEB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77BFE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235"/>
    <w:rsid w:val="00CC4FF2"/>
    <w:rsid w:val="00CD0E4A"/>
    <w:rsid w:val="00CD36BF"/>
    <w:rsid w:val="00CD6F28"/>
    <w:rsid w:val="00CE48D3"/>
    <w:rsid w:val="00CE5F40"/>
    <w:rsid w:val="00CF38BB"/>
    <w:rsid w:val="00CF7CB4"/>
    <w:rsid w:val="00D011B0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928B6"/>
    <w:rsid w:val="00DA3A01"/>
    <w:rsid w:val="00DA66B7"/>
    <w:rsid w:val="00DA6A13"/>
    <w:rsid w:val="00DC0E0C"/>
    <w:rsid w:val="00DC1A9B"/>
    <w:rsid w:val="00DC2256"/>
    <w:rsid w:val="00DC2827"/>
    <w:rsid w:val="00DC479E"/>
    <w:rsid w:val="00DC6DAD"/>
    <w:rsid w:val="00DD03AD"/>
    <w:rsid w:val="00DD30E7"/>
    <w:rsid w:val="00DD3720"/>
    <w:rsid w:val="00DE2A60"/>
    <w:rsid w:val="00DE32D8"/>
    <w:rsid w:val="00DE66F3"/>
    <w:rsid w:val="00DF70BA"/>
    <w:rsid w:val="00E02268"/>
    <w:rsid w:val="00E0501C"/>
    <w:rsid w:val="00E101E8"/>
    <w:rsid w:val="00E1286D"/>
    <w:rsid w:val="00E15542"/>
    <w:rsid w:val="00E300DE"/>
    <w:rsid w:val="00E36C62"/>
    <w:rsid w:val="00E37001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653"/>
    <w:rsid w:val="00F13788"/>
    <w:rsid w:val="00F14C7A"/>
    <w:rsid w:val="00F1584E"/>
    <w:rsid w:val="00F16871"/>
    <w:rsid w:val="00F30DC6"/>
    <w:rsid w:val="00F350D2"/>
    <w:rsid w:val="00F41EB8"/>
    <w:rsid w:val="00F41EBB"/>
    <w:rsid w:val="00F45ED4"/>
    <w:rsid w:val="00F55D3B"/>
    <w:rsid w:val="00F5764F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B638F"/>
    <w:rsid w:val="00FC4043"/>
    <w:rsid w:val="00FE053C"/>
    <w:rsid w:val="00FE0C3F"/>
    <w:rsid w:val="00FE10D0"/>
    <w:rsid w:val="00FE3DA5"/>
    <w:rsid w:val="00FE7ABA"/>
    <w:rsid w:val="00FF0051"/>
    <w:rsid w:val="00FF0B72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4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81EF-D57A-4C56-9659-241E4BA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112</cp:revision>
  <cp:lastPrinted>2023-07-04T11:36:00Z</cp:lastPrinted>
  <dcterms:created xsi:type="dcterms:W3CDTF">2020-07-06T06:21:00Z</dcterms:created>
  <dcterms:modified xsi:type="dcterms:W3CDTF">2023-11-27T12:35:00Z</dcterms:modified>
</cp:coreProperties>
</file>