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FCD4607"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bookmarkStart w:id="5" w:name="_Hlk134095812"/>
      <w:r w:rsidR="000723F0" w:rsidRPr="000723F0">
        <w:rPr>
          <w:rFonts w:ascii="Times New Roman" w:hAnsi="Times New Roman" w:cs="Times New Roman"/>
          <w:b/>
          <w:bCs/>
          <w:color w:val="000000" w:themeColor="text1"/>
          <w:sz w:val="28"/>
          <w:szCs w:val="28"/>
          <w:lang w:eastAsia="ar-SA"/>
        </w:rPr>
        <w:t>Przebudowa nawierzchni drogi dojazdowej do gruntów rolnych w</w:t>
      </w:r>
      <w:r w:rsidR="008703BA">
        <w:rPr>
          <w:rFonts w:ascii="Times New Roman" w:hAnsi="Times New Roman" w:cs="Times New Roman"/>
          <w:b/>
          <w:bCs/>
          <w:color w:val="000000" w:themeColor="text1"/>
          <w:sz w:val="28"/>
          <w:szCs w:val="28"/>
          <w:lang w:eastAsia="ar-SA"/>
        </w:rPr>
        <w:t> </w:t>
      </w:r>
      <w:r w:rsidR="000723F0" w:rsidRPr="000723F0">
        <w:rPr>
          <w:rFonts w:ascii="Times New Roman" w:hAnsi="Times New Roman" w:cs="Times New Roman"/>
          <w:b/>
          <w:bCs/>
          <w:color w:val="000000" w:themeColor="text1"/>
          <w:sz w:val="28"/>
          <w:szCs w:val="28"/>
          <w:lang w:eastAsia="ar-SA"/>
        </w:rPr>
        <w:t>Piasecznej</w:t>
      </w:r>
      <w:r w:rsidR="000723F0">
        <w:rPr>
          <w:rFonts w:ascii="Times New Roman" w:hAnsi="Times New Roman" w:cs="Times New Roman"/>
          <w:b/>
          <w:bCs/>
          <w:color w:val="000000" w:themeColor="text1"/>
          <w:sz w:val="28"/>
          <w:szCs w:val="28"/>
          <w:lang w:eastAsia="ar-SA"/>
        </w:rPr>
        <w:t xml:space="preserve"> </w:t>
      </w:r>
      <w:r w:rsidR="000723F0" w:rsidRPr="000723F0">
        <w:rPr>
          <w:rFonts w:ascii="Times New Roman" w:hAnsi="Times New Roman" w:cs="Times New Roman"/>
          <w:b/>
          <w:bCs/>
          <w:color w:val="000000" w:themeColor="text1"/>
          <w:sz w:val="28"/>
          <w:szCs w:val="28"/>
          <w:lang w:eastAsia="ar-SA"/>
        </w:rPr>
        <w:t>-</w:t>
      </w:r>
      <w:r w:rsidR="000723F0">
        <w:rPr>
          <w:rFonts w:ascii="Times New Roman" w:hAnsi="Times New Roman" w:cs="Times New Roman"/>
          <w:b/>
          <w:bCs/>
          <w:color w:val="000000" w:themeColor="text1"/>
          <w:sz w:val="28"/>
          <w:szCs w:val="28"/>
          <w:lang w:eastAsia="ar-SA"/>
        </w:rPr>
        <w:t xml:space="preserve"> </w:t>
      </w:r>
      <w:r w:rsidR="000723F0" w:rsidRPr="000723F0">
        <w:rPr>
          <w:rFonts w:ascii="Times New Roman" w:hAnsi="Times New Roman" w:cs="Times New Roman"/>
          <w:b/>
          <w:bCs/>
          <w:color w:val="000000" w:themeColor="text1"/>
          <w:sz w:val="28"/>
          <w:szCs w:val="28"/>
          <w:lang w:eastAsia="ar-SA"/>
        </w:rPr>
        <w:t>działki nr 490/1,</w:t>
      </w:r>
      <w:r w:rsidR="000723F0">
        <w:rPr>
          <w:rFonts w:ascii="Times New Roman" w:hAnsi="Times New Roman" w:cs="Times New Roman"/>
          <w:b/>
          <w:bCs/>
          <w:color w:val="000000" w:themeColor="text1"/>
          <w:sz w:val="28"/>
          <w:szCs w:val="28"/>
          <w:lang w:eastAsia="ar-SA"/>
        </w:rPr>
        <w:t xml:space="preserve"> </w:t>
      </w:r>
      <w:r w:rsidR="000723F0" w:rsidRPr="000723F0">
        <w:rPr>
          <w:rFonts w:ascii="Times New Roman" w:hAnsi="Times New Roman" w:cs="Times New Roman"/>
          <w:b/>
          <w:bCs/>
          <w:color w:val="000000" w:themeColor="text1"/>
          <w:sz w:val="28"/>
          <w:szCs w:val="28"/>
          <w:lang w:eastAsia="ar-SA"/>
        </w:rPr>
        <w:t>490/2, 377/2, 377/1</w:t>
      </w:r>
      <w:bookmarkEnd w:id="5"/>
      <w:r w:rsidRPr="000723F0">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3866DA2F"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6E2615">
        <w:rPr>
          <w:rFonts w:ascii="Times New Roman" w:hAnsi="Times New Roman" w:cs="Times New Roman"/>
          <w:sz w:val="22"/>
          <w:szCs w:val="22"/>
        </w:rPr>
        <w:t>09</w:t>
      </w:r>
      <w:r w:rsidR="00A57E68">
        <w:rPr>
          <w:rFonts w:ascii="Times New Roman" w:hAnsi="Times New Roman" w:cs="Times New Roman"/>
          <w:sz w:val="22"/>
          <w:szCs w:val="22"/>
        </w:rPr>
        <w:t>.0</w:t>
      </w:r>
      <w:r w:rsidR="000723F0">
        <w:rPr>
          <w:rFonts w:ascii="Times New Roman" w:hAnsi="Times New Roman" w:cs="Times New Roman"/>
          <w:sz w:val="22"/>
          <w:szCs w:val="22"/>
        </w:rPr>
        <w:t>5</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1915A1D9"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193F8C"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 xml:space="preserve">(ART. </w:t>
      </w:r>
      <w:r w:rsidR="00031470" w:rsidRPr="00193F8C">
        <w:rPr>
          <w:rStyle w:val="Teksttreci8CalibriBezpogrubienia"/>
          <w:rFonts w:ascii="Times New Roman" w:hAnsi="Times New Roman" w:cs="Times New Roman"/>
          <w:i/>
          <w:iCs/>
          <w:color w:val="auto"/>
          <w:sz w:val="22"/>
          <w:szCs w:val="22"/>
        </w:rPr>
        <w:t>281</w:t>
      </w:r>
      <w:r w:rsidR="00031470" w:rsidRPr="00193F8C">
        <w:rPr>
          <w:rStyle w:val="Teksttreci81"/>
          <w:rFonts w:ascii="Times New Roman" w:hAnsi="Times New Roman" w:cs="Times New Roman"/>
          <w:i/>
          <w:iCs/>
          <w:color w:val="auto"/>
          <w:sz w:val="22"/>
          <w:szCs w:val="22"/>
        </w:rPr>
        <w:t xml:space="preserve"> </w:t>
      </w:r>
      <w:r w:rsidR="00031470" w:rsidRPr="00193F8C">
        <w:rPr>
          <w:rStyle w:val="Teksttreci8Maelitery"/>
          <w:rFonts w:ascii="Times New Roman" w:hAnsi="Times New Roman" w:cs="Times New Roman"/>
          <w:i/>
          <w:iCs/>
          <w:color w:val="auto"/>
          <w:sz w:val="22"/>
          <w:szCs w:val="22"/>
        </w:rPr>
        <w:t>UST. 1 PKT  5 USTAWY PZP)</w:t>
      </w:r>
    </w:p>
    <w:p w14:paraId="52FFB689" w14:textId="57BCF33E" w:rsidR="006C7034" w:rsidRPr="00193F8C" w:rsidRDefault="006C7034" w:rsidP="00840D4B">
      <w:pPr>
        <w:tabs>
          <w:tab w:val="left" w:pos="348"/>
        </w:tabs>
        <w:spacing w:after="33" w:line="210" w:lineRule="exact"/>
        <w:jc w:val="both"/>
        <w:rPr>
          <w:rFonts w:ascii="Times New Roman" w:eastAsia="Palatino Linotype" w:hAnsi="Times New Roman" w:cs="Times New Roman"/>
          <w:b/>
          <w:bCs/>
          <w:color w:val="auto"/>
          <w:sz w:val="22"/>
          <w:szCs w:val="22"/>
        </w:rPr>
      </w:pPr>
      <w:bookmarkStart w:id="8" w:name="_Hlk89255602"/>
      <w:r w:rsidRPr="00193F8C">
        <w:rPr>
          <w:rFonts w:ascii="Times New Roman" w:eastAsia="Palatino Linotype" w:hAnsi="Times New Roman" w:cs="Times New Roman"/>
          <w:b/>
          <w:bCs/>
          <w:color w:val="auto"/>
          <w:sz w:val="22"/>
          <w:szCs w:val="22"/>
        </w:rPr>
        <w:t>Opis przedmiotu zamówienia</w:t>
      </w:r>
    </w:p>
    <w:p w14:paraId="370A95F0" w14:textId="50BF64B3" w:rsidR="006C7034" w:rsidRPr="002D6C84" w:rsidRDefault="006C7034" w:rsidP="006C7034">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9" w:name="_Hlk95370949"/>
      <w:r w:rsidRPr="002D6C84">
        <w:rPr>
          <w:rFonts w:ascii="Times New Roman" w:eastAsia="Times New Roman" w:hAnsi="Times New Roman" w:cs="Times New Roman"/>
          <w:color w:val="auto"/>
          <w:sz w:val="22"/>
          <w:szCs w:val="22"/>
          <w:lang w:eastAsia="en-US" w:bidi="ar-SA"/>
        </w:rPr>
        <w:t>Przedmiotem</w:t>
      </w:r>
      <w:r w:rsidRPr="002D6C84">
        <w:rPr>
          <w:rFonts w:ascii="Calibri" w:eastAsia="Times New Roman" w:hAnsi="Calibri" w:cs="Times New Roman"/>
          <w:color w:val="auto"/>
          <w:sz w:val="22"/>
          <w:szCs w:val="22"/>
          <w:lang w:eastAsia="en-US" w:bidi="ar-SA"/>
        </w:rPr>
        <w:t xml:space="preserve"> </w:t>
      </w:r>
      <w:r w:rsidRPr="002D6C84">
        <w:rPr>
          <w:rFonts w:ascii="Times New Roman" w:eastAsia="Times New Roman" w:hAnsi="Times New Roman" w:cs="Times New Roman"/>
          <w:color w:val="auto"/>
          <w:sz w:val="22"/>
          <w:szCs w:val="22"/>
          <w:lang w:eastAsia="en-US" w:bidi="ar-SA"/>
        </w:rPr>
        <w:t xml:space="preserve">zamówienia jest </w:t>
      </w:r>
      <w:r w:rsidRPr="002D6C84">
        <w:rPr>
          <w:rFonts w:ascii="Times New Roman" w:eastAsia="Times New Roman" w:hAnsi="Times New Roman" w:cs="Times New Roman"/>
          <w:color w:val="auto"/>
          <w:sz w:val="22"/>
          <w:szCs w:val="22"/>
          <w:lang w:eastAsia="en-US"/>
        </w:rPr>
        <w:t>wykonanie zadania pn.:</w:t>
      </w:r>
      <w:r w:rsidRPr="002D6C84">
        <w:rPr>
          <w:rFonts w:ascii="Times New Roman" w:hAnsi="Times New Roman" w:cs="Times New Roman"/>
          <w:b/>
          <w:bCs/>
          <w:color w:val="auto"/>
          <w:sz w:val="22"/>
          <w:szCs w:val="22"/>
          <w:lang w:eastAsia="ar-SA"/>
        </w:rPr>
        <w:t xml:space="preserve"> </w:t>
      </w:r>
      <w:r w:rsidRPr="002D6C84">
        <w:rPr>
          <w:rFonts w:ascii="Times New Roman" w:eastAsia="Times New Roman" w:hAnsi="Times New Roman" w:cs="Times New Roman"/>
          <w:color w:val="auto"/>
          <w:sz w:val="22"/>
          <w:szCs w:val="22"/>
          <w:lang w:eastAsia="en-US"/>
        </w:rPr>
        <w:t>„</w:t>
      </w:r>
      <w:bookmarkStart w:id="10" w:name="_Hlk134432260"/>
      <w:r w:rsidR="002D6C84" w:rsidRPr="000D3883">
        <w:rPr>
          <w:rFonts w:ascii="Times New Roman" w:eastAsia="Times New Roman" w:hAnsi="Times New Roman" w:cs="Times New Roman"/>
          <w:color w:val="auto"/>
          <w:sz w:val="22"/>
          <w:szCs w:val="22"/>
          <w:lang w:eastAsia="en-US"/>
        </w:rPr>
        <w:t>Przebudowa nawierzchni drogi dojazdowej do gruntów rolnych w Piasecznej - działki nr 490/1, 490/2, 377/2, 377/1</w:t>
      </w:r>
      <w:bookmarkEnd w:id="10"/>
      <w:r w:rsidRPr="000D3883">
        <w:rPr>
          <w:rFonts w:ascii="Times New Roman" w:eastAsia="Times New Roman" w:hAnsi="Times New Roman" w:cs="Times New Roman"/>
          <w:color w:val="auto"/>
          <w:sz w:val="22"/>
          <w:szCs w:val="22"/>
          <w:lang w:eastAsia="en-US"/>
        </w:rPr>
        <w:t>”.</w:t>
      </w:r>
    </w:p>
    <w:p w14:paraId="2C26EECE" w14:textId="77777777" w:rsidR="006C7034" w:rsidRPr="002D6C84" w:rsidRDefault="006C7034" w:rsidP="006C7034">
      <w:pPr>
        <w:widowControl/>
        <w:numPr>
          <w:ilvl w:val="0"/>
          <w:numId w:val="71"/>
        </w:numPr>
        <w:autoSpaceDE w:val="0"/>
        <w:autoSpaceDN w:val="0"/>
        <w:adjustRightInd w:val="0"/>
        <w:ind w:left="426"/>
        <w:jc w:val="both"/>
        <w:rPr>
          <w:rFonts w:ascii="Times New Roman" w:hAnsi="Times New Roman" w:cs="Times New Roman"/>
          <w:color w:val="auto"/>
          <w:sz w:val="22"/>
          <w:szCs w:val="22"/>
          <w:lang w:bidi="ar-SA"/>
        </w:rPr>
      </w:pPr>
      <w:r w:rsidRPr="002D6C84">
        <w:rPr>
          <w:rFonts w:ascii="Times New Roman" w:eastAsia="Times New Roman" w:hAnsi="Times New Roman" w:cs="Arial"/>
          <w:color w:val="auto"/>
          <w:sz w:val="22"/>
          <w:szCs w:val="22"/>
          <w:lang w:bidi="ar-SA"/>
        </w:rPr>
        <w:t xml:space="preserve">W ramach zadania wykonane zostaną m.in. następujące roboty: </w:t>
      </w:r>
    </w:p>
    <w:p w14:paraId="6CA42DC6" w14:textId="211D515E"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Wyrównanie podbudowy zagęszczonej,</w:t>
      </w:r>
    </w:p>
    <w:p w14:paraId="61F8F52B" w14:textId="079CAA9E"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Podbudowa 23 cm z tłucznia łamanego,</w:t>
      </w:r>
    </w:p>
    <w:p w14:paraId="26E24A5D" w14:textId="47589D4A"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Warstwa wiążąca AC11 gr. 4 cm,</w:t>
      </w:r>
    </w:p>
    <w:p w14:paraId="524BA029" w14:textId="44AA10B7"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Warstwa ścieralna AC</w:t>
      </w:r>
      <w:r w:rsidR="002D6C84" w:rsidRPr="002D6C84">
        <w:rPr>
          <w:rFonts w:ascii="Times New Roman" w:hAnsi="Times New Roman" w:cs="Times New Roman"/>
          <w:color w:val="auto"/>
          <w:sz w:val="22"/>
          <w:szCs w:val="22"/>
          <w:lang w:bidi="ar-SA"/>
        </w:rPr>
        <w:t>5</w:t>
      </w:r>
      <w:r w:rsidRPr="002D6C84">
        <w:rPr>
          <w:rFonts w:ascii="Times New Roman" w:hAnsi="Times New Roman" w:cs="Times New Roman"/>
          <w:color w:val="auto"/>
          <w:sz w:val="22"/>
          <w:szCs w:val="22"/>
          <w:lang w:bidi="ar-SA"/>
        </w:rPr>
        <w:t xml:space="preserve"> gr. 4 cm,</w:t>
      </w:r>
    </w:p>
    <w:p w14:paraId="3A4C1E96" w14:textId="58546432" w:rsidR="006C7034"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Obsługa geodezyjna,</w:t>
      </w:r>
    </w:p>
    <w:p w14:paraId="3894B213" w14:textId="28626CC9" w:rsidR="004A074B" w:rsidRPr="002D6C84"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2D6C84">
        <w:rPr>
          <w:rFonts w:ascii="Times New Roman" w:hAnsi="Times New Roman" w:cs="Times New Roman"/>
          <w:color w:val="auto"/>
          <w:sz w:val="22"/>
          <w:szCs w:val="22"/>
          <w:lang w:bidi="ar-SA"/>
        </w:rPr>
        <w:t>Tymczasowa organizacja ruchu.</w:t>
      </w:r>
    </w:p>
    <w:p w14:paraId="68573A30" w14:textId="6E505257" w:rsidR="002D6C84" w:rsidRPr="00C924A1" w:rsidRDefault="002D6C84" w:rsidP="002D6C84">
      <w:pPr>
        <w:pStyle w:val="Akapitzlist"/>
        <w:widowControl/>
        <w:numPr>
          <w:ilvl w:val="0"/>
          <w:numId w:val="71"/>
        </w:numPr>
        <w:ind w:left="426"/>
        <w:jc w:val="both"/>
        <w:rPr>
          <w:rFonts w:ascii="Times New Roman" w:hAnsi="Times New Roman" w:cs="Times New Roman"/>
          <w:bCs/>
          <w:color w:val="auto"/>
          <w:sz w:val="22"/>
          <w:szCs w:val="22"/>
        </w:rPr>
      </w:pPr>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zczegółowy opis przedmiotu zamówienia znajduje się w załączniku Nr 1</w:t>
      </w:r>
      <w:r>
        <w:rPr>
          <w:rFonts w:ascii="Times New Roman" w:hAnsi="Times New Roman" w:cs="Times New Roman"/>
          <w:bCs/>
          <w:color w:val="auto"/>
          <w:sz w:val="22"/>
          <w:szCs w:val="22"/>
        </w:rPr>
        <w:t>0</w:t>
      </w:r>
      <w:r w:rsidRPr="00C924A1">
        <w:rPr>
          <w:rFonts w:ascii="Times New Roman" w:hAnsi="Times New Roman" w:cs="Times New Roman"/>
          <w:bCs/>
          <w:color w:val="auto"/>
          <w:sz w:val="22"/>
          <w:szCs w:val="22"/>
        </w:rPr>
        <w:t xml:space="preserve"> do SWZ. Składają się na niego następujące dokumenty:</w:t>
      </w:r>
    </w:p>
    <w:p w14:paraId="75602D4F" w14:textId="77777777" w:rsidR="002D6C84"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projekt budowlany,</w:t>
      </w:r>
    </w:p>
    <w:p w14:paraId="05B722CB" w14:textId="77777777" w:rsidR="002D6C84" w:rsidRPr="00AD1E57"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5DBE7938" w14:textId="77777777" w:rsidR="002D6C84" w:rsidRPr="00C924A1" w:rsidRDefault="002D6C84" w:rsidP="002D6C84">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przedmiary robót.</w:t>
      </w:r>
    </w:p>
    <w:p w14:paraId="4B61F33D" w14:textId="26395BF9" w:rsidR="006C7034" w:rsidRPr="002D6C84" w:rsidRDefault="002D6C84" w:rsidP="002D6C84">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y w dokumentacji projektowej o której mowa w pkt a)</w:t>
      </w:r>
      <w:r w:rsidRPr="00AD1E57">
        <w:rPr>
          <w:rFonts w:ascii="Times New Roman" w:hAnsi="Times New Roman" w:cs="Times New Roman"/>
          <w:iCs/>
          <w:color w:val="auto"/>
          <w:sz w:val="22"/>
          <w:szCs w:val="22"/>
        </w:rPr>
        <w:t xml:space="preserve"> lub STWiORB.</w:t>
      </w:r>
    </w:p>
    <w:p w14:paraId="07BD484D" w14:textId="77777777" w:rsidR="006C7034" w:rsidRPr="002D6C84" w:rsidRDefault="006C7034" w:rsidP="006C7034">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038B5CFC" w14:textId="77777777" w:rsidR="006C7034" w:rsidRPr="002D6C84" w:rsidRDefault="006C7034" w:rsidP="006C7034">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147AED11" w14:textId="08C4B1A7" w:rsidR="006C7034" w:rsidRPr="002D6C84" w:rsidRDefault="006C7034" w:rsidP="006C7034">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w:t>
      </w:r>
      <w:r w:rsidR="00085549" w:rsidRPr="002D6C84">
        <w:rPr>
          <w:rFonts w:ascii="Times New Roman" w:eastAsia="Calibri" w:hAnsi="Times New Roman" w:cs="Times New Roman"/>
          <w:color w:val="auto"/>
          <w:sz w:val="22"/>
          <w:szCs w:val="22"/>
        </w:rPr>
        <w:t xml:space="preserve"> </w:t>
      </w:r>
      <w:r w:rsidRPr="002D6C84">
        <w:rPr>
          <w:rFonts w:ascii="Times New Roman" w:eastAsia="Calibri" w:hAnsi="Times New Roman" w:cs="Times New Roman"/>
          <w:color w:val="auto"/>
          <w:sz w:val="22"/>
          <w:szCs w:val="22"/>
        </w:rPr>
        <w:t xml:space="preserve">Zaoferowane rozwiązanie równoważne nie może powodować konieczności przeprojektowywania dokumentacji projektowej. </w:t>
      </w:r>
    </w:p>
    <w:p w14:paraId="4AE55D86" w14:textId="77777777" w:rsidR="006C7034" w:rsidRPr="002D6C84" w:rsidRDefault="006C7034" w:rsidP="006C7034">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5C41A7EF" w14:textId="3BD4CD37" w:rsidR="006C7034" w:rsidRPr="00AD1C6B" w:rsidRDefault="006C7034" w:rsidP="006C7034">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w:t>
      </w:r>
      <w:r w:rsidR="00085549" w:rsidRPr="002D6C84">
        <w:rPr>
          <w:rFonts w:ascii="Times New Roman" w:eastAsia="Times New Roman" w:hAnsi="Times New Roman" w:cs="Times New Roman"/>
          <w:color w:val="auto"/>
          <w:sz w:val="22"/>
          <w:szCs w:val="22"/>
        </w:rPr>
        <w:t> </w:t>
      </w:r>
      <w:r w:rsidRPr="00AD1C6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1" w:name="_Hlk89341959"/>
    </w:p>
    <w:bookmarkEnd w:id="11"/>
    <w:p w14:paraId="5DD455E3" w14:textId="77777777" w:rsidR="006C7034" w:rsidRPr="00AD1C6B" w:rsidRDefault="006C7034" w:rsidP="006C7034">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W ramach zamówienia Wykonawca jest zobowiązany, we własnym  zakresie i na własny koszt, do:</w:t>
      </w:r>
    </w:p>
    <w:p w14:paraId="35EFCC0B"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zapewnienia obsługi geodezyjnej inwestycji; </w:t>
      </w:r>
    </w:p>
    <w:p w14:paraId="4B738F06"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zapewnienie tymczasowej organizacji ruchu;</w:t>
      </w:r>
    </w:p>
    <w:p w14:paraId="2B42A888"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37482A98"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AD1C6B">
        <w:rPr>
          <w:rFonts w:ascii="Times New Roman" w:eastAsia="Times New Roman" w:hAnsi="Times New Roman" w:cs="Times New Roman"/>
          <w:color w:val="auto"/>
          <w:sz w:val="22"/>
          <w:szCs w:val="22"/>
          <w:shd w:val="clear" w:color="auto" w:fill="FFFFFF"/>
          <w:lang w:eastAsia="en-US"/>
        </w:rPr>
        <w:t>t.j. Dz. U. z 2021 r. poz. 1098</w:t>
      </w:r>
      <w:r w:rsidRPr="00AD1C6B">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AD1C6B">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AD1C6B">
        <w:rPr>
          <w:rFonts w:ascii="Times New Roman" w:eastAsia="Times New Roman" w:hAnsi="Times New Roman" w:cs="Times New Roman"/>
          <w:color w:val="auto"/>
          <w:sz w:val="22"/>
          <w:szCs w:val="22"/>
          <w:shd w:val="clear" w:color="auto" w:fill="FFFFFF"/>
          <w:lang w:eastAsia="en-US" w:bidi="ar-SA"/>
        </w:rPr>
        <w:t>);</w:t>
      </w:r>
    </w:p>
    <w:p w14:paraId="6696E41B"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45B9C64F"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rozwiązania kwestii poboru wody i energii elektrycznej; </w:t>
      </w:r>
    </w:p>
    <w:p w14:paraId="02F9B120" w14:textId="77777777" w:rsidR="006C7034" w:rsidRPr="00AD1C6B"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uporządkowania terenu po zakończeniu budowy;</w:t>
      </w:r>
    </w:p>
    <w:p w14:paraId="400CC5BB" w14:textId="60552F7B" w:rsidR="006C7034" w:rsidRPr="00051C72"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w:t>
      </w:r>
      <w:r w:rsidRPr="00051C72">
        <w:rPr>
          <w:rFonts w:ascii="Times New Roman" w:eastAsia="Times New Roman" w:hAnsi="Times New Roman" w:cs="Times New Roman"/>
          <w:color w:val="auto"/>
          <w:sz w:val="22"/>
          <w:szCs w:val="22"/>
          <w:lang w:eastAsia="en-US" w:bidi="ar-SA"/>
        </w:rPr>
        <w:t>składowisko</w:t>
      </w:r>
      <w:bookmarkEnd w:id="9"/>
      <w:r w:rsidR="00EF7462" w:rsidRPr="00051C72">
        <w:rPr>
          <w:rFonts w:ascii="Times New Roman" w:eastAsia="Times New Roman" w:hAnsi="Times New Roman" w:cs="Times New Roman"/>
          <w:color w:val="auto"/>
          <w:sz w:val="22"/>
          <w:szCs w:val="22"/>
          <w:lang w:eastAsia="en-US" w:bidi="ar-SA"/>
        </w:rPr>
        <w:t>,</w:t>
      </w:r>
    </w:p>
    <w:p w14:paraId="33B15F1C" w14:textId="5F5CAC4F" w:rsidR="00EF7462" w:rsidRDefault="00EF7462"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051C72">
        <w:rPr>
          <w:rFonts w:ascii="Times New Roman" w:eastAsia="Times New Roman" w:hAnsi="Times New Roman" w:cs="Times New Roman"/>
          <w:b/>
          <w:bCs/>
          <w:color w:val="auto"/>
          <w:sz w:val="22"/>
          <w:szCs w:val="22"/>
          <w:lang w:eastAsia="en-US" w:bidi="ar-SA"/>
        </w:rPr>
        <w:t>Dostawa i montaż tablicy informacyjnej</w:t>
      </w:r>
      <w:r w:rsidRPr="00051C72">
        <w:rPr>
          <w:rFonts w:ascii="Times New Roman" w:eastAsia="Times New Roman" w:hAnsi="Times New Roman" w:cs="Times New Roman"/>
          <w:color w:val="auto"/>
          <w:sz w:val="22"/>
          <w:szCs w:val="22"/>
          <w:lang w:eastAsia="en-US" w:bidi="ar-SA"/>
        </w:rPr>
        <w:t xml:space="preserve"> - 1 szt. (wg wzoru stanowiącego osobny plik będący załącznikiem nr 10 do niniejszej SWZ) plus słup z rury stalowej dł. 3, 50 m z obejmami i montażem. Tablica o wymiarach 42 x 29,7 cm wykonana z blachy ocynkowanej lub aluminiowej z podwójnie giętą krawędzią. Napis na tablicy należy wykonać metodą sitodruku lub metodą tradycyjnej obróbki ploterowej</w:t>
      </w:r>
      <w:r w:rsidR="00516C1B">
        <w:rPr>
          <w:rFonts w:ascii="Times New Roman" w:eastAsia="Times New Roman" w:hAnsi="Times New Roman" w:cs="Times New Roman"/>
          <w:color w:val="auto"/>
          <w:sz w:val="22"/>
          <w:szCs w:val="22"/>
          <w:lang w:eastAsia="en-US" w:bidi="ar-SA"/>
        </w:rPr>
        <w:t>,</w:t>
      </w:r>
    </w:p>
    <w:p w14:paraId="1D5A07BF" w14:textId="014B371B" w:rsidR="00516C1B" w:rsidRPr="00051C72" w:rsidRDefault="00516C1B"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bookmarkStart w:id="12" w:name="_Hlk134530107"/>
      <w:r w:rsidRPr="00516C1B">
        <w:rPr>
          <w:rFonts w:ascii="Times New Roman" w:eastAsia="Times New Roman" w:hAnsi="Times New Roman" w:cs="Times New Roman"/>
          <w:color w:val="auto"/>
          <w:sz w:val="22"/>
          <w:szCs w:val="22"/>
          <w:lang w:eastAsia="en-US"/>
        </w:rPr>
        <w:t>wytyczenia w terenie przebiegu granicy działki drogowej</w:t>
      </w:r>
      <w:r>
        <w:rPr>
          <w:rFonts w:ascii="Times New Roman" w:eastAsia="Times New Roman" w:hAnsi="Times New Roman" w:cs="Times New Roman"/>
          <w:color w:val="auto"/>
          <w:sz w:val="22"/>
          <w:szCs w:val="22"/>
          <w:lang w:eastAsia="en-US"/>
        </w:rPr>
        <w:t>,</w:t>
      </w:r>
      <w:r w:rsidRPr="00516C1B">
        <w:rPr>
          <w:rFonts w:ascii="Times New Roman" w:eastAsia="Times New Roman" w:hAnsi="Times New Roman" w:cs="Times New Roman"/>
          <w:color w:val="auto"/>
          <w:sz w:val="22"/>
          <w:szCs w:val="22"/>
          <w:lang w:eastAsia="en-US"/>
        </w:rPr>
        <w:t xml:space="preserve"> przed przystąpieniem do prac drogowych</w:t>
      </w:r>
      <w:r>
        <w:rPr>
          <w:rFonts w:ascii="Times New Roman" w:eastAsia="Times New Roman" w:hAnsi="Times New Roman" w:cs="Times New Roman"/>
          <w:color w:val="auto"/>
          <w:sz w:val="22"/>
          <w:szCs w:val="22"/>
          <w:lang w:eastAsia="en-US"/>
        </w:rPr>
        <w:t xml:space="preserve"> </w:t>
      </w:r>
      <w:r w:rsidRPr="00516C1B">
        <w:rPr>
          <w:rFonts w:ascii="Times New Roman" w:eastAsia="Times New Roman" w:hAnsi="Times New Roman" w:cs="Times New Roman"/>
          <w:color w:val="auto"/>
          <w:sz w:val="22"/>
          <w:szCs w:val="22"/>
          <w:lang w:eastAsia="en-US"/>
        </w:rPr>
        <w:t>(bez konieczności przeprowadzenia całej procedury okazania granic)</w:t>
      </w:r>
      <w:r>
        <w:rPr>
          <w:rFonts w:ascii="Times New Roman" w:eastAsia="Times New Roman" w:hAnsi="Times New Roman" w:cs="Times New Roman"/>
          <w:color w:val="auto"/>
          <w:sz w:val="22"/>
          <w:szCs w:val="22"/>
          <w:lang w:eastAsia="en-US"/>
        </w:rPr>
        <w:t>.</w:t>
      </w:r>
    </w:p>
    <w:bookmarkEnd w:id="12"/>
    <w:p w14:paraId="1D9F8E9F" w14:textId="64A29555" w:rsidR="006D7F80" w:rsidRPr="00051C72" w:rsidRDefault="006D7F80" w:rsidP="006D7F80">
      <w:pPr>
        <w:pStyle w:val="Akapitzlist"/>
        <w:numPr>
          <w:ilvl w:val="0"/>
          <w:numId w:val="1"/>
        </w:numPr>
        <w:tabs>
          <w:tab w:val="left" w:pos="567"/>
        </w:tabs>
        <w:autoSpaceDE w:val="0"/>
        <w:autoSpaceDN w:val="0"/>
        <w:adjustRightInd w:val="0"/>
        <w:ind w:left="142"/>
        <w:jc w:val="both"/>
        <w:rPr>
          <w:rFonts w:ascii="Times New Roman" w:eastAsia="Times New Roman" w:hAnsi="Times New Roman" w:cs="Times New Roman"/>
          <w:b/>
          <w:bCs/>
          <w:color w:val="auto"/>
          <w:sz w:val="22"/>
          <w:szCs w:val="22"/>
          <w:lang w:eastAsia="en-US" w:bidi="ar-SA"/>
        </w:rPr>
      </w:pPr>
      <w:r w:rsidRPr="00051C72">
        <w:rPr>
          <w:rFonts w:ascii="Times New Roman" w:eastAsia="Times New Roman" w:hAnsi="Times New Roman" w:cs="Times New Roman"/>
          <w:b/>
          <w:bCs/>
          <w:color w:val="auto"/>
          <w:sz w:val="22"/>
          <w:szCs w:val="22"/>
          <w:lang w:eastAsia="en-US" w:bidi="ar-SA"/>
        </w:rPr>
        <w:t>UWAGA!</w:t>
      </w:r>
    </w:p>
    <w:p w14:paraId="5D9CFE5D" w14:textId="2B73BD8F" w:rsidR="002D6C84" w:rsidRPr="00051C72" w:rsidRDefault="002D6C84" w:rsidP="002D6C84">
      <w:pPr>
        <w:widowControl/>
        <w:ind w:left="567"/>
        <w:jc w:val="both"/>
        <w:rPr>
          <w:rFonts w:ascii="Times New Roman" w:eastAsiaTheme="minorHAnsi" w:hAnsi="Times New Roman" w:cs="Times New Roman"/>
          <w:b/>
          <w:bCs/>
          <w:color w:val="auto"/>
          <w:sz w:val="22"/>
          <w:szCs w:val="22"/>
          <w:lang w:eastAsia="en-US" w:bidi="ar-SA"/>
        </w:rPr>
      </w:pPr>
      <w:bookmarkStart w:id="13" w:name="_Hlk89256071"/>
      <w:bookmarkEnd w:id="8"/>
      <w:r w:rsidRPr="00051C72">
        <w:rPr>
          <w:rFonts w:ascii="Times New Roman" w:eastAsiaTheme="minorHAnsi" w:hAnsi="Times New Roman" w:cs="Times New Roman"/>
          <w:b/>
          <w:bCs/>
          <w:color w:val="auto"/>
          <w:sz w:val="22"/>
          <w:szCs w:val="22"/>
          <w:lang w:eastAsia="en-US" w:bidi="ar-SA"/>
        </w:rPr>
        <w:t>W związku z ogłoszeniem w Dzienniku Ustaw ustawy z dnia 05.08.2022 r. o zmianie ustawy o drogach publicznych oraz niektórych innych ustaw (DZ. U. poz. 1783) w zakresie w jakim po stronie Zamawiającego nie istnieje obowiązek lokalizowania kanałów technologicznych w pasie drogowym dróg publicznych (art. 1 pkt 12b), Zamawiający rezygnuje z wykonania projektowanego wcześniej kanału technologicznego i należy nie przyjmować do kalkulacji ceny oferty pozycji ujętych przedmiarach robót dotyczących kanałów technologicznych.</w:t>
      </w:r>
    </w:p>
    <w:p w14:paraId="04183F08" w14:textId="77777777" w:rsidR="006D7F80" w:rsidRPr="00051C72" w:rsidRDefault="006D7F80" w:rsidP="006D7F80">
      <w:pPr>
        <w:widowControl/>
        <w:jc w:val="both"/>
        <w:rPr>
          <w:rFonts w:ascii="Times New Roman" w:eastAsiaTheme="minorHAnsi" w:hAnsi="Times New Roman" w:cs="Times New Roman"/>
          <w:color w:val="auto"/>
          <w:sz w:val="12"/>
          <w:szCs w:val="12"/>
          <w:lang w:eastAsia="en-US" w:bidi="ar-SA"/>
        </w:rPr>
      </w:pPr>
    </w:p>
    <w:p w14:paraId="3AA3F43B" w14:textId="77777777" w:rsidR="006C7034" w:rsidRPr="00051C72" w:rsidRDefault="006C7034" w:rsidP="006C7034">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051C72">
        <w:rPr>
          <w:rFonts w:ascii="Times New Roman" w:eastAsia="Times New Roman" w:hAnsi="Times New Roman" w:cs="Times New Roman"/>
          <w:color w:val="auto"/>
          <w:sz w:val="22"/>
          <w:szCs w:val="22"/>
          <w:lang w:eastAsia="en-US" w:bidi="ar-SA"/>
        </w:rPr>
        <w:t>Nazwy i kody dotyczące opisujące przedmiot zamówienia (CPV):</w:t>
      </w:r>
    </w:p>
    <w:p w14:paraId="3EDD3FFE" w14:textId="77777777" w:rsidR="006C7034" w:rsidRPr="00051C72" w:rsidRDefault="006C7034" w:rsidP="006C7034">
      <w:pPr>
        <w:spacing w:line="276" w:lineRule="auto"/>
        <w:ind w:left="567"/>
        <w:jc w:val="both"/>
        <w:outlineLvl w:val="3"/>
        <w:rPr>
          <w:rFonts w:ascii="Times New Roman" w:eastAsiaTheme="minorHAnsi" w:hAnsi="Times New Roman" w:cs="Times New Roman"/>
          <w:color w:val="auto"/>
          <w:sz w:val="22"/>
          <w:szCs w:val="22"/>
          <w:lang w:eastAsia="en-US" w:bidi="ar-SA"/>
        </w:rPr>
      </w:pPr>
      <w:r w:rsidRPr="00051C72">
        <w:rPr>
          <w:rFonts w:ascii="Times New Roman" w:eastAsiaTheme="minorHAnsi" w:hAnsi="Times New Roman" w:cs="Times New Roman"/>
          <w:color w:val="auto"/>
          <w:sz w:val="22"/>
          <w:szCs w:val="22"/>
          <w:lang w:eastAsia="en-US" w:bidi="ar-SA"/>
        </w:rPr>
        <w:t>CPV – 45233100-0 Roboty w zakresie budowy autostrad, dróg.</w:t>
      </w:r>
    </w:p>
    <w:p w14:paraId="48ECD4D4" w14:textId="77777777" w:rsidR="006C7034" w:rsidRPr="00051C72" w:rsidRDefault="006C7034" w:rsidP="006C7034">
      <w:pPr>
        <w:spacing w:line="276" w:lineRule="auto"/>
        <w:ind w:left="567"/>
        <w:jc w:val="both"/>
        <w:outlineLvl w:val="3"/>
        <w:rPr>
          <w:rFonts w:ascii="Times New Roman" w:eastAsiaTheme="minorHAnsi" w:hAnsi="Times New Roman" w:cs="Times New Roman"/>
          <w:color w:val="auto"/>
          <w:sz w:val="22"/>
          <w:szCs w:val="22"/>
          <w:lang w:eastAsia="en-US" w:bidi="ar-SA"/>
        </w:rPr>
      </w:pPr>
      <w:r w:rsidRPr="00051C72">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0723F0" w:rsidRDefault="00BB7133" w:rsidP="00E85E93">
      <w:pPr>
        <w:spacing w:line="276" w:lineRule="auto"/>
        <w:jc w:val="both"/>
        <w:outlineLvl w:val="3"/>
        <w:rPr>
          <w:rFonts w:asciiTheme="majorHAnsi" w:hAnsiTheme="majorHAnsi" w:cs="Arial"/>
          <w:bCs/>
          <w:color w:val="FF0000"/>
        </w:rPr>
      </w:pPr>
    </w:p>
    <w:bookmarkEnd w:id="13"/>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lastRenderedPageBreak/>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66F6480C" w:rsidR="00843B72" w:rsidRPr="00B7693C" w:rsidRDefault="00B479F5">
      <w:pPr>
        <w:pStyle w:val="Teksttreci20"/>
        <w:shd w:val="clear" w:color="auto" w:fill="auto"/>
        <w:spacing w:before="0" w:after="0" w:line="210" w:lineRule="exact"/>
        <w:ind w:firstLine="0"/>
        <w:jc w:val="both"/>
        <w:rPr>
          <w:rFonts w:ascii="Times New Roman" w:hAnsi="Times New Roman" w:cs="Times New Roman"/>
          <w:b/>
          <w:bCs/>
          <w:color w:val="00B050"/>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752B2D">
        <w:rPr>
          <w:rFonts w:ascii="Times New Roman" w:hAnsi="Times New Roman" w:cs="Times New Roman"/>
          <w:color w:val="000000" w:themeColor="text1"/>
          <w:sz w:val="22"/>
          <w:szCs w:val="22"/>
        </w:rPr>
        <w:t>:</w:t>
      </w:r>
      <w:r w:rsidR="00910B7C" w:rsidRPr="00752B2D">
        <w:rPr>
          <w:rFonts w:ascii="Times New Roman" w:hAnsi="Times New Roman" w:cs="Times New Roman"/>
          <w:color w:val="000000" w:themeColor="text1"/>
          <w:sz w:val="22"/>
          <w:szCs w:val="22"/>
        </w:rPr>
        <w:t xml:space="preserve"> </w:t>
      </w:r>
      <w:r w:rsidR="00910B7C" w:rsidRPr="00C5294D">
        <w:rPr>
          <w:rFonts w:ascii="Times New Roman" w:hAnsi="Times New Roman" w:cs="Times New Roman"/>
          <w:b/>
          <w:bCs/>
          <w:color w:val="auto"/>
          <w:sz w:val="22"/>
          <w:szCs w:val="22"/>
        </w:rPr>
        <w:t xml:space="preserve">do </w:t>
      </w:r>
      <w:r w:rsidR="00B7693C" w:rsidRPr="00C5294D">
        <w:rPr>
          <w:rFonts w:ascii="Times New Roman" w:hAnsi="Times New Roman" w:cs="Times New Roman"/>
          <w:b/>
          <w:bCs/>
          <w:color w:val="auto"/>
          <w:sz w:val="22"/>
          <w:szCs w:val="22"/>
        </w:rPr>
        <w:t>18</w:t>
      </w:r>
      <w:r w:rsidR="00525B2D" w:rsidRPr="00C5294D">
        <w:rPr>
          <w:rFonts w:ascii="Times New Roman" w:hAnsi="Times New Roman" w:cs="Times New Roman"/>
          <w:b/>
          <w:bCs/>
          <w:color w:val="auto"/>
          <w:sz w:val="22"/>
          <w:szCs w:val="22"/>
        </w:rPr>
        <w:t xml:space="preserve"> </w:t>
      </w:r>
      <w:r w:rsidR="00B7693C" w:rsidRPr="00C5294D">
        <w:rPr>
          <w:rFonts w:ascii="Times New Roman" w:hAnsi="Times New Roman" w:cs="Times New Roman"/>
          <w:b/>
          <w:bCs/>
          <w:color w:val="auto"/>
          <w:sz w:val="22"/>
          <w:szCs w:val="22"/>
        </w:rPr>
        <w:t>tygodni</w:t>
      </w:r>
      <w:r w:rsidR="00843B72" w:rsidRPr="00C5294D">
        <w:rPr>
          <w:rFonts w:ascii="Times New Roman" w:hAnsi="Times New Roman" w:cs="Times New Roman"/>
          <w:b/>
          <w:bCs/>
          <w:color w:val="auto"/>
          <w:sz w:val="22"/>
          <w:szCs w:val="22"/>
        </w:rPr>
        <w:t xml:space="preserve"> od dnia podpisania umowy</w:t>
      </w:r>
      <w:r w:rsidR="000F33FF" w:rsidRPr="00C5294D">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4"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4"/>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532ED75D"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193F8C">
        <w:rPr>
          <w:rStyle w:val="Teksttreci2Kursywa"/>
          <w:rFonts w:ascii="Times New Roman" w:hAnsi="Times New Roman" w:cs="Times New Roman"/>
          <w:color w:val="auto"/>
          <w:sz w:val="22"/>
          <w:szCs w:val="22"/>
        </w:rPr>
        <w:t>dnia</w:t>
      </w:r>
      <w:r w:rsidR="00525B2D" w:rsidRPr="00193F8C">
        <w:rPr>
          <w:rStyle w:val="Teksttreci2Kursywa"/>
          <w:rFonts w:ascii="Times New Roman" w:hAnsi="Times New Roman" w:cs="Times New Roman"/>
          <w:color w:val="auto"/>
          <w:sz w:val="22"/>
          <w:szCs w:val="22"/>
        </w:rPr>
        <w:t xml:space="preserve"> </w:t>
      </w:r>
      <w:r w:rsidR="006E2615" w:rsidRPr="00C5294D">
        <w:rPr>
          <w:rStyle w:val="Teksttreci2Kursywa"/>
          <w:rFonts w:ascii="Times New Roman" w:hAnsi="Times New Roman" w:cs="Times New Roman"/>
          <w:b/>
          <w:bCs/>
          <w:color w:val="auto"/>
          <w:sz w:val="22"/>
          <w:szCs w:val="22"/>
        </w:rPr>
        <w:t>22</w:t>
      </w:r>
      <w:r w:rsidR="00525B2D" w:rsidRPr="00C5294D">
        <w:rPr>
          <w:rStyle w:val="Teksttreci2Kursywa"/>
          <w:rFonts w:ascii="Times New Roman" w:hAnsi="Times New Roman" w:cs="Times New Roman"/>
          <w:b/>
          <w:bCs/>
          <w:color w:val="auto"/>
          <w:sz w:val="22"/>
          <w:szCs w:val="22"/>
        </w:rPr>
        <w:t>.</w:t>
      </w:r>
      <w:r w:rsidR="005E13F4" w:rsidRPr="00C5294D">
        <w:rPr>
          <w:rStyle w:val="Teksttreci2Kursywa"/>
          <w:rFonts w:ascii="Times New Roman" w:hAnsi="Times New Roman" w:cs="Times New Roman"/>
          <w:b/>
          <w:bCs/>
          <w:color w:val="auto"/>
          <w:sz w:val="22"/>
          <w:szCs w:val="22"/>
        </w:rPr>
        <w:t>0</w:t>
      </w:r>
      <w:r w:rsidR="004A074B" w:rsidRPr="00C5294D">
        <w:rPr>
          <w:rStyle w:val="Teksttreci2Kursywa"/>
          <w:rFonts w:ascii="Times New Roman" w:hAnsi="Times New Roman" w:cs="Times New Roman"/>
          <w:b/>
          <w:bCs/>
          <w:color w:val="auto"/>
          <w:sz w:val="22"/>
          <w:szCs w:val="22"/>
        </w:rPr>
        <w:t>6</w:t>
      </w:r>
      <w:r w:rsidR="007E083E" w:rsidRPr="00C5294D">
        <w:rPr>
          <w:rStyle w:val="Teksttreci2Kursywa"/>
          <w:rFonts w:ascii="Times New Roman" w:hAnsi="Times New Roman" w:cs="Times New Roman"/>
          <w:b/>
          <w:bCs/>
          <w:color w:val="auto"/>
          <w:sz w:val="22"/>
          <w:szCs w:val="22"/>
        </w:rPr>
        <w:t>.202</w:t>
      </w:r>
      <w:r w:rsidR="00B0287E" w:rsidRPr="00C5294D">
        <w:rPr>
          <w:rStyle w:val="Teksttreci2Kursywa"/>
          <w:rFonts w:ascii="Times New Roman" w:hAnsi="Times New Roman" w:cs="Times New Roman"/>
          <w:b/>
          <w:bCs/>
          <w:color w:val="auto"/>
          <w:sz w:val="22"/>
          <w:szCs w:val="22"/>
        </w:rPr>
        <w:t>3</w:t>
      </w:r>
      <w:r w:rsidR="00DC3FAE" w:rsidRPr="00C5294D">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Zgodnie z art. 18 ust. 3 ustawy Pzp, nie ujawnia się informacji stanowiących tajemnicę </w:t>
      </w:r>
      <w:r w:rsidRPr="00287FBA">
        <w:rPr>
          <w:rFonts w:ascii="Times New Roman" w:eastAsia="Palatino Linotype" w:hAnsi="Times New Roman" w:cs="Times New Roman"/>
          <w:color w:val="auto"/>
          <w:sz w:val="22"/>
          <w:szCs w:val="22"/>
        </w:rPr>
        <w:lastRenderedPageBreak/>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przygotować z należytą starannością dla podmiotu ubiegającego się o udzielenie zamówienia publicznego i zachowaniem odpowiedniego odstępu czasu do zakończenia </w:t>
      </w:r>
      <w:r w:rsidRPr="00287FBA">
        <w:rPr>
          <w:rFonts w:ascii="Times New Roman" w:eastAsia="Palatino Linotype" w:hAnsi="Times New Roman" w:cs="Times New Roman"/>
          <w:color w:val="auto"/>
          <w:sz w:val="22"/>
          <w:szCs w:val="22"/>
        </w:rPr>
        <w:lastRenderedPageBreak/>
        <w:t>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w:t>
      </w:r>
      <w:r w:rsidRPr="00287FBA">
        <w:rPr>
          <w:rFonts w:ascii="Times New Roman" w:eastAsia="Palatino Linotype" w:hAnsi="Times New Roman" w:cs="Times New Roman"/>
          <w:color w:val="auto"/>
          <w:sz w:val="22"/>
          <w:szCs w:val="22"/>
        </w:rPr>
        <w:lastRenderedPageBreak/>
        <w:t xml:space="preserve">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Jeżeli do podpisania oferty upoważnione są łącznie dwie lub więcej osób, elektroniczne kopie </w:t>
      </w:r>
      <w:r w:rsidRPr="00287FBA">
        <w:rPr>
          <w:rFonts w:ascii="Times New Roman" w:eastAsia="Palatino Linotype" w:hAnsi="Times New Roman" w:cs="Times New Roman"/>
          <w:color w:val="auto"/>
          <w:sz w:val="22"/>
          <w:szCs w:val="22"/>
        </w:rPr>
        <w:lastRenderedPageBreak/>
        <w:t>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323245AF"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193F8C">
        <w:rPr>
          <w:rFonts w:ascii="Times New Roman" w:eastAsia="Palatino Linotype" w:hAnsi="Times New Roman" w:cs="Times New Roman"/>
          <w:b/>
          <w:bCs/>
          <w:color w:val="auto"/>
          <w:sz w:val="22"/>
          <w:szCs w:val="22"/>
        </w:rPr>
        <w:t xml:space="preserve">dnia </w:t>
      </w:r>
      <w:r w:rsidR="006E2615" w:rsidRPr="00051C72">
        <w:rPr>
          <w:rFonts w:ascii="Times New Roman" w:eastAsia="Palatino Linotype" w:hAnsi="Times New Roman" w:cs="Times New Roman"/>
          <w:b/>
          <w:bCs/>
          <w:color w:val="auto"/>
          <w:sz w:val="22"/>
          <w:szCs w:val="22"/>
        </w:rPr>
        <w:t>24</w:t>
      </w:r>
      <w:r w:rsidRPr="00051C72">
        <w:rPr>
          <w:rFonts w:ascii="Times New Roman" w:eastAsia="Palatino Linotype" w:hAnsi="Times New Roman" w:cs="Times New Roman"/>
          <w:b/>
          <w:bCs/>
          <w:color w:val="auto"/>
          <w:sz w:val="22"/>
          <w:szCs w:val="22"/>
        </w:rPr>
        <w:t>/0</w:t>
      </w:r>
      <w:r w:rsidR="00A41902" w:rsidRPr="00051C72">
        <w:rPr>
          <w:rFonts w:ascii="Times New Roman" w:eastAsia="Palatino Linotype" w:hAnsi="Times New Roman" w:cs="Times New Roman"/>
          <w:b/>
          <w:bCs/>
          <w:color w:val="auto"/>
          <w:sz w:val="22"/>
          <w:szCs w:val="22"/>
        </w:rPr>
        <w:t>5</w:t>
      </w:r>
      <w:r w:rsidRPr="00051C72">
        <w:rPr>
          <w:rFonts w:ascii="Times New Roman" w:eastAsia="Palatino Linotype" w:hAnsi="Times New Roman" w:cs="Times New Roman"/>
          <w:b/>
          <w:bCs/>
          <w:color w:val="auto"/>
          <w:sz w:val="22"/>
          <w:szCs w:val="22"/>
        </w:rPr>
        <w:t xml:space="preserve">/2023r. </w:t>
      </w:r>
      <w:r w:rsidRPr="00193F8C">
        <w:rPr>
          <w:rFonts w:ascii="Times New Roman" w:eastAsia="Palatino Linotype" w:hAnsi="Times New Roman" w:cs="Times New Roman"/>
          <w:b/>
          <w:bCs/>
          <w:color w:val="auto"/>
          <w:sz w:val="22"/>
          <w:szCs w:val="22"/>
        </w:rPr>
        <w:t xml:space="preserve">do </w:t>
      </w:r>
      <w:r w:rsidRPr="00EA6353">
        <w:rPr>
          <w:rFonts w:ascii="Times New Roman" w:eastAsia="Palatino Linotype" w:hAnsi="Times New Roman" w:cs="Times New Roman"/>
          <w:b/>
          <w:bCs/>
          <w:color w:val="auto"/>
          <w:sz w:val="22"/>
          <w:szCs w:val="22"/>
        </w:rPr>
        <w:t xml:space="preserve">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26D87E8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193F8C">
        <w:rPr>
          <w:rFonts w:ascii="Times New Roman" w:eastAsia="Palatino Linotype" w:hAnsi="Times New Roman" w:cs="Times New Roman"/>
          <w:b/>
          <w:bCs/>
          <w:color w:val="auto"/>
          <w:sz w:val="22"/>
          <w:szCs w:val="22"/>
        </w:rPr>
        <w:t xml:space="preserve">dniu: </w:t>
      </w:r>
      <w:r w:rsidR="006E2615" w:rsidRPr="00051C72">
        <w:rPr>
          <w:rFonts w:ascii="Times New Roman" w:eastAsia="Palatino Linotype" w:hAnsi="Times New Roman" w:cs="Times New Roman"/>
          <w:b/>
          <w:bCs/>
          <w:color w:val="auto"/>
          <w:sz w:val="22"/>
          <w:szCs w:val="22"/>
        </w:rPr>
        <w:t>24</w:t>
      </w:r>
      <w:r w:rsidRPr="00051C72">
        <w:rPr>
          <w:rFonts w:ascii="Times New Roman" w:eastAsia="Palatino Linotype" w:hAnsi="Times New Roman" w:cs="Times New Roman"/>
          <w:b/>
          <w:bCs/>
          <w:color w:val="auto"/>
          <w:sz w:val="22"/>
          <w:szCs w:val="22"/>
        </w:rPr>
        <w:t>/0</w:t>
      </w:r>
      <w:r w:rsidR="00A41902" w:rsidRPr="00051C72">
        <w:rPr>
          <w:rFonts w:ascii="Times New Roman" w:eastAsia="Palatino Linotype" w:hAnsi="Times New Roman" w:cs="Times New Roman"/>
          <w:b/>
          <w:bCs/>
          <w:color w:val="auto"/>
          <w:sz w:val="22"/>
          <w:szCs w:val="22"/>
        </w:rPr>
        <w:t>5</w:t>
      </w:r>
      <w:r w:rsidRPr="00051C72">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 xml:space="preserve">o 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lastRenderedPageBreak/>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w:t>
      </w:r>
      <w:r w:rsidRPr="00723F73">
        <w:rPr>
          <w:rFonts w:ascii="Times New Roman" w:hAnsi="Times New Roman" w:cs="Times New Roman"/>
          <w:color w:val="auto"/>
          <w:sz w:val="22"/>
          <w:szCs w:val="22"/>
        </w:rPr>
        <w:lastRenderedPageBreak/>
        <w:t xml:space="preserve">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 xml:space="preserve">art. 110 ust. 2 </w:t>
      </w:r>
      <w:r w:rsidRPr="001D67DE">
        <w:rPr>
          <w:rStyle w:val="Teksttreci2Kursywa"/>
          <w:rFonts w:ascii="Times New Roman" w:hAnsi="Times New Roman" w:cs="Times New Roman"/>
          <w:color w:val="auto"/>
          <w:sz w:val="22"/>
          <w:szCs w:val="22"/>
        </w:rPr>
        <w:lastRenderedPageBreak/>
        <w:t>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 xml:space="preserve">ustawą z dnia 11 marca 2004 r. o podatku od towarów i usług (tj. Dz. U. z 2016 r. poz. 710 z późn. </w:t>
      </w:r>
      <w:proofErr w:type="spellStart"/>
      <w:r w:rsidRPr="00F35FE8">
        <w:rPr>
          <w:rStyle w:val="Teksttreci2Kursywa"/>
          <w:rFonts w:ascii="Times New Roman" w:hAnsi="Times New Roman" w:cs="Times New Roman"/>
          <w:color w:val="auto"/>
          <w:sz w:val="22"/>
          <w:szCs w:val="22"/>
        </w:rPr>
        <w:t>zm</w:t>
      </w:r>
      <w:proofErr w:type="spellEnd"/>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lastRenderedPageBreak/>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5" w:name="_Hlk128728427"/>
      <w:r w:rsidRPr="006C7034">
        <w:rPr>
          <w:rFonts w:ascii="Times New Roman" w:eastAsia="Times New Roman" w:hAnsi="Times New Roman" w:cs="Times New Roman"/>
          <w:b/>
          <w:bCs/>
          <w:color w:val="auto"/>
          <w:spacing w:val="-2"/>
          <w:lang w:eastAsia="en-US" w:bidi="ar-SA"/>
        </w:rPr>
        <w:t>–</w:t>
      </w:r>
      <w:bookmarkEnd w:id="15"/>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20B535CA" w14:textId="77777777" w:rsidR="003C6A94" w:rsidRPr="006C7034"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E7515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Warunek ten zostanie spełniony, jeżeli wykonawca:</w:t>
      </w:r>
    </w:p>
    <w:p w14:paraId="48F35C07" w14:textId="30F88DC2" w:rsidR="00FE1E2B" w:rsidRPr="00051C72"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051C72">
        <w:rPr>
          <w:rFonts w:ascii="Times New Roman" w:hAnsi="Times New Roman" w:cs="Times New Roman"/>
          <w:color w:val="auto"/>
          <w:sz w:val="22"/>
          <w:szCs w:val="22"/>
        </w:rPr>
        <w:t>wykaże, że wykonał</w:t>
      </w:r>
      <w:r w:rsidR="00276764" w:rsidRPr="00051C72">
        <w:rPr>
          <w:rFonts w:ascii="Times New Roman" w:hAnsi="Times New Roman" w:cs="Times New Roman"/>
          <w:color w:val="auto"/>
          <w:sz w:val="22"/>
          <w:szCs w:val="22"/>
        </w:rPr>
        <w:t xml:space="preserve"> </w:t>
      </w:r>
      <w:r w:rsidR="007752B3" w:rsidRPr="00051C72">
        <w:rPr>
          <w:rFonts w:ascii="Times New Roman" w:eastAsia="Calibri" w:hAnsi="Times New Roman" w:cs="Times New Roman"/>
          <w:color w:val="auto"/>
          <w:sz w:val="22"/>
          <w:szCs w:val="22"/>
        </w:rPr>
        <w:t xml:space="preserve">w okresie ostatnich pięciu lat przed upływem terminu składania ofert, </w:t>
      </w:r>
      <w:r w:rsidR="007752B3" w:rsidRPr="00051C72">
        <w:rPr>
          <w:rFonts w:ascii="Times New Roman" w:eastAsia="Calibri" w:hAnsi="Times New Roman" w:cs="Times New Roman"/>
          <w:color w:val="auto"/>
          <w:sz w:val="22"/>
          <w:szCs w:val="22"/>
        </w:rPr>
        <w:lastRenderedPageBreak/>
        <w:t>a</w:t>
      </w:r>
      <w:r w:rsidR="00251E0A" w:rsidRPr="00051C72">
        <w:rPr>
          <w:rFonts w:ascii="Times New Roman" w:eastAsia="Calibri" w:hAnsi="Times New Roman" w:cs="Times New Roman"/>
          <w:color w:val="auto"/>
          <w:sz w:val="22"/>
          <w:szCs w:val="22"/>
        </w:rPr>
        <w:t> </w:t>
      </w:r>
      <w:r w:rsidR="007752B3" w:rsidRPr="00051C72">
        <w:rPr>
          <w:rFonts w:ascii="Times New Roman" w:eastAsia="Calibri" w:hAnsi="Times New Roman" w:cs="Times New Roman"/>
          <w:color w:val="auto"/>
          <w:sz w:val="22"/>
          <w:szCs w:val="22"/>
        </w:rPr>
        <w:t xml:space="preserve">jeżeli okres prowadzenia działalności jest krótszy - w tym okresie, </w:t>
      </w:r>
      <w:r w:rsidR="00276764" w:rsidRPr="00051C72">
        <w:rPr>
          <w:rFonts w:ascii="Times New Roman" w:eastAsia="Calibri" w:hAnsi="Times New Roman" w:cs="Times New Roman"/>
          <w:color w:val="auto"/>
          <w:sz w:val="22"/>
          <w:szCs w:val="22"/>
        </w:rPr>
        <w:t>z należytą starannością oraz zgodnie z</w:t>
      </w:r>
      <w:r w:rsidR="00A655D8" w:rsidRPr="00051C72">
        <w:rPr>
          <w:rFonts w:ascii="Times New Roman" w:eastAsia="Calibri" w:hAnsi="Times New Roman" w:cs="Times New Roman"/>
          <w:color w:val="auto"/>
          <w:sz w:val="22"/>
          <w:szCs w:val="22"/>
        </w:rPr>
        <w:t> </w:t>
      </w:r>
      <w:r w:rsidR="00276764" w:rsidRPr="00051C72">
        <w:rPr>
          <w:rFonts w:ascii="Times New Roman" w:eastAsia="Calibri" w:hAnsi="Times New Roman" w:cs="Times New Roman"/>
          <w:color w:val="auto"/>
          <w:sz w:val="22"/>
          <w:szCs w:val="22"/>
        </w:rPr>
        <w:t xml:space="preserve">przepisami prawa budowlanego </w:t>
      </w:r>
      <w:r w:rsidR="00A7411A" w:rsidRPr="00051C72">
        <w:rPr>
          <w:rFonts w:ascii="Times New Roman" w:eastAsia="Calibri" w:hAnsi="Times New Roman" w:cs="Times New Roman"/>
          <w:color w:val="auto"/>
          <w:sz w:val="22"/>
          <w:szCs w:val="22"/>
          <w:u w:val="single"/>
        </w:rPr>
        <w:t xml:space="preserve">co najmniej </w:t>
      </w:r>
      <w:r w:rsidR="00A41902" w:rsidRPr="00051C72">
        <w:rPr>
          <w:rFonts w:ascii="Times New Roman" w:eastAsia="Calibri" w:hAnsi="Times New Roman" w:cs="Times New Roman"/>
          <w:color w:val="auto"/>
          <w:sz w:val="22"/>
          <w:szCs w:val="22"/>
          <w:u w:val="single"/>
        </w:rPr>
        <w:t>jedno</w:t>
      </w:r>
      <w:r w:rsidR="00A7411A" w:rsidRPr="00051C72">
        <w:rPr>
          <w:rFonts w:ascii="Times New Roman" w:eastAsia="Calibri" w:hAnsi="Times New Roman" w:cs="Times New Roman"/>
          <w:color w:val="auto"/>
          <w:sz w:val="22"/>
          <w:szCs w:val="22"/>
          <w:u w:val="single"/>
        </w:rPr>
        <w:t xml:space="preserve"> zamówieni</w:t>
      </w:r>
      <w:r w:rsidR="00A41902" w:rsidRPr="00051C72">
        <w:rPr>
          <w:rFonts w:ascii="Times New Roman" w:eastAsia="Calibri" w:hAnsi="Times New Roman" w:cs="Times New Roman"/>
          <w:color w:val="auto"/>
          <w:sz w:val="22"/>
          <w:szCs w:val="22"/>
          <w:u w:val="single"/>
        </w:rPr>
        <w:t>e</w:t>
      </w:r>
      <w:r w:rsidR="00A7411A" w:rsidRPr="00051C72">
        <w:rPr>
          <w:rFonts w:ascii="Times New Roman" w:eastAsia="Calibri" w:hAnsi="Times New Roman" w:cs="Times New Roman"/>
          <w:color w:val="auto"/>
          <w:sz w:val="22"/>
          <w:szCs w:val="22"/>
        </w:rPr>
        <w:t xml:space="preserve"> o wartości </w:t>
      </w:r>
      <w:r w:rsidR="006C7034" w:rsidRPr="00051C72">
        <w:rPr>
          <w:rFonts w:ascii="Times New Roman" w:eastAsia="Calibri" w:hAnsi="Times New Roman" w:cs="Times New Roman"/>
          <w:color w:val="auto"/>
          <w:sz w:val="22"/>
          <w:szCs w:val="22"/>
        </w:rPr>
        <w:t>minimum</w:t>
      </w:r>
      <w:r w:rsidR="00A7411A" w:rsidRPr="00051C72">
        <w:rPr>
          <w:rFonts w:ascii="Times New Roman" w:eastAsia="Calibri" w:hAnsi="Times New Roman" w:cs="Times New Roman"/>
          <w:b/>
          <w:bCs/>
          <w:color w:val="auto"/>
          <w:sz w:val="22"/>
          <w:szCs w:val="22"/>
        </w:rPr>
        <w:t xml:space="preserve"> </w:t>
      </w:r>
      <w:r w:rsidR="00A41902" w:rsidRPr="00051C72">
        <w:rPr>
          <w:rFonts w:ascii="Times New Roman" w:eastAsia="Calibri" w:hAnsi="Times New Roman" w:cs="Times New Roman"/>
          <w:color w:val="auto"/>
          <w:sz w:val="22"/>
          <w:szCs w:val="22"/>
        </w:rPr>
        <w:t>5</w:t>
      </w:r>
      <w:r w:rsidR="006E2615" w:rsidRPr="00051C72">
        <w:rPr>
          <w:rFonts w:ascii="Times New Roman" w:eastAsia="Calibri" w:hAnsi="Times New Roman" w:cs="Times New Roman"/>
          <w:color w:val="auto"/>
          <w:sz w:val="22"/>
          <w:szCs w:val="22"/>
        </w:rPr>
        <w:t>0</w:t>
      </w:r>
      <w:r w:rsidR="00A7411A" w:rsidRPr="00051C72">
        <w:rPr>
          <w:rFonts w:ascii="Times New Roman" w:eastAsia="Calibri" w:hAnsi="Times New Roman" w:cs="Times New Roman"/>
          <w:color w:val="auto"/>
          <w:sz w:val="22"/>
          <w:szCs w:val="22"/>
        </w:rPr>
        <w:t>0 000,00 zł brutto, przy czym zamówienie</w:t>
      </w:r>
      <w:r w:rsidR="00A41902" w:rsidRPr="00051C72">
        <w:rPr>
          <w:rFonts w:ascii="Times New Roman" w:eastAsia="Calibri" w:hAnsi="Times New Roman" w:cs="Times New Roman"/>
          <w:color w:val="auto"/>
          <w:sz w:val="22"/>
          <w:szCs w:val="22"/>
        </w:rPr>
        <w:t xml:space="preserve"> to</w:t>
      </w:r>
      <w:r w:rsidR="00A7411A" w:rsidRPr="00051C72">
        <w:rPr>
          <w:rFonts w:ascii="Times New Roman" w:eastAsia="Calibri" w:hAnsi="Times New Roman" w:cs="Times New Roman"/>
          <w:color w:val="auto"/>
          <w:sz w:val="22"/>
          <w:szCs w:val="22"/>
        </w:rPr>
        <w:t xml:space="preserve"> powinno obejmować</w:t>
      </w:r>
      <w:r w:rsidR="006C7034" w:rsidRPr="00051C72">
        <w:rPr>
          <w:rFonts w:ascii="Times New Roman" w:eastAsia="Calibri" w:hAnsi="Times New Roman" w:cs="Times New Roman"/>
          <w:color w:val="auto"/>
          <w:sz w:val="22"/>
          <w:szCs w:val="22"/>
        </w:rPr>
        <w:t xml:space="preserve"> wykonanie robót budowlanych w zakresie budowy/przebudowy/remontu nawierzchni dróg asfaltowych</w:t>
      </w:r>
      <w:r w:rsidR="005600F7" w:rsidRPr="00051C72">
        <w:rPr>
          <w:rFonts w:ascii="Times New Roman" w:eastAsia="Calibri" w:hAnsi="Times New Roman" w:cs="Times New Roman"/>
          <w:color w:val="auto"/>
          <w:sz w:val="22"/>
          <w:szCs w:val="22"/>
        </w:rPr>
        <w:t>.</w:t>
      </w:r>
    </w:p>
    <w:p w14:paraId="2C435EE2" w14:textId="7E6A23FB" w:rsidR="00481225" w:rsidRPr="00051C72"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051C72">
        <w:rPr>
          <w:rFonts w:ascii="Times New Roman" w:hAnsi="Times New Roman" w:cs="Times New Roman"/>
          <w:color w:val="auto"/>
          <w:sz w:val="22"/>
          <w:szCs w:val="22"/>
        </w:rPr>
        <w:t xml:space="preserve">W przypadku wykazania kilku </w:t>
      </w:r>
      <w:r w:rsidR="00175A06" w:rsidRPr="00051C72">
        <w:rPr>
          <w:rFonts w:ascii="Times New Roman" w:hAnsi="Times New Roman" w:cs="Times New Roman"/>
          <w:color w:val="auto"/>
          <w:sz w:val="22"/>
          <w:szCs w:val="22"/>
        </w:rPr>
        <w:t>robót</w:t>
      </w:r>
      <w:r w:rsidRPr="00051C72">
        <w:rPr>
          <w:rFonts w:ascii="Times New Roman" w:hAnsi="Times New Roman" w:cs="Times New Roman"/>
          <w:color w:val="auto"/>
          <w:sz w:val="22"/>
          <w:szCs w:val="22"/>
        </w:rPr>
        <w:t xml:space="preserve"> za kwoty mniejsze niż wymagana, kwoty wynikające z</w:t>
      </w:r>
      <w:r w:rsidR="00A91F3D" w:rsidRPr="00051C72">
        <w:rPr>
          <w:rFonts w:ascii="Times New Roman" w:hAnsi="Times New Roman" w:cs="Times New Roman"/>
          <w:color w:val="auto"/>
          <w:sz w:val="22"/>
          <w:szCs w:val="22"/>
        </w:rPr>
        <w:t> </w:t>
      </w:r>
      <w:r w:rsidRPr="00051C72">
        <w:rPr>
          <w:rFonts w:ascii="Times New Roman" w:hAnsi="Times New Roman" w:cs="Times New Roman"/>
          <w:color w:val="auto"/>
          <w:sz w:val="22"/>
          <w:szCs w:val="22"/>
        </w:rPr>
        <w:t xml:space="preserve">poświadczeń/referencji </w:t>
      </w:r>
      <w:r w:rsidRPr="00051C72">
        <w:rPr>
          <w:rStyle w:val="Teksttreci2Pogrubienie"/>
          <w:rFonts w:ascii="Times New Roman" w:hAnsi="Times New Roman" w:cs="Times New Roman"/>
          <w:color w:val="auto"/>
          <w:sz w:val="22"/>
          <w:szCs w:val="22"/>
        </w:rPr>
        <w:t xml:space="preserve">nie będą </w:t>
      </w:r>
      <w:r w:rsidRPr="00051C72">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193F8C"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6" w:name="_Hlk78176643"/>
      <w:r w:rsidRPr="00193F8C">
        <w:rPr>
          <w:rFonts w:ascii="Times New Roman" w:hAnsi="Times New Roman" w:cs="Times New Roman"/>
          <w:color w:val="auto"/>
          <w:sz w:val="22"/>
          <w:szCs w:val="22"/>
        </w:rPr>
        <w:t>wykaże, że dysponuje co najmniej</w:t>
      </w:r>
      <w:r w:rsidR="00175A06" w:rsidRPr="00193F8C">
        <w:rPr>
          <w:rFonts w:ascii="Times New Roman" w:hAnsi="Times New Roman" w:cs="Times New Roman"/>
          <w:color w:val="auto"/>
          <w:sz w:val="22"/>
          <w:szCs w:val="22"/>
        </w:rPr>
        <w:t>:</w:t>
      </w:r>
      <w:r w:rsidRPr="00193F8C">
        <w:rPr>
          <w:rFonts w:ascii="Times New Roman" w:hAnsi="Times New Roman" w:cs="Times New Roman"/>
          <w:color w:val="auto"/>
          <w:sz w:val="22"/>
          <w:szCs w:val="22"/>
        </w:rPr>
        <w:t xml:space="preserve"> </w:t>
      </w:r>
    </w:p>
    <w:bookmarkEnd w:id="16"/>
    <w:p w14:paraId="075EBE13" w14:textId="08107B1E" w:rsidR="004F1F9C" w:rsidRPr="00051C72"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051C72">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2020r., poz. 1333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4D9748DB"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Dopuszcza się uprawnienia równoważne (w zakresie koniecznym do wykonania przedmiotu </w:t>
      </w:r>
      <w:r w:rsidRPr="004F1F9C">
        <w:rPr>
          <w:rFonts w:ascii="Times New Roman" w:hAnsi="Times New Roman" w:cs="Times New Roman"/>
          <w:color w:val="auto"/>
          <w:sz w:val="22"/>
          <w:szCs w:val="22"/>
        </w:rPr>
        <w:lastRenderedPageBreak/>
        <w:t>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postępowaniu lub zachodzą wobec tego podmiotu podstawy wykluczenia, zamawiający żąda, aby wykonawca w terminie określonym przez zamawiającego zastąpił ten podmiot innym </w:t>
      </w:r>
      <w:r w:rsidRPr="00756FBE">
        <w:rPr>
          <w:rFonts w:ascii="Times New Roman" w:hAnsi="Times New Roman" w:cs="Times New Roman"/>
          <w:color w:val="auto"/>
          <w:sz w:val="22"/>
          <w:szCs w:val="22"/>
        </w:rPr>
        <w:lastRenderedPageBreak/>
        <w:t>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7"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7"/>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lastRenderedPageBreak/>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w:t>
      </w:r>
      <w:r w:rsidRPr="00EA26EF">
        <w:rPr>
          <w:rFonts w:ascii="Times New Roman" w:hAnsi="Times New Roman" w:cs="Times New Roman"/>
          <w:color w:val="auto"/>
          <w:sz w:val="22"/>
          <w:szCs w:val="22"/>
        </w:rPr>
        <w:lastRenderedPageBreak/>
        <w:t xml:space="preserve">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lastRenderedPageBreak/>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8" w:name="_Hlk78277188"/>
      <w:r w:rsidRPr="00AD1C6B">
        <w:rPr>
          <w:rStyle w:val="Teksttreci2Kursywa"/>
          <w:rFonts w:ascii="Times New Roman" w:hAnsi="Times New Roman" w:cs="Times New Roman"/>
          <w:color w:val="auto"/>
          <w:sz w:val="22"/>
          <w:szCs w:val="22"/>
        </w:rPr>
        <w:t xml:space="preserve">214 ust. 1 pkt 7  </w:t>
      </w:r>
      <w:bookmarkEnd w:id="18"/>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77777777"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lastRenderedPageBreak/>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77C80521"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0F33FF" w:rsidRPr="00AD1C6B">
        <w:rPr>
          <w:rFonts w:ascii="Times New Roman" w:eastAsia="Times New Roman" w:hAnsi="Times New Roman" w:cs="Times New Roman"/>
          <w:b/>
          <w:bCs/>
          <w:i/>
          <w:color w:val="auto"/>
          <w:spacing w:val="-2"/>
          <w:sz w:val="22"/>
          <w:szCs w:val="22"/>
          <w:lang w:eastAsia="en-US" w:bidi="ar-SA"/>
        </w:rPr>
        <w:t>1</w:t>
      </w:r>
      <w:r w:rsidR="000723F0" w:rsidRPr="00AD1C6B">
        <w:rPr>
          <w:rFonts w:ascii="Times New Roman" w:eastAsia="Times New Roman" w:hAnsi="Times New Roman" w:cs="Times New Roman"/>
          <w:b/>
          <w:bCs/>
          <w:i/>
          <w:color w:val="auto"/>
          <w:spacing w:val="-2"/>
          <w:sz w:val="22"/>
          <w:szCs w:val="22"/>
          <w:lang w:eastAsia="en-US" w:bidi="ar-SA"/>
        </w:rPr>
        <w:t>2</w:t>
      </w:r>
      <w:r w:rsidRPr="00AD1C6B">
        <w:rPr>
          <w:rFonts w:ascii="Times New Roman" w:eastAsia="Times New Roman" w:hAnsi="Times New Roman" w:cs="Times New Roman"/>
          <w:b/>
          <w:bCs/>
          <w:i/>
          <w:color w:val="auto"/>
          <w:spacing w:val="-2"/>
          <w:sz w:val="22"/>
          <w:szCs w:val="22"/>
          <w:lang w:eastAsia="en-US" w:bidi="ar-SA"/>
        </w:rPr>
        <w:t>.202</w:t>
      </w:r>
      <w:r w:rsidR="00156F7E" w:rsidRPr="00AD1C6B">
        <w:rPr>
          <w:rFonts w:ascii="Times New Roman" w:eastAsia="Times New Roman" w:hAnsi="Times New Roman" w:cs="Times New Roman"/>
          <w:b/>
          <w:bCs/>
          <w:i/>
          <w:color w:val="auto"/>
          <w:spacing w:val="-2"/>
          <w:sz w:val="22"/>
          <w:szCs w:val="22"/>
          <w:lang w:eastAsia="en-US" w:bidi="ar-SA"/>
        </w:rPr>
        <w:t>3</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75E1427D"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100 </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30 </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AD1C6B">
        <w:rPr>
          <w:rFonts w:ascii="Times New Roman" w:eastAsia="Times New Roman" w:hAnsi="Times New Roman" w:cs="Times New Roman"/>
          <w:color w:val="auto"/>
          <w:spacing w:val="-1"/>
          <w:sz w:val="22"/>
          <w:szCs w:val="22"/>
          <w:lang w:eastAsia="en-US" w:bidi="ar-SA"/>
        </w:rPr>
        <w:br/>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lastRenderedPageBreak/>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 xml:space="preserve">art. 253 ust. 1 pkt 1 ustawy </w:t>
      </w:r>
      <w:r w:rsidRPr="00CA6C8E">
        <w:rPr>
          <w:rStyle w:val="Teksttreci2Kursywa"/>
          <w:rFonts w:ascii="Times New Roman" w:hAnsi="Times New Roman" w:cs="Times New Roman"/>
          <w:color w:val="auto"/>
          <w:sz w:val="22"/>
          <w:szCs w:val="22"/>
        </w:rPr>
        <w:lastRenderedPageBreak/>
        <w:t>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09791B41"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115975" w:rsidRPr="00AD1C6B">
        <w:rPr>
          <w:rFonts w:ascii="Times New Roman" w:eastAsia="Calibri" w:hAnsi="Times New Roman" w:cs="Times New Roman"/>
          <w:color w:val="auto"/>
          <w:sz w:val="22"/>
          <w:szCs w:val="22"/>
          <w:lang w:eastAsia="en-US"/>
        </w:rPr>
        <w:t>Przebudowa nawierzchni drogi dojazdowej do gruntów rolnych w Piasecznej - działki nr 490/1, 490/2, 377/2, 377/1</w:t>
      </w:r>
      <w:r w:rsidR="0080587C" w:rsidRPr="00AD1C6B">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EA6353">
        <w:rPr>
          <w:rFonts w:ascii="Times New Roman" w:eastAsia="Calibri" w:hAnsi="Times New Roman" w:cs="Times New Roman"/>
          <w:color w:val="auto"/>
          <w:sz w:val="22"/>
          <w:szCs w:val="22"/>
          <w:lang w:eastAsia="en-US" w:bidi="ar-SA"/>
        </w:rPr>
        <w:lastRenderedPageBreak/>
        <w:t>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545A" w14:textId="77777777" w:rsidR="00B27978" w:rsidRDefault="00B27978">
      <w:r>
        <w:separator/>
      </w:r>
    </w:p>
  </w:endnote>
  <w:endnote w:type="continuationSeparator" w:id="0">
    <w:p w14:paraId="1062B0A2" w14:textId="77777777" w:rsidR="00B27978" w:rsidRDefault="00B2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8694" w14:textId="77777777" w:rsidR="00B27978" w:rsidRDefault="00B27978"/>
  </w:footnote>
  <w:footnote w:type="continuationSeparator" w:id="0">
    <w:p w14:paraId="7331D438" w14:textId="77777777" w:rsidR="00B27978" w:rsidRDefault="00B27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0D450611"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0723F0">
                            <w:rPr>
                              <w:rStyle w:val="Nagweklubstopka1"/>
                              <w:i/>
                              <w:iCs/>
                              <w:color w:val="auto"/>
                            </w:rPr>
                            <w:t>2</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0D450611"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0723F0">
                      <w:rPr>
                        <w:rStyle w:val="Nagweklubstopka1"/>
                        <w:i/>
                        <w:iCs/>
                        <w:color w:val="auto"/>
                      </w:rPr>
                      <w:t>2</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C72"/>
    <w:rsid w:val="00051FA6"/>
    <w:rsid w:val="00055B15"/>
    <w:rsid w:val="00057E92"/>
    <w:rsid w:val="00060739"/>
    <w:rsid w:val="00061061"/>
    <w:rsid w:val="00063B29"/>
    <w:rsid w:val="000675F1"/>
    <w:rsid w:val="000723F0"/>
    <w:rsid w:val="000763C3"/>
    <w:rsid w:val="00085549"/>
    <w:rsid w:val="00090DC4"/>
    <w:rsid w:val="00096285"/>
    <w:rsid w:val="00097FE5"/>
    <w:rsid w:val="000B272D"/>
    <w:rsid w:val="000C1199"/>
    <w:rsid w:val="000C2B81"/>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B29EA"/>
    <w:rsid w:val="002B5DFF"/>
    <w:rsid w:val="002C1984"/>
    <w:rsid w:val="002C4735"/>
    <w:rsid w:val="002C66E1"/>
    <w:rsid w:val="002D4C1A"/>
    <w:rsid w:val="002D5492"/>
    <w:rsid w:val="002D6C84"/>
    <w:rsid w:val="002E00D2"/>
    <w:rsid w:val="002E0800"/>
    <w:rsid w:val="002E3813"/>
    <w:rsid w:val="002E4918"/>
    <w:rsid w:val="002E712C"/>
    <w:rsid w:val="002F076D"/>
    <w:rsid w:val="00300533"/>
    <w:rsid w:val="00301C2C"/>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67D3"/>
    <w:rsid w:val="00417DA8"/>
    <w:rsid w:val="00431A19"/>
    <w:rsid w:val="00437656"/>
    <w:rsid w:val="004406D9"/>
    <w:rsid w:val="00440978"/>
    <w:rsid w:val="004416EE"/>
    <w:rsid w:val="0045364C"/>
    <w:rsid w:val="0045376D"/>
    <w:rsid w:val="00471E04"/>
    <w:rsid w:val="0047534D"/>
    <w:rsid w:val="00481225"/>
    <w:rsid w:val="0049657E"/>
    <w:rsid w:val="004A074B"/>
    <w:rsid w:val="004A0963"/>
    <w:rsid w:val="004A2045"/>
    <w:rsid w:val="004B1FE4"/>
    <w:rsid w:val="004C4D06"/>
    <w:rsid w:val="004C5F79"/>
    <w:rsid w:val="004C66C2"/>
    <w:rsid w:val="004D3B26"/>
    <w:rsid w:val="004E1507"/>
    <w:rsid w:val="004E3AF1"/>
    <w:rsid w:val="004E50CA"/>
    <w:rsid w:val="004F03F5"/>
    <w:rsid w:val="004F1F9C"/>
    <w:rsid w:val="00500F8F"/>
    <w:rsid w:val="00516C1B"/>
    <w:rsid w:val="00522C97"/>
    <w:rsid w:val="00525B2D"/>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A3E91"/>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8375E"/>
    <w:rsid w:val="0068423C"/>
    <w:rsid w:val="00684457"/>
    <w:rsid w:val="0068609A"/>
    <w:rsid w:val="0068675E"/>
    <w:rsid w:val="00686EEF"/>
    <w:rsid w:val="00690AB9"/>
    <w:rsid w:val="006973BF"/>
    <w:rsid w:val="006A296B"/>
    <w:rsid w:val="006A3062"/>
    <w:rsid w:val="006A3745"/>
    <w:rsid w:val="006A7B37"/>
    <w:rsid w:val="006B2715"/>
    <w:rsid w:val="006B481F"/>
    <w:rsid w:val="006C7034"/>
    <w:rsid w:val="006D0E4E"/>
    <w:rsid w:val="006D13E2"/>
    <w:rsid w:val="006D3975"/>
    <w:rsid w:val="006D479B"/>
    <w:rsid w:val="006D7F80"/>
    <w:rsid w:val="006E2615"/>
    <w:rsid w:val="006E75C2"/>
    <w:rsid w:val="006F1508"/>
    <w:rsid w:val="006F49EE"/>
    <w:rsid w:val="00701E78"/>
    <w:rsid w:val="00723F73"/>
    <w:rsid w:val="00734490"/>
    <w:rsid w:val="00745332"/>
    <w:rsid w:val="00750754"/>
    <w:rsid w:val="00751385"/>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D3AEF"/>
    <w:rsid w:val="007D3B71"/>
    <w:rsid w:val="007E083E"/>
    <w:rsid w:val="007E218D"/>
    <w:rsid w:val="007E2C6B"/>
    <w:rsid w:val="007E5895"/>
    <w:rsid w:val="007F2ED5"/>
    <w:rsid w:val="007F7BC6"/>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50A41"/>
    <w:rsid w:val="00A51ACF"/>
    <w:rsid w:val="00A54903"/>
    <w:rsid w:val="00A57E68"/>
    <w:rsid w:val="00A655D8"/>
    <w:rsid w:val="00A66CD3"/>
    <w:rsid w:val="00A7048A"/>
    <w:rsid w:val="00A7411A"/>
    <w:rsid w:val="00A80BAE"/>
    <w:rsid w:val="00A91F3D"/>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946EF"/>
    <w:rsid w:val="00BA3A09"/>
    <w:rsid w:val="00BA3ADD"/>
    <w:rsid w:val="00BB42F4"/>
    <w:rsid w:val="00BB7133"/>
    <w:rsid w:val="00BC1E9F"/>
    <w:rsid w:val="00BC296C"/>
    <w:rsid w:val="00BD6FDC"/>
    <w:rsid w:val="00BD776F"/>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294D"/>
    <w:rsid w:val="00C53CAB"/>
    <w:rsid w:val="00C5401B"/>
    <w:rsid w:val="00C55E55"/>
    <w:rsid w:val="00C56D6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F30C6"/>
    <w:rsid w:val="00CF56DE"/>
    <w:rsid w:val="00CF7EFB"/>
    <w:rsid w:val="00D015E2"/>
    <w:rsid w:val="00D01CC5"/>
    <w:rsid w:val="00D0783A"/>
    <w:rsid w:val="00D1274A"/>
    <w:rsid w:val="00D13F8C"/>
    <w:rsid w:val="00D1560D"/>
    <w:rsid w:val="00D26E46"/>
    <w:rsid w:val="00D27A4A"/>
    <w:rsid w:val="00D41415"/>
    <w:rsid w:val="00D44A8C"/>
    <w:rsid w:val="00D5165B"/>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DFA"/>
    <w:rsid w:val="00FD01C1"/>
    <w:rsid w:val="00FD20F3"/>
    <w:rsid w:val="00FD4E0D"/>
    <w:rsid w:val="00FE0930"/>
    <w:rsid w:val="00FE0F4E"/>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30</Pages>
  <Words>16850</Words>
  <Characters>101102</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148</cp:revision>
  <cp:lastPrinted>2023-03-03T09:18:00Z</cp:lastPrinted>
  <dcterms:created xsi:type="dcterms:W3CDTF">2021-12-02T08:37:00Z</dcterms:created>
  <dcterms:modified xsi:type="dcterms:W3CDTF">2023-05-09T11:13:00Z</dcterms:modified>
</cp:coreProperties>
</file>