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0BA211D5" w:rsidR="000B0AAE" w:rsidRPr="00257E08" w:rsidRDefault="00257E08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</w:t>
            </w: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4253D498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3D150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urządzeń sieciowych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6A2F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47E1A8A2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3D150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14.2024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336C0C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D94A4D5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672FC38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3614714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DBA3BA0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7B77A65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683E130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2B20A1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6945A13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861B12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7666910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65E7C2C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CF6D435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CF989FD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DB3CDF8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9D76B13" w14:textId="77777777" w:rsidR="00FE3697" w:rsidRDefault="00FE369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15F16C60" w:rsidR="00272E3F" w:rsidRPr="00FE3697" w:rsidRDefault="00272E3F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FE3697">
        <w:rPr>
          <w:rFonts w:eastAsia="Calibri" w:cs="Arial"/>
          <w:b/>
          <w:szCs w:val="20"/>
          <w:lang w:eastAsia="pl-PL"/>
        </w:rPr>
        <w:t xml:space="preserve"> </w:t>
      </w:r>
      <w:r w:rsidR="000B0AAE" w:rsidRPr="00FE3697">
        <w:rPr>
          <w:rFonts w:eastAsia="Calibri" w:cs="Arial"/>
          <w:b/>
          <w:szCs w:val="20"/>
          <w:lang w:eastAsia="pl-PL"/>
        </w:rPr>
        <w:t xml:space="preserve">                             </w:t>
      </w:r>
      <w:r w:rsidRPr="00FE3697">
        <w:rPr>
          <w:rFonts w:eastAsia="Calibri" w:cs="Arial"/>
          <w:b/>
          <w:szCs w:val="20"/>
          <w:lang w:eastAsia="pl-PL"/>
        </w:rPr>
        <w:t>Zatwierdzam:</w:t>
      </w:r>
    </w:p>
    <w:p w14:paraId="4F5B56E2" w14:textId="02578346" w:rsidR="00FD39F9" w:rsidRPr="00FE3697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FE3697">
        <w:rPr>
          <w:rFonts w:eastAsia="Calibri" w:cs="Arial"/>
          <w:lang w:eastAsia="pl-PL"/>
        </w:rPr>
        <w:t>mgr Agnieszka Ma</w:t>
      </w:r>
      <w:r w:rsidR="00FE3697">
        <w:rPr>
          <w:rFonts w:eastAsia="Calibri" w:cs="Arial"/>
          <w:lang w:eastAsia="pl-PL"/>
        </w:rPr>
        <w:t>j</w:t>
      </w:r>
    </w:p>
    <w:p w14:paraId="7E210659" w14:textId="77777777" w:rsidR="00FD39F9" w:rsidRPr="00FE3697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FE3697">
        <w:rPr>
          <w:rFonts w:eastAsia="Calibri" w:cs="Arial"/>
          <w:lang w:eastAsia="pl-PL"/>
        </w:rPr>
        <w:t>Z-ca Kanclerza ds. Inwestycji</w:t>
      </w:r>
    </w:p>
    <w:p w14:paraId="53FD73E6" w14:textId="77777777" w:rsidR="00FD39F9" w:rsidRPr="00FE3697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FE3697">
        <w:rPr>
          <w:rFonts w:eastAsia="Calibri" w:cs="Arial"/>
          <w:lang w:eastAsia="pl-PL"/>
        </w:rPr>
        <w:t xml:space="preserve"> i Zarządzania Logistycznego</w:t>
      </w:r>
    </w:p>
    <w:p w14:paraId="7680D29C" w14:textId="7253C7C1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3232138" w14:textId="45BE0D54" w:rsidR="00FE3697" w:rsidRDefault="00FE3697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7121AE5" w14:textId="7C9E92B0" w:rsidR="00FE3697" w:rsidRDefault="00FE3697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A6E5F6C" w14:textId="77777777" w:rsidR="00FE3697" w:rsidRDefault="00FE3697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518B0F2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CF7B68">
        <w:rPr>
          <w:rFonts w:eastAsia="Calibri" w:cs="Arial"/>
          <w:color w:val="222A35" w:themeColor="text2" w:themeShade="80"/>
          <w:szCs w:val="20"/>
          <w:lang w:eastAsia="pl-PL"/>
        </w:rPr>
        <w:t>kwiecień 2024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0F62BC6A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31C0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103A319D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0C4947F5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15BC0B92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1B44708B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6850B86A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6CC734E7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2E78E8FD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46A7A2C4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0E408E1D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7EEDC3D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61F10DD4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20ABFC8F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06179803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19EC7894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23D58DDE" w:rsidR="002E4CF0" w:rsidRPr="002E4CF0" w:rsidRDefault="000631C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994CA46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CE5652">
        <w:rPr>
          <w:rFonts w:cs="Arial"/>
          <w:color w:val="222A35" w:themeColor="text2" w:themeShade="80"/>
          <w:szCs w:val="20"/>
        </w:rPr>
        <w:t>………..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CA0FCBA" w14:textId="77777777" w:rsidR="00CA2F10" w:rsidRDefault="00CA2F10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25687B5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ADBBE19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7C56FA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1506B806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F667CF" w:rsidRPr="00C0411E">
        <w:rPr>
          <w:lang w:eastAsia="pl-PL"/>
        </w:rPr>
        <w:t>D</w:t>
      </w:r>
      <w:r w:rsidR="00F667CF">
        <w:rPr>
          <w:lang w:eastAsia="pl-PL"/>
        </w:rPr>
        <w:t>z. U. 202</w:t>
      </w:r>
      <w:r w:rsidR="003C0918">
        <w:rPr>
          <w:lang w:eastAsia="pl-PL"/>
        </w:rPr>
        <w:t>3</w:t>
      </w:r>
      <w:r w:rsidR="00F667CF">
        <w:rPr>
          <w:lang w:eastAsia="pl-PL"/>
        </w:rPr>
        <w:t xml:space="preserve"> poz. </w:t>
      </w:r>
      <w:r w:rsidR="003C0918">
        <w:rPr>
          <w:lang w:eastAsia="pl-PL"/>
        </w:rPr>
        <w:t>1605</w:t>
      </w:r>
      <w:r w:rsidR="00F667CF">
        <w:rPr>
          <w:lang w:eastAsia="pl-PL"/>
        </w:rPr>
        <w:t xml:space="preserve"> z </w:t>
      </w:r>
      <w:proofErr w:type="spellStart"/>
      <w:r w:rsidR="00F667CF">
        <w:rPr>
          <w:lang w:eastAsia="pl-PL"/>
        </w:rPr>
        <w:t>późn</w:t>
      </w:r>
      <w:proofErr w:type="spellEnd"/>
      <w:r w:rsidR="00F667CF">
        <w:rPr>
          <w:lang w:eastAsia="pl-PL"/>
        </w:rPr>
        <w:t>. zm</w:t>
      </w:r>
      <w:r w:rsidRPr="00103256">
        <w:rPr>
          <w:rFonts w:eastAsia="Calibri"/>
        </w:rPr>
        <w:t xml:space="preserve">.)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E1398B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3D1507">
        <w:rPr>
          <w:lang w:eastAsia="pl-PL"/>
        </w:rPr>
        <w:t>221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368588A1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3D1507">
        <w:rPr>
          <w:rFonts w:eastAsia="Calibri"/>
          <w:b/>
        </w:rPr>
        <w:t>urządzeń sieciowych</w:t>
      </w:r>
      <w:r w:rsidR="00103256" w:rsidRPr="000A13B2">
        <w:rPr>
          <w:rFonts w:eastAsia="Calibri"/>
        </w:rPr>
        <w:t>”;</w:t>
      </w:r>
    </w:p>
    <w:p w14:paraId="0367ED41" w14:textId="0DAA1426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F667CF">
        <w:rPr>
          <w:b/>
        </w:rPr>
        <w:t>382.1.</w:t>
      </w:r>
      <w:r w:rsidR="003D1507">
        <w:rPr>
          <w:b/>
        </w:rPr>
        <w:t>14.2024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40AB1996" w14:textId="3DCE7B9F" w:rsidR="00F85C46" w:rsidRPr="00AF7FE4" w:rsidRDefault="00F85C46" w:rsidP="007C56FA">
      <w:pPr>
        <w:pStyle w:val="Nagwek1"/>
        <w:keepNext w:val="0"/>
        <w:spacing w:before="360"/>
        <w:ind w:left="425" w:hanging="425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261C5F63" w:rsidR="009F1A4A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>dostawa</w:t>
      </w:r>
      <w:r w:rsidR="00A84B13">
        <w:rPr>
          <w:rFonts w:eastAsia="Calibri" w:cs="Arial"/>
          <w:szCs w:val="20"/>
        </w:rPr>
        <w:t xml:space="preserve"> </w:t>
      </w:r>
      <w:bookmarkStart w:id="9" w:name="_Hlk163117303"/>
      <w:r w:rsidR="003D1507">
        <w:rPr>
          <w:rFonts w:eastAsia="Calibri" w:cs="Arial"/>
          <w:szCs w:val="20"/>
        </w:rPr>
        <w:t xml:space="preserve">urządzeń sieciowych: macierzy dyskowej </w:t>
      </w:r>
      <w:r w:rsidR="00FE68C7">
        <w:rPr>
          <w:rFonts w:eastAsia="Calibri" w:cs="Arial"/>
          <w:szCs w:val="20"/>
        </w:rPr>
        <w:t xml:space="preserve"> (1 szt.) </w:t>
      </w:r>
      <w:r w:rsidR="003D1507">
        <w:rPr>
          <w:rFonts w:eastAsia="Calibri" w:cs="Arial"/>
          <w:szCs w:val="20"/>
        </w:rPr>
        <w:t>i przełącznik</w:t>
      </w:r>
      <w:r w:rsidR="00FE68C7">
        <w:rPr>
          <w:rFonts w:eastAsia="Calibri" w:cs="Arial"/>
          <w:szCs w:val="20"/>
        </w:rPr>
        <w:t>ów</w:t>
      </w:r>
      <w:r w:rsidR="003D1507">
        <w:rPr>
          <w:rFonts w:eastAsia="Calibri" w:cs="Arial"/>
          <w:szCs w:val="20"/>
        </w:rPr>
        <w:t xml:space="preserve"> 12 – portow</w:t>
      </w:r>
      <w:r w:rsidR="00FE68C7">
        <w:rPr>
          <w:rFonts w:eastAsia="Calibri" w:cs="Arial"/>
          <w:szCs w:val="20"/>
        </w:rPr>
        <w:t>ych</w:t>
      </w:r>
      <w:r w:rsidR="00216B13">
        <w:rPr>
          <w:rFonts w:eastAsia="Calibri" w:cs="Arial"/>
          <w:szCs w:val="20"/>
        </w:rPr>
        <w:t xml:space="preserve"> </w:t>
      </w:r>
      <w:r w:rsidR="00FE68C7">
        <w:rPr>
          <w:rFonts w:eastAsia="Calibri" w:cs="Arial"/>
          <w:szCs w:val="20"/>
        </w:rPr>
        <w:t>(</w:t>
      </w:r>
      <w:r w:rsidR="00216B13">
        <w:rPr>
          <w:rFonts w:eastAsia="Calibri" w:cs="Arial"/>
          <w:szCs w:val="20"/>
        </w:rPr>
        <w:t>2 szt.)</w:t>
      </w:r>
      <w:bookmarkEnd w:id="9"/>
      <w:r w:rsidR="003D1507">
        <w:rPr>
          <w:rFonts w:eastAsia="Calibri" w:cs="Arial"/>
          <w:szCs w:val="20"/>
        </w:rPr>
        <w:t xml:space="preserve">, </w:t>
      </w:r>
      <w:r w:rsidR="00621EAA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określon</w:t>
      </w:r>
      <w:r w:rsidR="003D1507">
        <w:rPr>
          <w:rFonts w:eastAsia="Calibri" w:cs="Arial"/>
          <w:szCs w:val="20"/>
        </w:rPr>
        <w:t>ych</w:t>
      </w:r>
      <w:r w:rsidR="00621EAA" w:rsidRPr="009F1A4A">
        <w:rPr>
          <w:rFonts w:eastAsia="Calibri" w:cs="Arial"/>
          <w:szCs w:val="20"/>
        </w:rPr>
        <w:t xml:space="preserve"> w załączniku nr 2</w:t>
      </w:r>
      <w:r w:rsidR="00F61920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D1507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F61920">
        <w:rPr>
          <w:rFonts w:eastAsia="Calibri" w:cs="Arial"/>
          <w:szCs w:val="20"/>
        </w:rPr>
        <w:t>sprzętem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F61920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 </w:t>
      </w:r>
      <w:r w:rsidR="00F61920">
        <w:rPr>
          <w:rFonts w:eastAsia="Calibri" w:cs="Arial"/>
          <w:bCs w:val="0"/>
          <w:szCs w:val="20"/>
        </w:rPr>
        <w:t>sprzęt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F61920">
        <w:rPr>
          <w:rFonts w:eastAsia="Calibri" w:cs="Arial"/>
          <w:szCs w:val="20"/>
        </w:rPr>
        <w:t>i</w:t>
      </w:r>
      <w:r w:rsidR="009F1A4A">
        <w:rPr>
          <w:rFonts w:eastAsia="Calibri" w:cs="Arial"/>
          <w:szCs w:val="20"/>
        </w:rPr>
        <w:t xml:space="preserve"> być fabrycznie now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 i nieużywan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0" w:name="_Hlk62805908"/>
      <w:bookmarkStart w:id="11" w:name="_Hlk163117473"/>
      <w:r w:rsidR="009F1A4A">
        <w:rPr>
          <w:noProof/>
        </w:rPr>
        <w:t xml:space="preserve">(rok produkcji: nie wcześniej niż </w:t>
      </w:r>
      <w:r w:rsidR="00F667CF">
        <w:rPr>
          <w:noProof/>
        </w:rPr>
        <w:t>202</w:t>
      </w:r>
      <w:r w:rsidR="00FE68C7">
        <w:rPr>
          <w:noProof/>
        </w:rPr>
        <w:t>4</w:t>
      </w:r>
      <w:r w:rsidR="00F61920">
        <w:rPr>
          <w:noProof/>
        </w:rPr>
        <w:t>)</w:t>
      </w:r>
      <w:r w:rsidR="009F1A4A">
        <w:rPr>
          <w:noProof/>
        </w:rPr>
        <w:t xml:space="preserve">, </w:t>
      </w:r>
      <w:r w:rsidR="00597BB1">
        <w:t>pochodzić bezpośrednio od producenta lub od autoryzowanego dystrybutora, zakupiony na terenie Europejskiego Obszaru Gospodarczego,</w:t>
      </w:r>
      <w:r w:rsidR="00597BB1">
        <w:rPr>
          <w:noProof/>
        </w:rPr>
        <w:t xml:space="preserve"> </w:t>
      </w:r>
      <w:r w:rsidR="009F1A4A">
        <w:rPr>
          <w:noProof/>
        </w:rPr>
        <w:t>posiadać stosowne certyfikaty</w:t>
      </w:r>
      <w:r w:rsidR="00F61920">
        <w:rPr>
          <w:noProof/>
        </w:rPr>
        <w:t xml:space="preserve"> </w:t>
      </w:r>
      <w:r w:rsidR="009F1A4A">
        <w:rPr>
          <w:noProof/>
        </w:rPr>
        <w:t>dopuszcz</w:t>
      </w:r>
      <w:r w:rsidR="00F61920">
        <w:rPr>
          <w:noProof/>
        </w:rPr>
        <w:t>ające go</w:t>
      </w:r>
      <w:r w:rsidR="009F1A4A">
        <w:rPr>
          <w:noProof/>
        </w:rPr>
        <w:t xml:space="preserve"> do sprzedaży i użytkowania na terenie RP.</w:t>
      </w:r>
      <w:bookmarkEnd w:id="10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F61920">
        <w:rPr>
          <w:rFonts w:eastAsia="Calibri" w:cs="Arial"/>
          <w:bCs w:val="0"/>
          <w:szCs w:val="20"/>
        </w:rPr>
        <w:t>sprzętu</w:t>
      </w:r>
      <w:r w:rsidR="009F1A4A">
        <w:rPr>
          <w:rFonts w:eastAsia="Calibri" w:cs="Arial"/>
          <w:bCs w:val="0"/>
          <w:szCs w:val="20"/>
        </w:rPr>
        <w:t>.</w:t>
      </w:r>
      <w:bookmarkEnd w:id="11"/>
    </w:p>
    <w:p w14:paraId="5EF931F0" w14:textId="63B26EC5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</w:t>
      </w:r>
      <w:bookmarkStart w:id="12" w:name="_Hlk163117353"/>
      <w:r w:rsidR="00842750" w:rsidRPr="001C5BF5">
        <w:rPr>
          <w:rFonts w:eastAsia="Calibri" w:cs="Arial"/>
          <w:bCs/>
          <w:szCs w:val="20"/>
        </w:rPr>
        <w:t xml:space="preserve">dostarczenie </w:t>
      </w:r>
      <w:r w:rsidR="00F61920">
        <w:rPr>
          <w:rFonts w:eastAsia="Calibri" w:cs="Arial"/>
          <w:bCs/>
          <w:szCs w:val="20"/>
        </w:rPr>
        <w:t>sprzętu</w:t>
      </w:r>
      <w:r w:rsidR="00621A35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CC3281">
        <w:rPr>
          <w:rFonts w:eastAsia="Calibri" w:cs="Arial"/>
          <w:bCs/>
          <w:szCs w:val="20"/>
        </w:rPr>
        <w:t>, a także: instalacj</w:t>
      </w:r>
      <w:r w:rsidR="00DF217F">
        <w:rPr>
          <w:rFonts w:eastAsia="Calibri" w:cs="Arial"/>
          <w:bCs/>
          <w:szCs w:val="20"/>
        </w:rPr>
        <w:t>ę</w:t>
      </w:r>
      <w:r w:rsidR="00CC3281">
        <w:rPr>
          <w:rFonts w:eastAsia="Calibri" w:cs="Arial"/>
          <w:bCs/>
          <w:szCs w:val="20"/>
        </w:rPr>
        <w:t xml:space="preserve"> </w:t>
      </w:r>
      <w:r w:rsidR="00CC3281">
        <w:rPr>
          <w:rFonts w:eastAsia="Calibri" w:cs="Arial"/>
          <w:bCs/>
          <w:szCs w:val="20"/>
        </w:rPr>
        <w:lastRenderedPageBreak/>
        <w:t>sprzętu w miejscu wskazanym przez Zamawiającego, instalacj</w:t>
      </w:r>
      <w:r w:rsidR="00DF217F">
        <w:rPr>
          <w:rFonts w:eastAsia="Calibri" w:cs="Arial"/>
          <w:bCs/>
          <w:szCs w:val="20"/>
        </w:rPr>
        <w:t>ę</w:t>
      </w:r>
      <w:r w:rsidR="00CC3281">
        <w:rPr>
          <w:rFonts w:eastAsia="Calibri" w:cs="Arial"/>
          <w:bCs/>
          <w:szCs w:val="20"/>
        </w:rPr>
        <w:t xml:space="preserve"> i aktualizacj</w:t>
      </w:r>
      <w:r w:rsidR="00DF217F">
        <w:rPr>
          <w:rFonts w:eastAsia="Calibri" w:cs="Arial"/>
          <w:bCs/>
          <w:szCs w:val="20"/>
        </w:rPr>
        <w:t>ę</w:t>
      </w:r>
      <w:r w:rsidR="00CC3281">
        <w:rPr>
          <w:rFonts w:eastAsia="Calibri" w:cs="Arial"/>
          <w:bCs/>
          <w:szCs w:val="20"/>
        </w:rPr>
        <w:t xml:space="preserve">  dostarcz</w:t>
      </w:r>
      <w:r w:rsidR="00A9456E">
        <w:rPr>
          <w:rFonts w:eastAsia="Calibri" w:cs="Arial"/>
          <w:bCs/>
          <w:szCs w:val="20"/>
        </w:rPr>
        <w:t>o</w:t>
      </w:r>
      <w:r w:rsidR="00CC3281">
        <w:rPr>
          <w:rFonts w:eastAsia="Calibri" w:cs="Arial"/>
          <w:bCs/>
          <w:szCs w:val="20"/>
        </w:rPr>
        <w:t xml:space="preserve">nego wraz ze sprzętem oprogramowania (np. </w:t>
      </w:r>
      <w:proofErr w:type="spellStart"/>
      <w:r w:rsidR="00CC3281">
        <w:rPr>
          <w:rFonts w:eastAsia="Calibri" w:cs="Arial"/>
          <w:bCs/>
          <w:szCs w:val="20"/>
        </w:rPr>
        <w:t>firmware</w:t>
      </w:r>
      <w:proofErr w:type="spellEnd"/>
      <w:r w:rsidR="00CC3281">
        <w:rPr>
          <w:rFonts w:eastAsia="Calibri" w:cs="Arial"/>
          <w:bCs/>
          <w:szCs w:val="20"/>
        </w:rPr>
        <w:t>, inne niezbędne do prawidło</w:t>
      </w:r>
      <w:r w:rsidR="00603DB7">
        <w:rPr>
          <w:rFonts w:eastAsia="Calibri" w:cs="Arial"/>
          <w:bCs/>
          <w:szCs w:val="20"/>
        </w:rPr>
        <w:t>wej konf</w:t>
      </w:r>
      <w:r w:rsidR="00A9456E">
        <w:rPr>
          <w:rFonts w:eastAsia="Calibri" w:cs="Arial"/>
          <w:bCs/>
          <w:szCs w:val="20"/>
        </w:rPr>
        <w:t>i</w:t>
      </w:r>
      <w:r w:rsidR="00603DB7">
        <w:rPr>
          <w:rFonts w:eastAsia="Calibri" w:cs="Arial"/>
          <w:bCs/>
          <w:szCs w:val="20"/>
        </w:rPr>
        <w:t>guracji) oraz wszystkich urządzeń będących elementami wdrożenia, konfiguracj</w:t>
      </w:r>
      <w:r w:rsidR="00DF217F">
        <w:rPr>
          <w:rFonts w:eastAsia="Calibri" w:cs="Arial"/>
          <w:bCs/>
          <w:szCs w:val="20"/>
        </w:rPr>
        <w:t>ę</w:t>
      </w:r>
      <w:r w:rsidR="00603DB7">
        <w:rPr>
          <w:rFonts w:eastAsia="Calibri" w:cs="Arial"/>
          <w:bCs/>
          <w:szCs w:val="20"/>
        </w:rPr>
        <w:t xml:space="preserve"> sprzętu zgodnie z potrzebami Zamawiaj</w:t>
      </w:r>
      <w:r w:rsidR="00A9456E">
        <w:rPr>
          <w:rFonts w:eastAsia="Calibri" w:cs="Arial"/>
          <w:bCs/>
          <w:szCs w:val="20"/>
        </w:rPr>
        <w:t>ą</w:t>
      </w:r>
      <w:r w:rsidR="00603DB7">
        <w:rPr>
          <w:rFonts w:eastAsia="Calibri" w:cs="Arial"/>
          <w:bCs/>
          <w:szCs w:val="20"/>
        </w:rPr>
        <w:t>cego, wykonani</w:t>
      </w:r>
      <w:r w:rsidR="00DF217F">
        <w:rPr>
          <w:rFonts w:eastAsia="Calibri" w:cs="Arial"/>
          <w:bCs/>
          <w:szCs w:val="20"/>
        </w:rPr>
        <w:t>e</w:t>
      </w:r>
      <w:r w:rsidR="00603DB7">
        <w:rPr>
          <w:rFonts w:eastAsia="Calibri" w:cs="Arial"/>
          <w:bCs/>
          <w:szCs w:val="20"/>
        </w:rPr>
        <w:t xml:space="preserve"> dokumentacji powdrożeniowej, przeszkoleni</w:t>
      </w:r>
      <w:r w:rsidR="00DF217F">
        <w:rPr>
          <w:rFonts w:eastAsia="Calibri" w:cs="Arial"/>
          <w:bCs/>
          <w:szCs w:val="20"/>
        </w:rPr>
        <w:t>e</w:t>
      </w:r>
      <w:r w:rsidR="00603DB7">
        <w:rPr>
          <w:rFonts w:eastAsia="Calibri" w:cs="Arial"/>
          <w:bCs/>
          <w:szCs w:val="20"/>
        </w:rPr>
        <w:t xml:space="preserve"> w siedzibie Zamawiaj</w:t>
      </w:r>
      <w:r w:rsidR="00A9456E">
        <w:rPr>
          <w:rFonts w:eastAsia="Calibri" w:cs="Arial"/>
          <w:bCs/>
          <w:szCs w:val="20"/>
        </w:rPr>
        <w:t>ą</w:t>
      </w:r>
      <w:r w:rsidR="00603DB7">
        <w:rPr>
          <w:rFonts w:eastAsia="Calibri" w:cs="Arial"/>
          <w:bCs/>
          <w:szCs w:val="20"/>
        </w:rPr>
        <w:t xml:space="preserve">cego 2 administratorów w zakresie konfiguracji i eksploatacji </w:t>
      </w:r>
      <w:r w:rsidR="00A9456E">
        <w:rPr>
          <w:rFonts w:eastAsia="Calibri" w:cs="Arial"/>
          <w:bCs/>
          <w:szCs w:val="20"/>
        </w:rPr>
        <w:t xml:space="preserve">dostarczonego </w:t>
      </w:r>
      <w:r w:rsidR="00603DB7">
        <w:rPr>
          <w:rFonts w:eastAsia="Calibri" w:cs="Arial"/>
          <w:bCs/>
          <w:szCs w:val="20"/>
        </w:rPr>
        <w:t>sprzętu</w:t>
      </w:r>
      <w:r w:rsidR="00A9456E">
        <w:rPr>
          <w:rFonts w:eastAsia="Calibri" w:cs="Arial"/>
          <w:bCs/>
          <w:szCs w:val="20"/>
        </w:rPr>
        <w:t>, wsparcie serwisowe przez 3 lata</w:t>
      </w:r>
      <w:bookmarkEnd w:id="12"/>
      <w:r w:rsidR="00A9456E">
        <w:rPr>
          <w:rFonts w:eastAsia="Calibri" w:cs="Arial"/>
          <w:bCs/>
          <w:szCs w:val="20"/>
        </w:rPr>
        <w:t>.</w:t>
      </w:r>
    </w:p>
    <w:p w14:paraId="4395B670" w14:textId="61ACF0FF" w:rsidR="00404C44" w:rsidRPr="00A9456E" w:rsidRDefault="0055317F" w:rsidP="002220FF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A9456E"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1EDFD1F6" w14:textId="380FA660" w:rsidR="00C3569F" w:rsidRDefault="00C3569F" w:rsidP="00F667CF">
      <w:pPr>
        <w:ind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30233141-1 – Nadmiarowa macierz niezależnych dysków</w:t>
      </w:r>
    </w:p>
    <w:p w14:paraId="1388B06F" w14:textId="49DA490B" w:rsidR="00F667CF" w:rsidRPr="005815A4" w:rsidRDefault="00C3569F" w:rsidP="00F667CF">
      <w:pPr>
        <w:ind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32424000-1 – Infrastruktura sieciowa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425299BC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6D7970ED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F61920">
        <w:rPr>
          <w:rFonts w:eastAsia="Calibri"/>
          <w:lang w:val="pl-PL"/>
        </w:rPr>
        <w:t>ego</w:t>
      </w:r>
      <w:r w:rsidR="009F21F0">
        <w:rPr>
          <w:rFonts w:eastAsia="Calibri"/>
        </w:rPr>
        <w:t xml:space="preserve"> </w:t>
      </w:r>
      <w:r w:rsidR="00F61920">
        <w:rPr>
          <w:rFonts w:eastAsia="Calibri"/>
          <w:lang w:val="pl-PL"/>
        </w:rPr>
        <w:t>sprzętu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00716232" w:rsidR="00FB3F58" w:rsidRPr="00382315" w:rsidRDefault="00FB3F58" w:rsidP="007C56FA">
      <w:pPr>
        <w:pStyle w:val="Nagwek2"/>
        <w:keepNext w:val="0"/>
        <w:numPr>
          <w:ilvl w:val="0"/>
          <w:numId w:val="8"/>
        </w:numPr>
        <w:spacing w:before="0"/>
        <w:ind w:left="567" w:hanging="283"/>
      </w:pPr>
      <w:r w:rsidRPr="00382315">
        <w:t>Opis części zamówienia. Oferty wariantowe.</w:t>
      </w:r>
    </w:p>
    <w:p w14:paraId="6DEB25A5" w14:textId="715CB3A9" w:rsidR="00053700" w:rsidRPr="00053700" w:rsidRDefault="00F61920" w:rsidP="00053700">
      <w:pPr>
        <w:pStyle w:val="Nagwek3"/>
        <w:numPr>
          <w:ilvl w:val="0"/>
          <w:numId w:val="62"/>
        </w:numPr>
        <w:ind w:left="851" w:hanging="284"/>
        <w:rPr>
          <w:rFonts w:eastAsia="Calibri"/>
          <w:bCs w:val="0"/>
        </w:rPr>
      </w:pPr>
      <w:r w:rsidRPr="00053700">
        <w:rPr>
          <w:rFonts w:eastAsia="Calibri"/>
          <w:bCs w:val="0"/>
        </w:rPr>
        <w:t xml:space="preserve">Przedmiotowe zamówienie jest częścią większego zamówienia udzielanego w częściach. Zamawiający nie dopuszcza możliwości składania ofert częściowych. Jeżeli chodzi o przyczyny braku podziału zamówienia na części, należy wskazać, </w:t>
      </w:r>
      <w:r w:rsidR="00053700" w:rsidRPr="00053700">
        <w:rPr>
          <w:rFonts w:eastAsia="Calibri"/>
          <w:bCs w:val="0"/>
        </w:rPr>
        <w:t xml:space="preserve">iż </w:t>
      </w:r>
      <w:r w:rsidR="00053700">
        <w:rPr>
          <w:rFonts w:eastAsia="Calibri"/>
          <w:bCs w:val="0"/>
        </w:rPr>
        <w:t>d</w:t>
      </w:r>
      <w:r w:rsidR="00053700" w:rsidRPr="00053700">
        <w:rPr>
          <w:rFonts w:eastAsia="Calibri"/>
          <w:bCs w:val="0"/>
        </w:rPr>
        <w:t>ostarczony sprzęt musi być spójny do spięcia i konfiguracji z bieżącą infrastrukturą, dostarczony w jednym terminie.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AEB7E7F" w:rsidR="000518A0" w:rsidRPr="00382315" w:rsidRDefault="00AF7FE4" w:rsidP="00432B95">
      <w:pPr>
        <w:pStyle w:val="Nagwek2"/>
        <w:keepNext w:val="0"/>
        <w:ind w:left="567" w:hanging="283"/>
      </w:pPr>
      <w:r w:rsidRPr="00382315">
        <w:lastRenderedPageBreak/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0F3FFC52" w:rsidR="000518A0" w:rsidRPr="00382315" w:rsidRDefault="00F0343C" w:rsidP="00432B95">
      <w:pPr>
        <w:pStyle w:val="Nagwek2"/>
        <w:keepNext w:val="0"/>
        <w:ind w:left="567" w:hanging="283"/>
      </w:pPr>
      <w:r w:rsidRPr="00382315">
        <w:t>Termin realizacji zamówienia</w:t>
      </w:r>
      <w:r w:rsidRPr="00E658BA">
        <w:rPr>
          <w:color w:val="auto"/>
        </w:rPr>
        <w:t xml:space="preserve">: do </w:t>
      </w:r>
      <w:r w:rsidR="00CC3281">
        <w:rPr>
          <w:color w:val="auto"/>
        </w:rPr>
        <w:t>4</w:t>
      </w:r>
      <w:r w:rsidR="00C3569F">
        <w:rPr>
          <w:color w:val="auto"/>
        </w:rPr>
        <w:t>1</w:t>
      </w:r>
      <w:r w:rsidR="00132DCD" w:rsidRPr="00E658BA">
        <w:rPr>
          <w:color w:val="auto"/>
        </w:rPr>
        <w:t xml:space="preserve"> dni </w:t>
      </w:r>
      <w:r w:rsidRPr="00E658BA">
        <w:rPr>
          <w:color w:val="auto"/>
        </w:rPr>
        <w:t xml:space="preserve">od daty </w:t>
      </w:r>
      <w:r w:rsidR="002A5E5D" w:rsidRPr="00E658BA">
        <w:rPr>
          <w:color w:val="auto"/>
        </w:rPr>
        <w:t>otrzymania zamówienia</w:t>
      </w:r>
      <w:r w:rsidRPr="00382315">
        <w:t xml:space="preserve">. </w:t>
      </w:r>
    </w:p>
    <w:p w14:paraId="7BEEE217" w14:textId="47220C1A" w:rsidR="00F85C46" w:rsidRPr="00BF716F" w:rsidRDefault="00BF1E98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1E98">
        <w:rPr>
          <w:i/>
        </w:rPr>
        <w:t xml:space="preserve">Termin realizacji zamówienia </w:t>
      </w:r>
      <w:r w:rsidRPr="00E658BA">
        <w:rPr>
          <w:i/>
        </w:rPr>
        <w:t xml:space="preserve">stanowi </w:t>
      </w:r>
      <w:proofErr w:type="spellStart"/>
      <w:r w:rsidRPr="00E658BA">
        <w:rPr>
          <w:i/>
        </w:rPr>
        <w:t>pozacenowe</w:t>
      </w:r>
      <w:proofErr w:type="spellEnd"/>
      <w:r w:rsidRPr="00E658BA">
        <w:rPr>
          <w:i/>
        </w:rPr>
        <w:t xml:space="preserve"> kryterium oceny ofert – w przypadku zaoferowania </w:t>
      </w:r>
      <w:r>
        <w:rPr>
          <w:i/>
        </w:rPr>
        <w:t>krótszego terminu</w:t>
      </w:r>
      <w:r w:rsidRPr="00E658BA">
        <w:rPr>
          <w:i/>
        </w:rPr>
        <w:t>, oferta Wykonawcy otrzyma dodatkowe punkty, zgodnie z zasadami określonymi w rozdz. XIII SWZ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4C0D6D7" w14:textId="0451981D" w:rsidR="00F85C46" w:rsidRPr="00382315" w:rsidRDefault="00F85C46" w:rsidP="00E93F00">
      <w:pPr>
        <w:pStyle w:val="Nagwek3"/>
        <w:numPr>
          <w:ilvl w:val="0"/>
          <w:numId w:val="12"/>
        </w:numPr>
        <w:ind w:left="851" w:hanging="284"/>
      </w:pPr>
      <w:r w:rsidRPr="00382315">
        <w:t xml:space="preserve">Adres dostawy: </w:t>
      </w:r>
      <w:bookmarkStart w:id="13" w:name="_Hlk152872286"/>
      <w:r w:rsidR="00A84B13">
        <w:t xml:space="preserve">Uniwersytet Śląski, Dział </w:t>
      </w:r>
      <w:r w:rsidR="00CC3281">
        <w:t>Informatycznych Systemów Zarządzania</w:t>
      </w:r>
      <w:r w:rsidR="00A84B13">
        <w:t>, ul. Bankowa 14, 40-007 Katowice</w:t>
      </w:r>
      <w:bookmarkEnd w:id="13"/>
    </w:p>
    <w:p w14:paraId="67307E1E" w14:textId="14B6EE5B" w:rsidR="00A84B13" w:rsidRDefault="009F1A4A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</w:t>
      </w:r>
      <w:r w:rsidR="00CC3281">
        <w:t xml:space="preserve"> oraz wsparcia serwisowego</w:t>
      </w:r>
      <w:r w:rsidRPr="00A63A3E">
        <w:t>:</w:t>
      </w:r>
      <w:r w:rsidR="0006720C" w:rsidRPr="00A84B13">
        <w:rPr>
          <w:rFonts w:eastAsia="Calibri"/>
        </w:rPr>
        <w:t xml:space="preserve"> </w:t>
      </w:r>
      <w:r w:rsidR="00CC3281">
        <w:rPr>
          <w:rFonts w:eastAsia="Calibri"/>
        </w:rPr>
        <w:t>36</w:t>
      </w:r>
      <w:r w:rsidR="0006720C" w:rsidRPr="00184C80">
        <w:rPr>
          <w:rFonts w:eastAsia="Calibri"/>
        </w:rPr>
        <w:t xml:space="preserve"> </w:t>
      </w:r>
      <w:r w:rsidR="003C0918" w:rsidRPr="00184C80">
        <w:rPr>
          <w:rFonts w:eastAsia="Calibri"/>
        </w:rPr>
        <w:t>miesięcy</w:t>
      </w:r>
      <w:r w:rsidR="00CC3281">
        <w:rPr>
          <w:rFonts w:eastAsia="Calibri"/>
        </w:rPr>
        <w:t xml:space="preserve"> (zgłoszenia serwisowe NBD w trybie 8x5);</w:t>
      </w:r>
    </w:p>
    <w:p w14:paraId="440E065C" w14:textId="125F258E" w:rsidR="00F85C46" w:rsidRPr="00A84B13" w:rsidRDefault="00F85C46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84B13">
        <w:rPr>
          <w:rFonts w:eastAsia="Calibri"/>
          <w:noProof/>
        </w:rPr>
        <w:t>Szczegółowe warunki realizacji zamówienia oraz warunki płatności zawiera wzór umowy</w:t>
      </w:r>
      <w:r w:rsidR="000A2883" w:rsidRPr="00A84B13">
        <w:rPr>
          <w:rFonts w:eastAsia="Calibri"/>
        </w:rPr>
        <w:t xml:space="preserve"> stanowiący załącznik nr 3 do S</w:t>
      </w:r>
      <w:r w:rsidRPr="00A84B13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lastRenderedPageBreak/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7C56FA">
      <w:pPr>
        <w:pStyle w:val="Nagwek1"/>
        <w:keepNext w:val="0"/>
        <w:spacing w:before="360"/>
        <w:ind w:left="425" w:hanging="425"/>
      </w:pPr>
      <w:bookmarkStart w:id="14" w:name="_Toc62396889"/>
      <w:r>
        <w:t>Przedmiotowe środki dowodowe.</w:t>
      </w:r>
      <w:bookmarkEnd w:id="14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636"/>
        <w:gridCol w:w="4339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4314F7CD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B41154" w:rsidRPr="00432B95">
              <w:rPr>
                <w:b w:val="0"/>
                <w:sz w:val="18"/>
                <w:szCs w:val="18"/>
              </w:rPr>
              <w:t xml:space="preserve"> </w:t>
            </w:r>
            <w:r w:rsidR="00432B95" w:rsidRPr="00432B95">
              <w:rPr>
                <w:b w:val="0"/>
                <w:sz w:val="18"/>
                <w:szCs w:val="18"/>
              </w:rPr>
              <w:t>z wymaganiami określonymi w szczegółowym opisie przedmiotu zamówienia (załącznik nr 2 do SWZ).</w:t>
            </w:r>
          </w:p>
          <w:p w14:paraId="7B583BA5" w14:textId="7A1D09A5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15" w:name="_Toc375581634"/>
      <w:bookmarkStart w:id="16" w:name="_Toc375581816"/>
      <w:bookmarkStart w:id="17" w:name="_Toc375582133"/>
      <w:bookmarkStart w:id="18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5"/>
      <w:bookmarkEnd w:id="16"/>
      <w:bookmarkEnd w:id="17"/>
      <w:bookmarkEnd w:id="18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6AB08F57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lastRenderedPageBreak/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2ED24105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39568EFC" w14:textId="31AE8DF8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Pr="00AD3ED3">
        <w:rPr>
          <w:rFonts w:eastAsia="Calibri"/>
          <w:color w:val="323E4F" w:themeColor="text2" w:themeShade="BF"/>
        </w:rPr>
        <w:t xml:space="preserve">Dz.U. 2023 poz. </w:t>
      </w:r>
      <w:r w:rsidR="00FE68C7">
        <w:rPr>
          <w:rFonts w:eastAsia="Calibri"/>
          <w:color w:val="323E4F" w:themeColor="text2" w:themeShade="BF"/>
        </w:rPr>
        <w:t>1497</w:t>
      </w:r>
      <w:r w:rsidRPr="00AD3ED3">
        <w:rPr>
          <w:rFonts w:eastAsia="Calibri"/>
          <w:color w:val="323E4F" w:themeColor="text2" w:themeShade="BF"/>
        </w:rPr>
        <w:t xml:space="preserve"> ze zm.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48B838DB" w14:textId="77777777" w:rsidR="0006720C" w:rsidRPr="0006720C" w:rsidRDefault="0006720C" w:rsidP="0006720C">
      <w:pPr>
        <w:pStyle w:val="Nagwek3"/>
        <w:numPr>
          <w:ilvl w:val="0"/>
          <w:numId w:val="67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E6A0532" w14:textId="5F55E05B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 w:rsidR="009C471F">
        <w:rPr>
          <w:bCs w:val="0"/>
          <w:szCs w:val="20"/>
        </w:rPr>
        <w:t>3</w:t>
      </w:r>
      <w:r w:rsidRPr="005509DC">
        <w:rPr>
          <w:bCs w:val="0"/>
          <w:szCs w:val="20"/>
        </w:rPr>
        <w:t xml:space="preserve"> r. poz. </w:t>
      </w:r>
      <w:r w:rsidR="009C471F">
        <w:rPr>
          <w:bCs w:val="0"/>
          <w:szCs w:val="20"/>
        </w:rPr>
        <w:t>1124</w:t>
      </w:r>
      <w:r w:rsidRPr="005509DC">
        <w:rPr>
          <w:bCs w:val="0"/>
          <w:szCs w:val="20"/>
        </w:rPr>
        <w:t xml:space="preserve"> </w:t>
      </w:r>
      <w:r>
        <w:rPr>
          <w:bCs w:val="0"/>
          <w:szCs w:val="20"/>
        </w:rPr>
        <w:t>ze zm.</w:t>
      </w:r>
      <w:r w:rsidRPr="005509DC">
        <w:rPr>
          <w:bCs w:val="0"/>
          <w:szCs w:val="20"/>
        </w:rPr>
        <w:t xml:space="preserve">) jest osoba wymieniona w wykazach określonych w rozporządzeniu </w:t>
      </w:r>
      <w:r w:rsidRPr="005509DC">
        <w:rPr>
          <w:bCs w:val="0"/>
          <w:szCs w:val="20"/>
        </w:rPr>
        <w:lastRenderedPageBreak/>
        <w:t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62EA0" w14:textId="77777777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proofErr w:type="spellStart"/>
      <w:r w:rsidRPr="00E71DDC">
        <w:rPr>
          <w:bCs w:val="0"/>
          <w:szCs w:val="20"/>
        </w:rPr>
        <w:t>t.j</w:t>
      </w:r>
      <w:proofErr w:type="spellEnd"/>
      <w:r w:rsidRPr="00E71DDC">
        <w:rPr>
          <w:bCs w:val="0"/>
          <w:szCs w:val="20"/>
        </w:rPr>
        <w:t>. 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477357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65208175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B134FD4" w14:textId="77777777" w:rsidR="0006720C" w:rsidRPr="00BC24AF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6B18A0A5" w:rsidR="007E1600" w:rsidRDefault="007F1CC6" w:rsidP="00432B95">
      <w:pPr>
        <w:pStyle w:val="Nagwek1"/>
        <w:keepNext w:val="0"/>
      </w:pPr>
      <w:bookmarkStart w:id="19" w:name="_Toc62396891"/>
      <w:r>
        <w:t>Kwalifikacja podmiotowa – warunki udziału w postępowaniu.</w:t>
      </w:r>
      <w:bookmarkEnd w:id="19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20" w:name="_Toc62396892"/>
      <w:r>
        <w:rPr>
          <w:noProof/>
        </w:rPr>
        <w:t>Oświadczenie wstępne, podmiotowe środki dowodowe oraz inne dokumenty.</w:t>
      </w:r>
      <w:bookmarkEnd w:id="20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lastRenderedPageBreak/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FC977F1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33578BF4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 xml:space="preserve">że żądać </w:t>
      </w:r>
      <w:r w:rsidR="00912E09">
        <w:lastRenderedPageBreak/>
        <w:t>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21" w:name="_Toc62396893"/>
      <w:r w:rsidRPr="00E054BA">
        <w:t>Wymagania dotyczące wadium.</w:t>
      </w:r>
      <w:bookmarkStart w:id="22" w:name="OLE_LINK1"/>
      <w:bookmarkEnd w:id="21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057B5658" w:rsidR="00F85C46" w:rsidRPr="00E054BA" w:rsidRDefault="004B4CE9" w:rsidP="00432B95">
      <w:pPr>
        <w:pStyle w:val="Nagwek1"/>
        <w:keepNext w:val="0"/>
      </w:pPr>
      <w:bookmarkStart w:id="23" w:name="_Toc62396894"/>
      <w:bookmarkEnd w:id="22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3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lastRenderedPageBreak/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0D4B1719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C75A22">
        <w:rPr>
          <w:b/>
          <w:color w:val="222A35" w:themeColor="text2" w:themeShade="80"/>
          <w:lang w:val="pl"/>
        </w:rPr>
        <w:t xml:space="preserve">mgr Justyna Rutkowska – Zawada,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mgr </w:t>
      </w:r>
      <w:r w:rsidR="00301EA8">
        <w:rPr>
          <w:b/>
          <w:color w:val="222A35" w:themeColor="text2" w:themeShade="80"/>
          <w:lang w:val="pl"/>
        </w:rPr>
        <w:t>Małgorzata Wróblewska,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38610A5D" w:rsidR="00FC3A95" w:rsidRPr="00FC3A95" w:rsidRDefault="00F640AA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16D1BB76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lastRenderedPageBreak/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0631C0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24" w:name="_wp2umuqo1p7z" w:colFirst="0" w:colLast="0"/>
      <w:bookmarkEnd w:id="24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lastRenderedPageBreak/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549E7EA4" w:rsidR="007206AE" w:rsidRDefault="001C43D0" w:rsidP="00432B95">
      <w:pPr>
        <w:pStyle w:val="Nagwek1"/>
        <w:keepNext w:val="0"/>
      </w:pPr>
      <w:bookmarkStart w:id="25" w:name="_Toc62396895"/>
      <w:r>
        <w:t>Opis sposobu przygotowania ofert.</w:t>
      </w:r>
      <w:bookmarkEnd w:id="25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A746BE3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zakresie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lastRenderedPageBreak/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lastRenderedPageBreak/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DE0CE04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110B5873" w:rsidR="00EE444D" w:rsidRPr="00EE444D" w:rsidRDefault="00175E61" w:rsidP="000745B4">
      <w:pPr>
        <w:pStyle w:val="Nagwek3"/>
        <w:ind w:left="851" w:hanging="284"/>
        <w:rPr>
          <w:rFonts w:eastAsia="Arial Unicode MS"/>
        </w:rPr>
      </w:pPr>
      <w:r w:rsidRPr="00D35008">
        <w:rPr>
          <w:rFonts w:eastAsia="Arial Unicode MS"/>
        </w:rPr>
        <w:t>O</w:t>
      </w:r>
      <w:r w:rsidR="00EE444D" w:rsidRPr="00D35008">
        <w:rPr>
          <w:rFonts w:eastAsia="Arial Unicode MS"/>
        </w:rPr>
        <w:t>kres gwarancji</w:t>
      </w:r>
      <w:r w:rsidR="009B6DB8" w:rsidRPr="00D35008">
        <w:rPr>
          <w:rFonts w:eastAsia="Arial Unicode MS"/>
        </w:rPr>
        <w:t xml:space="preserve"> </w:t>
      </w:r>
      <w:r w:rsidR="00EE444D" w:rsidRPr="00D35008">
        <w:rPr>
          <w:rFonts w:eastAsia="Arial Unicode MS"/>
        </w:rPr>
        <w:t xml:space="preserve">oraz </w:t>
      </w:r>
      <w:r w:rsidR="00EE444D" w:rsidRPr="00EE444D">
        <w:rPr>
          <w:rFonts w:eastAsia="Arial Unicode MS"/>
        </w:rPr>
        <w:t>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37C7CF28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lastRenderedPageBreak/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B4115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B41154">
        <w:rPr>
          <w:rFonts w:eastAsia="Arial Unicode MS"/>
        </w:rPr>
        <w:t>sprzęt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3875EF5C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1037C9CC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</w:t>
      </w:r>
      <w:r w:rsidR="005B5BA7" w:rsidRPr="00A366ED">
        <w:rPr>
          <w:b/>
        </w:rPr>
        <w:t xml:space="preserve">koszt </w:t>
      </w:r>
      <w:bookmarkStart w:id="26" w:name="_Hlk64365305"/>
      <w:r w:rsidR="00B41154" w:rsidRPr="00A366ED">
        <w:rPr>
          <w:b/>
        </w:rPr>
        <w:t xml:space="preserve">sprzętu </w:t>
      </w:r>
      <w:r w:rsidRPr="00A366ED">
        <w:rPr>
          <w:b/>
        </w:rPr>
        <w:t>wraz z dostarczeniem zgodnie z opisem przedmiotu zamówienia, koszt rozładunku i wniesienia w miejsce wskazane pr</w:t>
      </w:r>
      <w:r w:rsidR="005B5BA7" w:rsidRPr="00A366ED">
        <w:rPr>
          <w:b/>
        </w:rPr>
        <w:t>zez Zamawiającego</w:t>
      </w:r>
      <w:bookmarkEnd w:id="26"/>
      <w:r w:rsidR="005B5BA7" w:rsidRPr="00A366ED">
        <w:rPr>
          <w:b/>
        </w:rPr>
        <w:t xml:space="preserve">, </w:t>
      </w:r>
      <w:r w:rsidR="009B6DB8" w:rsidRPr="00A366ED">
        <w:rPr>
          <w:b/>
        </w:rPr>
        <w:t xml:space="preserve">koszt </w:t>
      </w:r>
      <w:r w:rsidR="00A366ED" w:rsidRPr="00A366ED">
        <w:rPr>
          <w:rFonts w:eastAsia="Calibri" w:cs="Arial"/>
          <w:b/>
          <w:bCs w:val="0"/>
          <w:szCs w:val="20"/>
        </w:rPr>
        <w:t xml:space="preserve">instalacji sprzętu w miejscu wskazanym przez Zamawiającego, instalacji i aktualizacji  dostarczonego wraz ze sprzętem oprogramowania (np. </w:t>
      </w:r>
      <w:proofErr w:type="spellStart"/>
      <w:r w:rsidR="00A366ED" w:rsidRPr="00A366ED">
        <w:rPr>
          <w:rFonts w:eastAsia="Calibri" w:cs="Arial"/>
          <w:b/>
          <w:bCs w:val="0"/>
          <w:szCs w:val="20"/>
        </w:rPr>
        <w:t>firmware</w:t>
      </w:r>
      <w:proofErr w:type="spellEnd"/>
      <w:r w:rsidR="00A366ED" w:rsidRPr="00A366ED">
        <w:rPr>
          <w:rFonts w:eastAsia="Calibri" w:cs="Arial"/>
          <w:b/>
          <w:bCs w:val="0"/>
          <w:szCs w:val="20"/>
        </w:rPr>
        <w:t>, inne niezbędne do prawidłowej konfiguracji) oraz wszystkich urządzeń będących elementami wdrożenia, konfiguracji sprzętu zgodnie z potrzebami Zamawiającego, wykonania dokumentacji powdrożeniowej, przeszkolenia w siedzibie Zamawiającego 2 administratorów w zakresie konfiguracji i eksploatacji dostarczonego sprzętu, wsparcie serwisowe przez 3 lata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3898DD22" w14:textId="1CFE67BC" w:rsidR="00CD7BDD" w:rsidRPr="00C75A22" w:rsidRDefault="00C3569F" w:rsidP="00E93F00">
      <w:pPr>
        <w:pStyle w:val="Nagwek3"/>
        <w:ind w:left="851" w:hanging="284"/>
        <w:rPr>
          <w:b/>
        </w:rPr>
      </w:pPr>
      <w:r>
        <w:rPr>
          <w:b/>
        </w:rPr>
        <w:t>UWAGA: Dotyczy pozycji przełącznik 12 – portowy: j</w:t>
      </w:r>
      <w:r w:rsidR="00CD7BDD" w:rsidRPr="00C75A22">
        <w:rPr>
          <w:b/>
        </w:rPr>
        <w:t xml:space="preserve">eżeli, po zawarciu umowy Zamawiający uzyska potwierdzenie przez </w:t>
      </w:r>
      <w:proofErr w:type="spellStart"/>
      <w:r w:rsidR="00CD7BDD" w:rsidRPr="00C75A22">
        <w:rPr>
          <w:b/>
        </w:rPr>
        <w:t>M</w:t>
      </w:r>
      <w:r>
        <w:rPr>
          <w:b/>
        </w:rPr>
        <w:t>NiSW</w:t>
      </w:r>
      <w:proofErr w:type="spellEnd"/>
      <w:r w:rsidR="00CD7BDD" w:rsidRPr="00C75A22">
        <w:rPr>
          <w:b/>
        </w:rPr>
        <w:t xml:space="preserve"> (Ministerstwo </w:t>
      </w:r>
      <w:r>
        <w:rPr>
          <w:b/>
        </w:rPr>
        <w:t>Nauki i Szkolnictwa Wyższego</w:t>
      </w:r>
      <w:r w:rsidR="00CD7BDD" w:rsidRPr="00C75A22">
        <w:rPr>
          <w:b/>
        </w:rPr>
        <w:t xml:space="preserve">), iż sprzęt będący </w:t>
      </w:r>
      <w:r w:rsidR="00CD7BDD" w:rsidRPr="00C75A22">
        <w:rPr>
          <w:b/>
        </w:rPr>
        <w:lastRenderedPageBreak/>
        <w:t>przedmiotem umowy jest przeznaczony dla placówki oświatowej, Wykonawca będzie miał prawo do zastosowania stawki podatku VAT w wysokości 0%.</w:t>
      </w:r>
    </w:p>
    <w:p w14:paraId="7C5D0C1B" w14:textId="3F8DA8FE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7553D603" w:rsidR="00197885" w:rsidRDefault="0031115A" w:rsidP="003C0918">
      <w:pPr>
        <w:pStyle w:val="Nagwek1"/>
        <w:keepNext w:val="0"/>
        <w:spacing w:before="360"/>
        <w:ind w:left="425" w:hanging="425"/>
      </w:pPr>
      <w:bookmarkStart w:id="27" w:name="_Toc62396896"/>
      <w:r>
        <w:t>Sposób oraz termin składania ofert.</w:t>
      </w:r>
      <w:bookmarkEnd w:id="27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74699819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lastRenderedPageBreak/>
        <w:t xml:space="preserve">Ofertę wraz z wymaganymi dokumentami należy złożyć w nieprzekraczalnym terminie do dnia </w:t>
      </w:r>
      <w:r w:rsidR="000631C0" w:rsidRPr="000631C0">
        <w:rPr>
          <w:b/>
          <w:lang w:eastAsia="x-none"/>
        </w:rPr>
        <w:t>22.04.2024 r.</w:t>
      </w:r>
      <w:r w:rsidRPr="000631C0">
        <w:rPr>
          <w:b/>
          <w:lang w:eastAsia="x-none"/>
        </w:rPr>
        <w:t xml:space="preserve">, do godziny </w:t>
      </w:r>
      <w:r w:rsidR="00195B0B" w:rsidRPr="000631C0">
        <w:rPr>
          <w:b/>
          <w:lang w:eastAsia="x-none"/>
        </w:rPr>
        <w:t>10:00.</w:t>
      </w:r>
      <w:r w:rsidR="00195B0B">
        <w:rPr>
          <w:lang w:eastAsia="x-none"/>
        </w:rPr>
        <w:t xml:space="preserve">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  <w:bookmarkStart w:id="28" w:name="_GoBack"/>
      <w:bookmarkEnd w:id="28"/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29" w:name="_Toc62396897"/>
      <w:r w:rsidRPr="00E054BA">
        <w:t>Termin i tryb otwarcia ofert.</w:t>
      </w:r>
      <w:bookmarkEnd w:id="29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32435D3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0631C0" w:rsidRPr="000631C0">
        <w:rPr>
          <w:rFonts w:eastAsia="Calibri"/>
          <w:b/>
        </w:rPr>
        <w:t>22.04.2024 r.</w:t>
      </w:r>
      <w:r w:rsidR="009A7AB0" w:rsidRPr="000631C0">
        <w:rPr>
          <w:rFonts w:eastAsia="Calibri"/>
          <w:b/>
        </w:rPr>
        <w:t xml:space="preserve">, o godz. </w:t>
      </w:r>
      <w:r w:rsidR="00195B0B" w:rsidRPr="000631C0">
        <w:rPr>
          <w:rFonts w:eastAsia="Calibri"/>
          <w:b/>
        </w:rPr>
        <w:t>10:15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</w:t>
      </w:r>
      <w:r w:rsidR="00663D66">
        <w:lastRenderedPageBreak/>
        <w:t xml:space="preserve">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7B4CE1DB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16685E64" w:rsidR="0003593D" w:rsidRPr="0003593D" w:rsidRDefault="00B1250E" w:rsidP="00432B95">
      <w:pPr>
        <w:pStyle w:val="Nagwek1"/>
        <w:keepNext w:val="0"/>
      </w:pPr>
      <w:bookmarkStart w:id="30" w:name="_Toc62396898"/>
      <w:r>
        <w:t>Termin związania ofertą.</w:t>
      </w:r>
      <w:bookmarkEnd w:id="30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6FADEC53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</w:t>
      </w:r>
      <w:r w:rsidR="000631C0">
        <w:t xml:space="preserve"> </w:t>
      </w:r>
      <w:r w:rsidR="000631C0" w:rsidRPr="000631C0">
        <w:rPr>
          <w:b/>
        </w:rPr>
        <w:t>21.05.2024 r.</w:t>
      </w:r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31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1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2FFBC856" w:rsidR="00F85C46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lastRenderedPageBreak/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480A030C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D37FE09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357CB226" w:rsidR="00D6386D" w:rsidRPr="00E658BA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</w:t>
      </w:r>
      <w:r w:rsidRPr="00E658BA">
        <w:rPr>
          <w:rFonts w:ascii="Bahnschrift" w:hAnsi="Bahnschrift" w:cs="Arial"/>
          <w:szCs w:val="20"/>
        </w:rPr>
        <w:t xml:space="preserve">zamówienia wynosi: do </w:t>
      </w:r>
      <w:r w:rsidR="00C3569F">
        <w:rPr>
          <w:rFonts w:ascii="Bahnschrift" w:hAnsi="Bahnschrift" w:cs="Arial"/>
          <w:szCs w:val="20"/>
          <w:lang w:val="pl-PL"/>
        </w:rPr>
        <w:t>41</w:t>
      </w:r>
      <w:r w:rsidRPr="00E658BA">
        <w:rPr>
          <w:rFonts w:ascii="Bahnschrift" w:hAnsi="Bahnschrift" w:cs="Arial"/>
          <w:szCs w:val="20"/>
        </w:rPr>
        <w:t xml:space="preserve"> dni od daty </w:t>
      </w:r>
      <w:r w:rsidR="00606A54" w:rsidRPr="00E658BA">
        <w:rPr>
          <w:rFonts w:ascii="Bahnschrift" w:hAnsi="Bahnschrift" w:cs="Arial"/>
          <w:szCs w:val="20"/>
          <w:lang w:val="pl-PL"/>
        </w:rPr>
        <w:t>otrzymania zamówienia</w:t>
      </w:r>
      <w:r w:rsidRPr="00E658BA">
        <w:rPr>
          <w:rFonts w:ascii="Bahnschrift" w:hAnsi="Bahnschrift" w:cs="Arial"/>
          <w:szCs w:val="20"/>
        </w:rPr>
        <w:t xml:space="preserve">. Punkty za kryterium „termin realizacji </w:t>
      </w:r>
      <w:r w:rsidRPr="00E658BA">
        <w:rPr>
          <w:rFonts w:ascii="Bahnschrift" w:hAnsi="Bahnschrift" w:cs="Arial"/>
          <w:szCs w:val="20"/>
          <w:lang w:eastAsia="pl-PL"/>
        </w:rPr>
        <w:t>zamówienia</w:t>
      </w:r>
      <w:r w:rsidRPr="00E658BA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1838108E" w:rsidR="00195C5C" w:rsidRPr="00E658BA" w:rsidRDefault="00195C5C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ocena </w:t>
      </w:r>
      <w:r w:rsidRPr="00E658BA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E658BA">
        <w:rPr>
          <w:rFonts w:cs="Arial"/>
          <w:szCs w:val="20"/>
          <w:lang w:eastAsia="pl-PL"/>
        </w:rPr>
        <w:t xml:space="preserve">ę </w:t>
      </w:r>
      <w:r w:rsidRPr="00E658BA">
        <w:rPr>
          <w:rFonts w:cs="Arial"/>
          <w:szCs w:val="20"/>
          <w:lang w:eastAsia="pl-PL"/>
        </w:rPr>
        <w:t>oświadczenia  w formularzu oferty (pkt. 3</w:t>
      </w:r>
      <w:r w:rsidR="009D3C28" w:rsidRPr="00E658BA">
        <w:rPr>
          <w:rFonts w:cs="Arial"/>
          <w:szCs w:val="20"/>
          <w:lang w:eastAsia="pl-PL"/>
        </w:rPr>
        <w:t xml:space="preserve"> </w:t>
      </w:r>
      <w:proofErr w:type="spellStart"/>
      <w:r w:rsidR="009D3C28" w:rsidRPr="00E658BA">
        <w:rPr>
          <w:rFonts w:cs="Arial"/>
          <w:szCs w:val="20"/>
          <w:lang w:eastAsia="pl-PL"/>
        </w:rPr>
        <w:t>ppkt</w:t>
      </w:r>
      <w:proofErr w:type="spellEnd"/>
      <w:r w:rsidR="009D3C28" w:rsidRPr="00E658BA">
        <w:rPr>
          <w:rFonts w:cs="Arial"/>
          <w:szCs w:val="20"/>
          <w:lang w:eastAsia="pl-PL"/>
        </w:rPr>
        <w:t>. 1</w:t>
      </w:r>
      <w:r w:rsidRPr="00E658BA">
        <w:rPr>
          <w:rFonts w:cs="Arial"/>
          <w:szCs w:val="20"/>
          <w:lang w:eastAsia="pl-PL"/>
        </w:rPr>
        <w:t xml:space="preserve"> </w:t>
      </w:r>
      <w:r w:rsidR="00BF34BD" w:rsidRPr="00E658BA">
        <w:rPr>
          <w:rFonts w:cs="Arial"/>
          <w:szCs w:val="20"/>
        </w:rPr>
        <w:t>formularza ofertowego</w:t>
      </w:r>
      <w:r w:rsidRPr="00E658BA">
        <w:rPr>
          <w:rFonts w:cs="Arial"/>
          <w:szCs w:val="20"/>
          <w:lang w:eastAsia="pl-PL"/>
        </w:rPr>
        <w:t>)</w:t>
      </w:r>
      <w:r w:rsidR="000418CC" w:rsidRPr="00E658BA">
        <w:rPr>
          <w:rFonts w:cs="Arial"/>
          <w:szCs w:val="20"/>
          <w:lang w:eastAsia="pl-PL"/>
        </w:rPr>
        <w:t>;</w:t>
      </w:r>
    </w:p>
    <w:p w14:paraId="62F40B0D" w14:textId="758A1D81" w:rsidR="00840C7A" w:rsidRPr="00E658BA" w:rsidRDefault="00840C7A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Zamawiający w ramach tego kryterium przyzna maksymalnie </w:t>
      </w:r>
      <w:r w:rsidR="00C75A22">
        <w:rPr>
          <w:rFonts w:cs="Arial"/>
          <w:b/>
          <w:szCs w:val="20"/>
          <w:lang w:eastAsia="pl-PL"/>
        </w:rPr>
        <w:t>4</w:t>
      </w:r>
      <w:r w:rsidR="00AD6AF7" w:rsidRPr="00E658BA">
        <w:rPr>
          <w:rFonts w:cs="Arial"/>
          <w:b/>
          <w:szCs w:val="20"/>
          <w:lang w:eastAsia="pl-PL"/>
        </w:rPr>
        <w:t>0</w:t>
      </w:r>
      <w:r w:rsidRPr="00E658BA">
        <w:rPr>
          <w:rFonts w:cs="Arial"/>
          <w:b/>
          <w:szCs w:val="20"/>
          <w:lang w:eastAsia="pl-PL"/>
        </w:rPr>
        <w:t xml:space="preserve"> pkt</w:t>
      </w:r>
      <w:r w:rsidR="000418CC" w:rsidRPr="00E658BA">
        <w:rPr>
          <w:rFonts w:cs="Arial"/>
          <w:b/>
          <w:szCs w:val="20"/>
          <w:lang w:eastAsia="pl-PL"/>
        </w:rPr>
        <w:t>;</w:t>
      </w:r>
    </w:p>
    <w:p w14:paraId="56585BBA" w14:textId="4FD614E6" w:rsidR="004E2A7B" w:rsidRPr="00E658BA" w:rsidRDefault="004E2A7B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</w:rPr>
        <w:t xml:space="preserve">za każdy dzień poniżej </w:t>
      </w:r>
      <w:r w:rsidR="00C3569F">
        <w:rPr>
          <w:rFonts w:cs="Arial"/>
          <w:szCs w:val="20"/>
        </w:rPr>
        <w:t>41</w:t>
      </w:r>
      <w:r w:rsidRPr="00E658BA">
        <w:rPr>
          <w:rFonts w:cs="Arial"/>
          <w:szCs w:val="20"/>
        </w:rPr>
        <w:t xml:space="preserve"> dni Zamawiający przyzna </w:t>
      </w:r>
      <w:r w:rsidR="00C3569F">
        <w:rPr>
          <w:rFonts w:cs="Arial"/>
          <w:szCs w:val="20"/>
        </w:rPr>
        <w:t>1</w:t>
      </w:r>
      <w:r w:rsidRPr="00E658BA">
        <w:rPr>
          <w:rFonts w:cs="Arial"/>
          <w:szCs w:val="20"/>
        </w:rPr>
        <w:t xml:space="preserve"> </w:t>
      </w:r>
      <w:r w:rsidR="001119A0" w:rsidRPr="00E658BA">
        <w:rPr>
          <w:rFonts w:cs="Arial"/>
          <w:szCs w:val="20"/>
        </w:rPr>
        <w:t>punkt,</w:t>
      </w:r>
      <w:r w:rsidRPr="00E658BA">
        <w:rPr>
          <w:rFonts w:cs="Arial"/>
          <w:szCs w:val="20"/>
        </w:rPr>
        <w:t xml:space="preserve"> tj</w:t>
      </w:r>
      <w:r w:rsidR="001119A0" w:rsidRPr="00E658BA">
        <w:rPr>
          <w:rFonts w:cs="Arial"/>
          <w:szCs w:val="20"/>
        </w:rPr>
        <w:t>.</w:t>
      </w:r>
      <w:r w:rsidRPr="00E658BA">
        <w:rPr>
          <w:rFonts w:cs="Arial"/>
          <w:szCs w:val="20"/>
        </w:rPr>
        <w:t xml:space="preserve">: </w:t>
      </w:r>
    </w:p>
    <w:p w14:paraId="16C3C138" w14:textId="3A91FBFA" w:rsidR="004E2A7B" w:rsidRPr="00E658BA" w:rsidRDefault="00C3569F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41</w:t>
      </w:r>
      <w:r w:rsidR="004E2A7B" w:rsidRPr="00E658BA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40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1</w:t>
      </w:r>
      <w:r w:rsidR="004E2A7B" w:rsidRPr="00E658BA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39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2</w:t>
      </w:r>
      <w:r w:rsidR="004E2A7B" w:rsidRPr="00E658BA">
        <w:rPr>
          <w:rFonts w:ascii="Bahnschrift" w:hAnsi="Bahnschrift" w:cs="Arial"/>
          <w:szCs w:val="20"/>
        </w:rPr>
        <w:t xml:space="preserve"> pkt; …</w:t>
      </w:r>
      <w:r w:rsidR="00F01E4E" w:rsidRPr="00E658BA">
        <w:rPr>
          <w:rFonts w:ascii="Bahnschrift" w:hAnsi="Bahnschrift" w:cs="Arial"/>
          <w:szCs w:val="20"/>
          <w:lang w:val="pl-PL"/>
        </w:rPr>
        <w:t>.</w:t>
      </w:r>
      <w:r w:rsidR="004E2A7B" w:rsidRPr="00E658BA">
        <w:rPr>
          <w:rFonts w:ascii="Bahnschrift" w:hAnsi="Bahnschrift" w:cs="Arial"/>
          <w:szCs w:val="20"/>
        </w:rPr>
        <w:t xml:space="preserve"> ; </w:t>
      </w:r>
      <w:r w:rsidR="00C75A22">
        <w:rPr>
          <w:rFonts w:ascii="Bahnschrift" w:hAnsi="Bahnschrift" w:cs="Arial"/>
          <w:szCs w:val="20"/>
          <w:lang w:val="pl-PL"/>
        </w:rPr>
        <w:t>3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="00C75A22">
        <w:rPr>
          <w:rFonts w:ascii="Bahnschrift" w:hAnsi="Bahnschrift" w:cs="Arial"/>
          <w:szCs w:val="20"/>
          <w:lang w:val="pl-PL"/>
        </w:rPr>
        <w:t>3</w:t>
      </w:r>
      <w:r>
        <w:rPr>
          <w:rFonts w:ascii="Bahnschrift" w:hAnsi="Bahnschrift" w:cs="Arial"/>
          <w:szCs w:val="20"/>
          <w:lang w:val="pl-PL"/>
        </w:rPr>
        <w:t>8</w:t>
      </w:r>
      <w:r w:rsidR="004E2A7B" w:rsidRPr="00E658BA">
        <w:rPr>
          <w:rFonts w:ascii="Bahnschrift" w:hAnsi="Bahnschrift" w:cs="Arial"/>
          <w:szCs w:val="20"/>
        </w:rPr>
        <w:t xml:space="preserve"> pkt</w:t>
      </w:r>
      <w:r>
        <w:rPr>
          <w:rFonts w:ascii="Bahnschrift" w:hAnsi="Bahnschrift" w:cs="Arial"/>
          <w:szCs w:val="20"/>
          <w:lang w:val="pl-PL"/>
        </w:rPr>
        <w:t>, 2 dni – 39 pkt.) 1 dzień – 40 pkt.</w:t>
      </w:r>
    </w:p>
    <w:p w14:paraId="6F2E81F3" w14:textId="6E06468E" w:rsidR="004E2A7B" w:rsidRPr="00FE68C7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t xml:space="preserve">zaoferowanie terminu krótszego niż </w:t>
      </w:r>
      <w:r w:rsidR="00C3569F">
        <w:rPr>
          <w:rFonts w:ascii="Bahnschrift" w:hAnsi="Bahnschrift" w:cs="Arial"/>
          <w:szCs w:val="20"/>
          <w:lang w:val="pl-PL"/>
        </w:rPr>
        <w:t>1 dzień</w:t>
      </w:r>
      <w:r w:rsidR="00F01E4E" w:rsidRPr="00E658BA">
        <w:rPr>
          <w:rFonts w:ascii="Bahnschrift" w:hAnsi="Bahnschrift" w:cs="Arial"/>
          <w:szCs w:val="20"/>
          <w:lang w:val="pl-PL"/>
        </w:rPr>
        <w:t xml:space="preserve">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="00C75A22">
        <w:rPr>
          <w:rFonts w:ascii="Bahnschrift" w:hAnsi="Bahnschrift" w:cs="Arial"/>
          <w:szCs w:val="20"/>
          <w:lang w:val="pl-PL"/>
        </w:rPr>
        <w:t>4</w:t>
      </w:r>
      <w:r w:rsidR="003C0918" w:rsidRPr="00E658BA">
        <w:rPr>
          <w:rFonts w:ascii="Bahnschrift" w:hAnsi="Bahnschrift" w:cs="Arial"/>
          <w:szCs w:val="20"/>
          <w:lang w:val="pl-PL"/>
        </w:rPr>
        <w:t>0</w:t>
      </w:r>
      <w:r w:rsidR="00AD6AF7" w:rsidRPr="00E658BA">
        <w:rPr>
          <w:rFonts w:ascii="Bahnschrift" w:hAnsi="Bahnschrift" w:cs="Arial"/>
          <w:szCs w:val="20"/>
          <w:lang w:val="pl-PL"/>
        </w:rPr>
        <w:t>,</w:t>
      </w:r>
    </w:p>
    <w:p w14:paraId="7A2DA2C8" w14:textId="49DC6FF7" w:rsidR="00FE68C7" w:rsidRPr="00FE68C7" w:rsidRDefault="00FE68C7" w:rsidP="00530481">
      <w:pPr>
        <w:numPr>
          <w:ilvl w:val="0"/>
          <w:numId w:val="60"/>
        </w:numPr>
        <w:ind w:left="1701" w:hanging="283"/>
        <w:contextualSpacing/>
        <w:rPr>
          <w:rFonts w:cs="Arial"/>
        </w:rPr>
      </w:pPr>
      <w:r w:rsidRPr="00FE68C7">
        <w:rPr>
          <w:rFonts w:cs="Arial"/>
          <w:szCs w:val="20"/>
        </w:rPr>
        <w:t xml:space="preserve">Wykonawca podając termin realizacji zamówienia powinien określić pełne dni </w:t>
      </w:r>
      <w:r w:rsidRPr="00FE68C7">
        <w:rPr>
          <w:rFonts w:eastAsia="Times New Roman" w:cs="Arial"/>
          <w:szCs w:val="20"/>
          <w:lang w:val="x-none"/>
        </w:rPr>
        <w:t>kalendarzowe potrzebne na zrealizowanie zamówienia, licząc od daty zawarcia umowy</w:t>
      </w:r>
      <w:r w:rsidRPr="00FE68C7">
        <w:rPr>
          <w:rFonts w:eastAsia="Times New Roman" w:cs="Arial"/>
          <w:szCs w:val="20"/>
        </w:rPr>
        <w:t xml:space="preserve">, </w:t>
      </w:r>
      <w:r w:rsidRPr="00FE68C7">
        <w:rPr>
          <w:rFonts w:cs="Arial"/>
        </w:rPr>
        <w:t>W przypadku podania terminu w niepełnych dniach np. 10,5 dnia, Zamawiający do celów punktacji zaokrągli podany termin w górę do pełnych dni (np. podanie terminu 10,5 dni – Zamawiający zaokrągli termin w górę do 11 dni);</w:t>
      </w:r>
    </w:p>
    <w:p w14:paraId="368EBC75" w14:textId="31C9F4F5" w:rsidR="00D6386D" w:rsidRPr="00E658BA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b/>
          <w:szCs w:val="20"/>
        </w:rPr>
        <w:t>brak oświadczenia</w:t>
      </w:r>
      <w:r w:rsidRPr="00E658BA">
        <w:rPr>
          <w:rFonts w:cs="Arial"/>
          <w:szCs w:val="20"/>
        </w:rPr>
        <w:t xml:space="preserve"> </w:t>
      </w:r>
      <w:r w:rsidRPr="00E658BA">
        <w:rPr>
          <w:rFonts w:cs="Arial"/>
          <w:b/>
          <w:szCs w:val="20"/>
        </w:rPr>
        <w:t>lub dłuższy termin realizacji</w:t>
      </w:r>
      <w:r w:rsidRPr="00E658BA">
        <w:rPr>
          <w:rFonts w:cs="Arial"/>
          <w:szCs w:val="20"/>
        </w:rPr>
        <w:t xml:space="preserve"> </w:t>
      </w:r>
      <w:r w:rsidR="001D4444" w:rsidRPr="00E658BA">
        <w:rPr>
          <w:rFonts w:cs="Arial"/>
          <w:szCs w:val="20"/>
        </w:rPr>
        <w:t>zamówienia</w:t>
      </w:r>
      <w:r w:rsidRPr="00E658BA">
        <w:rPr>
          <w:rFonts w:cs="Arial"/>
          <w:szCs w:val="20"/>
        </w:rPr>
        <w:t>(tj. &gt;</w:t>
      </w:r>
      <w:r w:rsidR="00C3569F">
        <w:rPr>
          <w:rFonts w:cs="Arial"/>
          <w:szCs w:val="20"/>
        </w:rPr>
        <w:t>41</w:t>
      </w:r>
      <w:r w:rsidRPr="00E658BA">
        <w:rPr>
          <w:rFonts w:cs="Arial"/>
          <w:szCs w:val="20"/>
        </w:rPr>
        <w:t xml:space="preserve"> dni)</w:t>
      </w:r>
      <w:r w:rsidRPr="00E658BA">
        <w:rPr>
          <w:rFonts w:cs="Arial"/>
          <w:szCs w:val="20"/>
          <w:lang w:eastAsia="pl-PL"/>
        </w:rPr>
        <w:t xml:space="preserve"> </w:t>
      </w:r>
      <w:r w:rsidRPr="00E658BA">
        <w:rPr>
          <w:rFonts w:cs="Arial"/>
          <w:b/>
          <w:szCs w:val="20"/>
          <w:lang w:eastAsia="pl-PL"/>
        </w:rPr>
        <w:t>– oferta zostanie odrzucona</w:t>
      </w:r>
      <w:r w:rsidRPr="00E658BA">
        <w:rPr>
          <w:rFonts w:cs="Arial"/>
          <w:szCs w:val="20"/>
          <w:lang w:eastAsia="pl-PL"/>
        </w:rPr>
        <w:t xml:space="preserve">, jako niezgodna z warunkami zamówienia na podstawie art. 226 ust. 1 pkt 5 ustawy </w:t>
      </w:r>
      <w:proofErr w:type="spellStart"/>
      <w:r w:rsidRPr="00E658BA">
        <w:rPr>
          <w:rFonts w:cs="Arial"/>
          <w:szCs w:val="20"/>
          <w:lang w:eastAsia="pl-PL"/>
        </w:rPr>
        <w:t>Pzp</w:t>
      </w:r>
      <w:proofErr w:type="spellEnd"/>
      <w:r w:rsidRPr="00E658BA">
        <w:rPr>
          <w:rFonts w:cs="Arial"/>
          <w:szCs w:val="20"/>
          <w:lang w:eastAsia="pl-PL"/>
        </w:rPr>
        <w:t>.</w:t>
      </w:r>
    </w:p>
    <w:p w14:paraId="329AAE53" w14:textId="7C367FD5" w:rsidR="00F85C46" w:rsidRPr="00E658BA" w:rsidRDefault="000A37EA" w:rsidP="00DC07BF">
      <w:pPr>
        <w:pStyle w:val="Nagwek3"/>
        <w:ind w:left="851" w:hanging="284"/>
      </w:pPr>
      <w:r w:rsidRPr="00E658BA">
        <w:lastRenderedPageBreak/>
        <w:t>O</w:t>
      </w:r>
      <w:r w:rsidR="00F85C46" w:rsidRPr="00E658BA">
        <w:t>cena końcowa wyliczona zostanie po zsumowaniu punktów uzyskanych za ocenę kryterium: cena brutto + term</w:t>
      </w:r>
      <w:r w:rsidRPr="00E658BA">
        <w:t>in realizacji</w:t>
      </w:r>
      <w:r w:rsidR="00246FAC" w:rsidRPr="00E658BA">
        <w:t xml:space="preserve"> zamówienia</w:t>
      </w:r>
      <w:r w:rsidRPr="00E658BA"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4E2DB13C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49F52815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0017F2FB" w:rsidR="00F85C46" w:rsidRPr="00E054BA" w:rsidRDefault="00F85C46" w:rsidP="00432B95">
      <w:pPr>
        <w:pStyle w:val="Nagwek1"/>
        <w:keepNext w:val="0"/>
      </w:pPr>
      <w:bookmarkStart w:id="32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2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5D0F8CF0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</w:t>
      </w:r>
      <w:r w:rsidR="00F85C46" w:rsidRPr="00ED6871">
        <w:lastRenderedPageBreak/>
        <w:t>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46E86135" w:rsidR="00F85C46" w:rsidRPr="00E054BA" w:rsidRDefault="00F85C46" w:rsidP="00432B95">
      <w:pPr>
        <w:pStyle w:val="Nagwek1"/>
        <w:keepNext w:val="0"/>
      </w:pPr>
      <w:bookmarkStart w:id="33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3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lastRenderedPageBreak/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F07AF3E" w14:textId="4278D1C9" w:rsidR="00E8028F" w:rsidRDefault="00E8028F" w:rsidP="001D4444">
      <w:pPr>
        <w:ind w:left="0" w:firstLine="0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</w:p>
    <w:p w14:paraId="2734C930" w14:textId="24F390D3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34" w:name="_Toc62396902"/>
      <w:r w:rsidRPr="00E054BA">
        <w:t>Informacje dodatkowe.</w:t>
      </w:r>
      <w:bookmarkEnd w:id="34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447EE327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lastRenderedPageBreak/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161AC1A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F667CF">
        <w:rPr>
          <w:b/>
        </w:rPr>
        <w:t>382.1.</w:t>
      </w:r>
      <w:r w:rsidR="00C3569F">
        <w:rPr>
          <w:b/>
          <w:lang w:val="pl-PL"/>
        </w:rPr>
        <w:t>14.2024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C3569F">
        <w:rPr>
          <w:b/>
          <w:lang w:val="pl-PL"/>
        </w:rPr>
        <w:t>urządzeń sieciowych</w:t>
      </w:r>
      <w:r w:rsidR="0082507C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C5BF586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</w:t>
      </w:r>
      <w:r w:rsidR="0071512B" w:rsidRPr="005B5BDF">
        <w:t>Prawo zamówień publicznych (</w:t>
      </w:r>
      <w:r w:rsidR="0071512B" w:rsidRPr="00EC05FC">
        <w:rPr>
          <w:lang w:val="pl-PL"/>
        </w:rPr>
        <w:t>Dz. U. 202</w:t>
      </w:r>
      <w:r w:rsidR="00E8028F">
        <w:rPr>
          <w:lang w:val="pl-PL"/>
        </w:rPr>
        <w:t>3</w:t>
      </w:r>
      <w:r w:rsidR="0071512B" w:rsidRPr="00EC05FC">
        <w:rPr>
          <w:lang w:val="pl-PL"/>
        </w:rPr>
        <w:t xml:space="preserve"> poz. </w:t>
      </w:r>
      <w:r w:rsidR="00E8028F">
        <w:rPr>
          <w:lang w:val="pl-PL"/>
        </w:rPr>
        <w:t>1605</w:t>
      </w:r>
      <w:r w:rsidR="0071512B" w:rsidRPr="00EC05FC">
        <w:rPr>
          <w:lang w:val="pl-PL"/>
        </w:rPr>
        <w:t xml:space="preserve"> z </w:t>
      </w:r>
      <w:proofErr w:type="spellStart"/>
      <w:r w:rsidR="0071512B" w:rsidRPr="00EC05FC">
        <w:rPr>
          <w:lang w:val="pl-PL"/>
        </w:rPr>
        <w:t>późn</w:t>
      </w:r>
      <w:proofErr w:type="spellEnd"/>
      <w:r w:rsidR="0071512B" w:rsidRPr="00EC05FC">
        <w:rPr>
          <w:lang w:val="pl-PL"/>
        </w:rPr>
        <w:t xml:space="preserve">. </w:t>
      </w:r>
      <w:r w:rsidR="0071512B">
        <w:rPr>
          <w:lang w:val="pl-PL"/>
        </w:rPr>
        <w:t>z</w:t>
      </w:r>
      <w:r w:rsidR="0071512B" w:rsidRPr="00EC05FC">
        <w:rPr>
          <w:lang w:val="pl-PL"/>
        </w:rPr>
        <w:t>m</w:t>
      </w:r>
      <w:r w:rsidR="0071512B">
        <w:rPr>
          <w:lang w:val="pl-PL"/>
        </w:rPr>
        <w:t>.</w:t>
      </w:r>
      <w:r w:rsidR="0071512B" w:rsidRPr="005B5BDF">
        <w:t>),</w:t>
      </w:r>
      <w:r w:rsidR="0071512B">
        <w:rPr>
          <w:lang w:val="pl-PL"/>
        </w:rPr>
        <w:t xml:space="preserve"> </w:t>
      </w:r>
      <w:r w:rsidR="0071512B" w:rsidRPr="005B5BDF">
        <w:t>a także w oparciu o przepis art. 6 ustawy z dnia 6 września 2001 r. o dostępie do informacji publicznej (Dz. U. z 202</w:t>
      </w:r>
      <w:r w:rsidR="0071512B">
        <w:rPr>
          <w:lang w:val="pl-PL"/>
        </w:rPr>
        <w:t>2</w:t>
      </w:r>
      <w:r w:rsidR="0071512B" w:rsidRPr="005B5BDF">
        <w:t xml:space="preserve"> r. poz. </w:t>
      </w:r>
      <w:r w:rsidR="0071512B">
        <w:rPr>
          <w:lang w:val="pl-PL"/>
        </w:rPr>
        <w:t>902</w:t>
      </w:r>
      <w:r w:rsidR="0071512B" w:rsidRPr="005B5BD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lastRenderedPageBreak/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3EE6DB83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lastRenderedPageBreak/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3D1507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702" w:right="1134" w:bottom="1702" w:left="1134" w:header="426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3D1507" w:rsidRDefault="003D1507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3D1507" w:rsidRDefault="003D150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52B17BD3" w:rsidR="003D1507" w:rsidRPr="002D2C6F" w:rsidRDefault="003D1507" w:rsidP="009948FF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3D1507" w:rsidRPr="00F84EF3" w:rsidRDefault="003D1507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6C8BA69" wp14:editId="0B28CA37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968" behindDoc="1" locked="0" layoutInCell="1" allowOverlap="1" wp14:anchorId="1B4BBAFE" wp14:editId="36E256E7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3D1507" w:rsidRPr="00602A59" w:rsidRDefault="003D1507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3D1507" w:rsidRPr="00602A59" w:rsidRDefault="003D1507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3D1507" w:rsidRPr="00602A59" w:rsidRDefault="003D1507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5D963FDF" wp14:editId="242CBB3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3D1507" w:rsidRPr="003A2237" w:rsidRDefault="003D1507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7" style="position:absolute;left:0;text-align:left;margin-left:20.9pt;margin-top:694.4pt;width:23.9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1C1119F" w14:textId="77777777" w:rsidR="003D1507" w:rsidRPr="003A2237" w:rsidRDefault="003D1507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3D1507" w:rsidRDefault="003D1507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3D1507" w:rsidRPr="00E7107F" w:rsidRDefault="000631C0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3D1507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3D1507" w:rsidRDefault="003D1507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3D1507" w:rsidRDefault="003D1507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55DF2" w14:textId="41631D1B" w:rsidR="003D1507" w:rsidRPr="00FF31E6" w:rsidRDefault="000631C0" w:rsidP="003D1507">
    <w:pPr>
      <w:pStyle w:val="Nagwek"/>
      <w:tabs>
        <w:tab w:val="clear" w:pos="4536"/>
        <w:tab w:val="clear" w:pos="9072"/>
        <w:tab w:val="left" w:pos="3300"/>
      </w:tabs>
      <w:ind w:left="-142"/>
      <w:jc w:val="center"/>
      <w:rPr>
        <w:i/>
      </w:rPr>
    </w:pPr>
    <w:sdt>
      <w:sdtPr>
        <w:rPr>
          <w:rFonts w:ascii="PT Sans" w:hAnsi="PT Sans"/>
          <w:i/>
          <w:noProof/>
        </w:rPr>
        <w:id w:val="-1824806277"/>
        <w:docPartObj>
          <w:docPartGallery w:val="Page Numbers (Margins)"/>
          <w:docPartUnique/>
        </w:docPartObj>
      </w:sdtPr>
      <w:sdtEndPr/>
      <w:sdtContent>
        <w:r w:rsidR="003D1507" w:rsidRPr="00A84B13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70016" behindDoc="0" locked="0" layoutInCell="0" allowOverlap="1" wp14:anchorId="1B25BA70" wp14:editId="509E001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E2851" w14:textId="77777777" w:rsidR="003D1507" w:rsidRPr="00A84B13" w:rsidRDefault="003D1507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na</w: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84B13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25BA70" id="Prostokąt 1" o:spid="_x0000_s1026" style="position:absolute;left:0;text-align:left;margin-left:0;margin-top:0;width:40.2pt;height:171.9pt;z-index:2516700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16E2851" w14:textId="77777777" w:rsidR="003D1507" w:rsidRPr="00A84B13" w:rsidRDefault="003D1507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na</w: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A84B13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D1507" w:rsidRPr="00FF31E6">
      <w:t xml:space="preserve"> </w:t>
    </w:r>
  </w:p>
  <w:p w14:paraId="3BEE76A0" w14:textId="5281B5DC" w:rsidR="003D1507" w:rsidRPr="00C87BF2" w:rsidRDefault="003D1507" w:rsidP="00C87B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F5100" w14:textId="02E82A60" w:rsidR="003D1507" w:rsidRDefault="003D15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064" behindDoc="1" locked="1" layoutInCell="1" allowOverlap="1" wp14:anchorId="1FAE63BE" wp14:editId="32D40290">
          <wp:simplePos x="0" y="0"/>
          <wp:positionH relativeFrom="page">
            <wp:posOffset>-13335</wp:posOffset>
          </wp:positionH>
          <wp:positionV relativeFrom="page">
            <wp:posOffset>-120015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FA88FCF2"/>
    <w:lvl w:ilvl="0" w:tplc="602036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2"/>
    </w:lvlOverride>
  </w:num>
  <w:num w:numId="36">
    <w:abstractNumId w:val="3"/>
  </w:num>
  <w:num w:numId="37">
    <w:abstractNumId w:val="1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2"/>
    </w:lvlOverride>
  </w:num>
  <w:num w:numId="40">
    <w:abstractNumId w:val="2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8"/>
  </w:num>
  <w:num w:numId="51">
    <w:abstractNumId w:val="2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</w:num>
  <w:num w:numId="64">
    <w:abstractNumId w:val="14"/>
  </w:num>
  <w:num w:numId="65">
    <w:abstractNumId w:val="11"/>
    <w:lvlOverride w:ilvl="0">
      <w:startOverride w:val="1"/>
    </w:lvlOverride>
  </w:num>
  <w:num w:numId="66">
    <w:abstractNumId w:val="11"/>
  </w:num>
  <w:num w:numId="67">
    <w:abstractNumId w:val="2"/>
    <w:lvlOverride w:ilvl="0">
      <w:startOverride w:val="1"/>
    </w:lvlOverride>
  </w:num>
  <w:num w:numId="68">
    <w:abstractNumId w:val="2"/>
  </w:num>
  <w:num w:numId="69">
    <w:abstractNumId w:val="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4E96"/>
    <w:rsid w:val="0001285D"/>
    <w:rsid w:val="00017990"/>
    <w:rsid w:val="00021C6F"/>
    <w:rsid w:val="00023CE7"/>
    <w:rsid w:val="00034894"/>
    <w:rsid w:val="0003593D"/>
    <w:rsid w:val="000418CC"/>
    <w:rsid w:val="000434B2"/>
    <w:rsid w:val="000479C6"/>
    <w:rsid w:val="000518A0"/>
    <w:rsid w:val="00052289"/>
    <w:rsid w:val="00053700"/>
    <w:rsid w:val="00062715"/>
    <w:rsid w:val="000631C0"/>
    <w:rsid w:val="000649CD"/>
    <w:rsid w:val="00065E6E"/>
    <w:rsid w:val="00066CCC"/>
    <w:rsid w:val="0006720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1F37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75E61"/>
    <w:rsid w:val="001814C5"/>
    <w:rsid w:val="00184C80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43D0"/>
    <w:rsid w:val="001C5BF5"/>
    <w:rsid w:val="001D05CD"/>
    <w:rsid w:val="001D4444"/>
    <w:rsid w:val="001E0A1D"/>
    <w:rsid w:val="001E75E7"/>
    <w:rsid w:val="001F5366"/>
    <w:rsid w:val="00200A27"/>
    <w:rsid w:val="00216B13"/>
    <w:rsid w:val="0022085B"/>
    <w:rsid w:val="00221638"/>
    <w:rsid w:val="00226310"/>
    <w:rsid w:val="00230DE9"/>
    <w:rsid w:val="002318AB"/>
    <w:rsid w:val="00241D9C"/>
    <w:rsid w:val="00244022"/>
    <w:rsid w:val="00246FAC"/>
    <w:rsid w:val="0024743B"/>
    <w:rsid w:val="00247654"/>
    <w:rsid w:val="00257E08"/>
    <w:rsid w:val="00272E3F"/>
    <w:rsid w:val="00273DD9"/>
    <w:rsid w:val="002767DF"/>
    <w:rsid w:val="00297EB3"/>
    <w:rsid w:val="002A3574"/>
    <w:rsid w:val="002A50F6"/>
    <w:rsid w:val="002A5E5D"/>
    <w:rsid w:val="002B20B0"/>
    <w:rsid w:val="002B3B39"/>
    <w:rsid w:val="002B3E2A"/>
    <w:rsid w:val="002B5872"/>
    <w:rsid w:val="002B6782"/>
    <w:rsid w:val="002D273D"/>
    <w:rsid w:val="002D2C6F"/>
    <w:rsid w:val="002D2F12"/>
    <w:rsid w:val="002D64F0"/>
    <w:rsid w:val="002E1082"/>
    <w:rsid w:val="002E4CF0"/>
    <w:rsid w:val="002E4D53"/>
    <w:rsid w:val="002E6FCD"/>
    <w:rsid w:val="002F5524"/>
    <w:rsid w:val="002F56CF"/>
    <w:rsid w:val="00301EA8"/>
    <w:rsid w:val="00305D5C"/>
    <w:rsid w:val="0031115A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73EA2"/>
    <w:rsid w:val="00380E07"/>
    <w:rsid w:val="00382315"/>
    <w:rsid w:val="00384DA3"/>
    <w:rsid w:val="003851AE"/>
    <w:rsid w:val="00385E23"/>
    <w:rsid w:val="003925AC"/>
    <w:rsid w:val="003B3416"/>
    <w:rsid w:val="003C0918"/>
    <w:rsid w:val="003C094D"/>
    <w:rsid w:val="003C3AC5"/>
    <w:rsid w:val="003C461B"/>
    <w:rsid w:val="003C6D2D"/>
    <w:rsid w:val="003C6FE1"/>
    <w:rsid w:val="003D1507"/>
    <w:rsid w:val="003D1BCD"/>
    <w:rsid w:val="003E05AE"/>
    <w:rsid w:val="003E1DB0"/>
    <w:rsid w:val="003E3BDD"/>
    <w:rsid w:val="003F308F"/>
    <w:rsid w:val="003F61E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0FFE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1D27"/>
    <w:rsid w:val="005061DF"/>
    <w:rsid w:val="005149DB"/>
    <w:rsid w:val="00515101"/>
    <w:rsid w:val="00530CAA"/>
    <w:rsid w:val="00532F4D"/>
    <w:rsid w:val="005351F1"/>
    <w:rsid w:val="0055317F"/>
    <w:rsid w:val="00553D74"/>
    <w:rsid w:val="00557CB8"/>
    <w:rsid w:val="005625C2"/>
    <w:rsid w:val="00570979"/>
    <w:rsid w:val="005815A4"/>
    <w:rsid w:val="00584E90"/>
    <w:rsid w:val="00586657"/>
    <w:rsid w:val="00593C25"/>
    <w:rsid w:val="005968E9"/>
    <w:rsid w:val="00597BB1"/>
    <w:rsid w:val="005A19CF"/>
    <w:rsid w:val="005A269D"/>
    <w:rsid w:val="005B34FE"/>
    <w:rsid w:val="005B5871"/>
    <w:rsid w:val="005B5BA7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03DB7"/>
    <w:rsid w:val="00606A54"/>
    <w:rsid w:val="0061008C"/>
    <w:rsid w:val="00610A45"/>
    <w:rsid w:val="00614792"/>
    <w:rsid w:val="0061721E"/>
    <w:rsid w:val="00621A35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2F33"/>
    <w:rsid w:val="006A5F11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662F"/>
    <w:rsid w:val="0071037A"/>
    <w:rsid w:val="0071379B"/>
    <w:rsid w:val="0071512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4CB1"/>
    <w:rsid w:val="007C52C3"/>
    <w:rsid w:val="007C56FA"/>
    <w:rsid w:val="007C7952"/>
    <w:rsid w:val="007D67F0"/>
    <w:rsid w:val="007E1600"/>
    <w:rsid w:val="007E1EB6"/>
    <w:rsid w:val="007F153F"/>
    <w:rsid w:val="007F1CC6"/>
    <w:rsid w:val="007F728E"/>
    <w:rsid w:val="00801A5D"/>
    <w:rsid w:val="0080582A"/>
    <w:rsid w:val="00815FE8"/>
    <w:rsid w:val="0082259F"/>
    <w:rsid w:val="0082507C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54C3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48FF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C471F"/>
    <w:rsid w:val="009C7667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2561E"/>
    <w:rsid w:val="00A366ED"/>
    <w:rsid w:val="00A551E5"/>
    <w:rsid w:val="00A57F79"/>
    <w:rsid w:val="00A62353"/>
    <w:rsid w:val="00A62983"/>
    <w:rsid w:val="00A62DD6"/>
    <w:rsid w:val="00A6380B"/>
    <w:rsid w:val="00A63A3E"/>
    <w:rsid w:val="00A75135"/>
    <w:rsid w:val="00A84B13"/>
    <w:rsid w:val="00A8536A"/>
    <w:rsid w:val="00A859E4"/>
    <w:rsid w:val="00A867B7"/>
    <w:rsid w:val="00A919CC"/>
    <w:rsid w:val="00A9456E"/>
    <w:rsid w:val="00A953DB"/>
    <w:rsid w:val="00AB6BBC"/>
    <w:rsid w:val="00AC0B26"/>
    <w:rsid w:val="00AD1DEF"/>
    <w:rsid w:val="00AD6AF7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41154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C51BE"/>
    <w:rsid w:val="00BD1DFF"/>
    <w:rsid w:val="00BE07E2"/>
    <w:rsid w:val="00BE7EB1"/>
    <w:rsid w:val="00BF120E"/>
    <w:rsid w:val="00BF1E98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69F"/>
    <w:rsid w:val="00C35ECC"/>
    <w:rsid w:val="00C42A4D"/>
    <w:rsid w:val="00C540B8"/>
    <w:rsid w:val="00C6398C"/>
    <w:rsid w:val="00C7019D"/>
    <w:rsid w:val="00C72ACD"/>
    <w:rsid w:val="00C75A22"/>
    <w:rsid w:val="00C76434"/>
    <w:rsid w:val="00C80205"/>
    <w:rsid w:val="00C80397"/>
    <w:rsid w:val="00C812CA"/>
    <w:rsid w:val="00C8603B"/>
    <w:rsid w:val="00C87BF2"/>
    <w:rsid w:val="00C93082"/>
    <w:rsid w:val="00C942B9"/>
    <w:rsid w:val="00CA2F10"/>
    <w:rsid w:val="00CA3460"/>
    <w:rsid w:val="00CC1292"/>
    <w:rsid w:val="00CC3281"/>
    <w:rsid w:val="00CD1C73"/>
    <w:rsid w:val="00CD5AEB"/>
    <w:rsid w:val="00CD6350"/>
    <w:rsid w:val="00CD7956"/>
    <w:rsid w:val="00CD7BDD"/>
    <w:rsid w:val="00CE4834"/>
    <w:rsid w:val="00CE5652"/>
    <w:rsid w:val="00CE7E76"/>
    <w:rsid w:val="00CF4850"/>
    <w:rsid w:val="00CF6A08"/>
    <w:rsid w:val="00CF7B68"/>
    <w:rsid w:val="00D0074D"/>
    <w:rsid w:val="00D00A2F"/>
    <w:rsid w:val="00D00D00"/>
    <w:rsid w:val="00D04029"/>
    <w:rsid w:val="00D052E5"/>
    <w:rsid w:val="00D05F0F"/>
    <w:rsid w:val="00D06776"/>
    <w:rsid w:val="00D11A19"/>
    <w:rsid w:val="00D265FF"/>
    <w:rsid w:val="00D310A4"/>
    <w:rsid w:val="00D31A33"/>
    <w:rsid w:val="00D35008"/>
    <w:rsid w:val="00D54C1C"/>
    <w:rsid w:val="00D61394"/>
    <w:rsid w:val="00D6386D"/>
    <w:rsid w:val="00D65CB7"/>
    <w:rsid w:val="00D67D2E"/>
    <w:rsid w:val="00D749C0"/>
    <w:rsid w:val="00D77D1A"/>
    <w:rsid w:val="00D83EC3"/>
    <w:rsid w:val="00D963CD"/>
    <w:rsid w:val="00DA216F"/>
    <w:rsid w:val="00DA74F9"/>
    <w:rsid w:val="00DB0598"/>
    <w:rsid w:val="00DB261B"/>
    <w:rsid w:val="00DB655D"/>
    <w:rsid w:val="00DC07BF"/>
    <w:rsid w:val="00DC2D61"/>
    <w:rsid w:val="00DD4546"/>
    <w:rsid w:val="00DE1639"/>
    <w:rsid w:val="00DE5C7D"/>
    <w:rsid w:val="00DE720A"/>
    <w:rsid w:val="00DF217F"/>
    <w:rsid w:val="00E054BA"/>
    <w:rsid w:val="00E142EA"/>
    <w:rsid w:val="00E1454C"/>
    <w:rsid w:val="00E163D0"/>
    <w:rsid w:val="00E1641F"/>
    <w:rsid w:val="00E23287"/>
    <w:rsid w:val="00E25C1E"/>
    <w:rsid w:val="00E26A4B"/>
    <w:rsid w:val="00E31AF4"/>
    <w:rsid w:val="00E34B9F"/>
    <w:rsid w:val="00E40EC4"/>
    <w:rsid w:val="00E43E5F"/>
    <w:rsid w:val="00E47936"/>
    <w:rsid w:val="00E50E74"/>
    <w:rsid w:val="00E51881"/>
    <w:rsid w:val="00E57DC0"/>
    <w:rsid w:val="00E60D50"/>
    <w:rsid w:val="00E645F3"/>
    <w:rsid w:val="00E65319"/>
    <w:rsid w:val="00E654E3"/>
    <w:rsid w:val="00E658BA"/>
    <w:rsid w:val="00E7107F"/>
    <w:rsid w:val="00E7441E"/>
    <w:rsid w:val="00E8028F"/>
    <w:rsid w:val="00E813A7"/>
    <w:rsid w:val="00E81D74"/>
    <w:rsid w:val="00E91836"/>
    <w:rsid w:val="00E93D14"/>
    <w:rsid w:val="00E93F00"/>
    <w:rsid w:val="00EA3288"/>
    <w:rsid w:val="00EA5094"/>
    <w:rsid w:val="00EC0F4D"/>
    <w:rsid w:val="00ED5508"/>
    <w:rsid w:val="00ED57DE"/>
    <w:rsid w:val="00ED6871"/>
    <w:rsid w:val="00EE14B3"/>
    <w:rsid w:val="00EE380D"/>
    <w:rsid w:val="00EE3CD9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1920"/>
    <w:rsid w:val="00F640AA"/>
    <w:rsid w:val="00F659AD"/>
    <w:rsid w:val="00F65A36"/>
    <w:rsid w:val="00F667CF"/>
    <w:rsid w:val="00F72F3E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D39F9"/>
    <w:rsid w:val="00FE10A7"/>
    <w:rsid w:val="00FE2B3F"/>
    <w:rsid w:val="00FE3697"/>
    <w:rsid w:val="00FE68C7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E6FB2-A2B5-4355-A83D-1D45AE2A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9050</Words>
  <Characters>54301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3</cp:revision>
  <cp:lastPrinted>2023-10-26T08:48:00Z</cp:lastPrinted>
  <dcterms:created xsi:type="dcterms:W3CDTF">2024-04-12T09:13:00Z</dcterms:created>
  <dcterms:modified xsi:type="dcterms:W3CDTF">2024-04-12T09:14:00Z</dcterms:modified>
</cp:coreProperties>
</file>