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3F" w:rsidRDefault="004C7A3F" w:rsidP="004C7A3F">
      <w:pPr>
        <w:spacing w:before="480" w:after="0" w:line="240" w:lineRule="auto"/>
        <w:ind w:left="1134" w:hanging="1134"/>
        <w:jc w:val="right"/>
        <w:rPr>
          <w:rFonts w:ascii="Arial" w:hAnsi="Arial" w:cs="Arial"/>
          <w:spacing w:val="-2"/>
          <w:szCs w:val="24"/>
        </w:rPr>
      </w:pPr>
      <w:r w:rsidRPr="004C7A3F">
        <w:rPr>
          <w:rFonts w:ascii="Arial" w:hAnsi="Arial" w:cs="Arial"/>
          <w:spacing w:val="-2"/>
          <w:szCs w:val="24"/>
        </w:rPr>
        <w:t>Załącznik nr 15 do SWZ</w:t>
      </w:r>
    </w:p>
    <w:p w:rsidR="00DF76C4" w:rsidRPr="004C7A3F" w:rsidRDefault="004C7A3F" w:rsidP="00671DFB">
      <w:pPr>
        <w:spacing w:before="48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FB2AA2">
        <w:rPr>
          <w:rFonts w:ascii="Arial" w:hAnsi="Arial" w:cs="Arial"/>
          <w:b/>
          <w:spacing w:val="-2"/>
          <w:sz w:val="24"/>
          <w:szCs w:val="24"/>
        </w:rPr>
        <w:t>Uzupełnieni</w:t>
      </w:r>
      <w:r w:rsidR="00D913F2">
        <w:rPr>
          <w:rFonts w:ascii="Arial" w:hAnsi="Arial" w:cs="Arial"/>
          <w:b/>
          <w:spacing w:val="-2"/>
          <w:sz w:val="24"/>
          <w:szCs w:val="24"/>
        </w:rPr>
        <w:t>e</w:t>
      </w:r>
      <w:r w:rsidRPr="00FB2AA2">
        <w:rPr>
          <w:rFonts w:ascii="Arial" w:hAnsi="Arial" w:cs="Arial"/>
          <w:b/>
          <w:spacing w:val="-2"/>
          <w:sz w:val="24"/>
          <w:szCs w:val="24"/>
        </w:rPr>
        <w:t xml:space="preserve"> OPZ</w:t>
      </w:r>
      <w:r w:rsidRPr="004C7A3F">
        <w:rPr>
          <w:rFonts w:ascii="Arial" w:hAnsi="Arial" w:cs="Arial"/>
          <w:bCs/>
          <w:sz w:val="24"/>
          <w:szCs w:val="24"/>
        </w:rPr>
        <w:t xml:space="preserve"> </w:t>
      </w:r>
      <w:r w:rsidRPr="004C7A3F">
        <w:rPr>
          <w:rFonts w:ascii="Arial" w:hAnsi="Arial" w:cs="Arial"/>
          <w:spacing w:val="-2"/>
          <w:sz w:val="24"/>
          <w:szCs w:val="24"/>
        </w:rPr>
        <w:t xml:space="preserve">do </w:t>
      </w:r>
      <w:r w:rsidR="00C40679" w:rsidRPr="004C7A3F">
        <w:rPr>
          <w:rFonts w:ascii="Arial" w:hAnsi="Arial" w:cs="Arial"/>
          <w:sz w:val="24"/>
          <w:szCs w:val="24"/>
        </w:rPr>
        <w:t>postępowani</w:t>
      </w:r>
      <w:r w:rsidRPr="004C7A3F">
        <w:rPr>
          <w:rFonts w:ascii="Arial" w:hAnsi="Arial" w:cs="Arial"/>
          <w:sz w:val="24"/>
          <w:szCs w:val="24"/>
        </w:rPr>
        <w:t>a</w:t>
      </w:r>
      <w:r w:rsidR="00C40679" w:rsidRPr="004C7A3F">
        <w:rPr>
          <w:rFonts w:ascii="Arial" w:hAnsi="Arial" w:cs="Arial"/>
          <w:sz w:val="24"/>
          <w:szCs w:val="24"/>
        </w:rPr>
        <w:t xml:space="preserve"> prowadzon</w:t>
      </w:r>
      <w:r w:rsidRPr="004C7A3F">
        <w:rPr>
          <w:rFonts w:ascii="Arial" w:hAnsi="Arial" w:cs="Arial"/>
          <w:sz w:val="24"/>
          <w:szCs w:val="24"/>
        </w:rPr>
        <w:t>ego</w:t>
      </w:r>
      <w:r w:rsidR="00C40679" w:rsidRPr="004C7A3F">
        <w:rPr>
          <w:rFonts w:ascii="Arial" w:hAnsi="Arial" w:cs="Arial"/>
          <w:sz w:val="24"/>
          <w:szCs w:val="24"/>
        </w:rPr>
        <w:t xml:space="preserve"> w</w:t>
      </w:r>
      <w:r w:rsidR="000053D4" w:rsidRPr="004C7A3F">
        <w:rPr>
          <w:rFonts w:ascii="Arial" w:hAnsi="Arial" w:cs="Arial"/>
          <w:sz w:val="24"/>
          <w:szCs w:val="24"/>
        </w:rPr>
        <w:t xml:space="preserve">  trybie</w:t>
      </w:r>
      <w:r w:rsidR="00C1791A" w:rsidRPr="004C7A3F">
        <w:rPr>
          <w:rFonts w:ascii="Arial" w:hAnsi="Arial" w:cs="Arial"/>
          <w:sz w:val="24"/>
          <w:szCs w:val="24"/>
        </w:rPr>
        <w:t xml:space="preserve"> podstawow</w:t>
      </w:r>
      <w:r w:rsidR="000053D4" w:rsidRPr="004C7A3F">
        <w:rPr>
          <w:rFonts w:ascii="Arial" w:hAnsi="Arial" w:cs="Arial"/>
          <w:sz w:val="24"/>
          <w:szCs w:val="24"/>
        </w:rPr>
        <w:t>ym</w:t>
      </w:r>
      <w:r w:rsidR="00C1791A" w:rsidRPr="004C7A3F">
        <w:rPr>
          <w:rFonts w:ascii="Arial" w:hAnsi="Arial" w:cs="Arial"/>
          <w:sz w:val="24"/>
          <w:szCs w:val="24"/>
        </w:rPr>
        <w:t xml:space="preserve"> jednoetapow</w:t>
      </w:r>
      <w:r w:rsidR="000053D4" w:rsidRPr="004C7A3F">
        <w:rPr>
          <w:rFonts w:ascii="Arial" w:hAnsi="Arial" w:cs="Arial"/>
          <w:sz w:val="24"/>
          <w:szCs w:val="24"/>
        </w:rPr>
        <w:t>ym</w:t>
      </w:r>
      <w:r w:rsidR="00C1791A" w:rsidRPr="004C7A3F">
        <w:rPr>
          <w:rFonts w:ascii="Arial" w:hAnsi="Arial" w:cs="Arial"/>
          <w:sz w:val="24"/>
          <w:szCs w:val="24"/>
        </w:rPr>
        <w:t xml:space="preserve"> na</w:t>
      </w:r>
      <w:r w:rsidR="00C1791A" w:rsidRPr="004C7A3F">
        <w:rPr>
          <w:rFonts w:ascii="Arial" w:hAnsi="Arial" w:cs="Arial"/>
          <w:bCs/>
          <w:sz w:val="24"/>
          <w:szCs w:val="24"/>
        </w:rPr>
        <w:t xml:space="preserve"> </w:t>
      </w:r>
      <w:r w:rsidR="00C1791A" w:rsidRPr="004C7A3F">
        <w:rPr>
          <w:rFonts w:ascii="Arial" w:hAnsi="Arial" w:cs="Arial"/>
          <w:sz w:val="24"/>
          <w:szCs w:val="24"/>
        </w:rPr>
        <w:t>wykonanie dokumentacji projektowo-kosztorysowej, wykonanie robót budowlanych oraz pełnienie nadzoru dla zada</w:t>
      </w:r>
      <w:r w:rsidR="00924A0D" w:rsidRPr="004C7A3F">
        <w:rPr>
          <w:rFonts w:ascii="Arial" w:hAnsi="Arial" w:cs="Arial"/>
          <w:sz w:val="24"/>
          <w:szCs w:val="24"/>
        </w:rPr>
        <w:t xml:space="preserve">nia nr 01794: </w:t>
      </w:r>
      <w:r w:rsidR="00C1791A" w:rsidRPr="004C7A3F">
        <w:rPr>
          <w:rFonts w:ascii="Arial" w:hAnsi="Arial" w:cs="Arial"/>
          <w:i/>
          <w:sz w:val="24"/>
          <w:szCs w:val="24"/>
        </w:rPr>
        <w:t>Przebudowa instalacji elektrycznej wraz z montażem ZSE dla zapewnienia rezerwowego źródła zasilania kompleksu wojskowego K-3598 w Warszawie, Plac Marszałka Piłsudskiego 4</w:t>
      </w:r>
      <w:r w:rsidRPr="004C7A3F">
        <w:rPr>
          <w:rFonts w:ascii="Arial" w:hAnsi="Arial" w:cs="Arial"/>
          <w:sz w:val="24"/>
          <w:szCs w:val="24"/>
        </w:rPr>
        <w:t xml:space="preserve"> - Sprawa </w:t>
      </w:r>
      <w:r w:rsidR="00671DFB">
        <w:rPr>
          <w:rFonts w:ascii="Arial" w:hAnsi="Arial" w:cs="Arial"/>
          <w:sz w:val="24"/>
          <w:szCs w:val="24"/>
        </w:rPr>
        <w:t>60</w:t>
      </w:r>
      <w:r w:rsidR="00240F0B">
        <w:rPr>
          <w:rFonts w:ascii="Arial" w:hAnsi="Arial" w:cs="Arial"/>
          <w:sz w:val="24"/>
          <w:szCs w:val="24"/>
        </w:rPr>
        <w:t>/01794/2024</w:t>
      </w:r>
    </w:p>
    <w:p w:rsidR="004C7A3F" w:rsidRPr="00F24C62" w:rsidRDefault="004C7A3F" w:rsidP="004C7A3F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C7A3F" w:rsidRPr="003169C9" w:rsidRDefault="004C7A3F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Proszę o określenie mocy zapotrzebowanej dla budyn</w:t>
      </w:r>
      <w:bookmarkStart w:id="0" w:name="_GoBack"/>
      <w:bookmarkEnd w:id="0"/>
      <w:r w:rsidRPr="00F24C62">
        <w:rPr>
          <w:rFonts w:ascii="Arial" w:hAnsi="Arial" w:cs="Arial"/>
          <w:bCs/>
          <w:szCs w:val="24"/>
        </w:rPr>
        <w:t>ku nr 2 i 3. Wielkość mocy zapotrzebowanej niezbędne są dla obliczenia pojemności dodatkowego zbiornika na paliwo dla 72-godzinnej pracy agregatu.</w:t>
      </w:r>
    </w:p>
    <w:p w:rsidR="004C7A3F" w:rsidRPr="00F24C62" w:rsidRDefault="004C7A3F" w:rsidP="004C7A3F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C7A3F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Obecnie moc umowna dla budynku nr 2 wynosi 120kW, przyłączeniowa 170 kW, natomiast dla budynku nr 3 moc umowna wynosi 50kW oraz przyłączeniowa 65 kW.</w:t>
      </w:r>
    </w:p>
    <w:p w:rsidR="004C7A3F" w:rsidRPr="00F24C62" w:rsidRDefault="004C7A3F" w:rsidP="004C7A3F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C7A3F" w:rsidRPr="003169C9" w:rsidRDefault="004C7A3F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Czy rozdzielnica główna w budynku nr 3 posiada własne rozliczeniowe układy pomiarowe zużycia energii elektrycznej?</w:t>
      </w:r>
    </w:p>
    <w:p w:rsidR="004C7A3F" w:rsidRPr="00F24C62" w:rsidRDefault="004C7A3F" w:rsidP="004C7A3F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C7A3F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 xml:space="preserve">Budynek nr 2 i 3 posiada własny rozliczeniowy układ </w:t>
      </w:r>
      <w:r w:rsidR="00D913F2" w:rsidRPr="00F24C62">
        <w:rPr>
          <w:rFonts w:ascii="Arial" w:hAnsi="Arial" w:cs="Arial"/>
          <w:bCs/>
          <w:szCs w:val="24"/>
        </w:rPr>
        <w:t>pomiarowy</w:t>
      </w:r>
      <w:r w:rsidR="00455870" w:rsidRPr="00F24C62">
        <w:rPr>
          <w:rFonts w:ascii="Arial" w:hAnsi="Arial" w:cs="Arial"/>
          <w:bCs/>
          <w:szCs w:val="24"/>
        </w:rPr>
        <w:t>.</w:t>
      </w:r>
    </w:p>
    <w:p w:rsidR="00455870" w:rsidRPr="00F24C62" w:rsidRDefault="00455870" w:rsidP="00455870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55870" w:rsidRPr="003169C9" w:rsidRDefault="00455870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Czy rozdzielnica główna w budynku nr 3 zasilana jest bezpośrednio ze stacji transformatorowej czy z rozdzielnicy głównej w budynku nr 2.</w:t>
      </w:r>
    </w:p>
    <w:p w:rsidR="00455870" w:rsidRPr="003169C9" w:rsidRDefault="00455870" w:rsidP="00455870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55870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 xml:space="preserve">Rozdzielnica główna w budynku nr 3 zasilana jest ze stacji transformatowej nr 7185. Stacja 7182 zasila również Budynek nr 2. Zgodnie z zapisami OPZ Wykonawca zobowiązany jest wykonać inwentaryzacje, nowe przyłącza, schemat zasilania oraz modernizacja RGnN </w:t>
      </w:r>
      <w:r w:rsidR="00F24C62" w:rsidRPr="003169C9">
        <w:rPr>
          <w:rFonts w:ascii="Arial" w:hAnsi="Arial" w:cs="Arial"/>
          <w:bCs/>
          <w:szCs w:val="24"/>
        </w:rPr>
        <w:br/>
      </w:r>
      <w:r w:rsidRPr="003169C9">
        <w:rPr>
          <w:rFonts w:ascii="Arial" w:hAnsi="Arial" w:cs="Arial"/>
          <w:bCs/>
          <w:szCs w:val="24"/>
        </w:rPr>
        <w:t>w obu budynkach.</w:t>
      </w:r>
    </w:p>
    <w:p w:rsidR="00455870" w:rsidRPr="003169C9" w:rsidRDefault="00455870" w:rsidP="00455870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Pytanie:</w:t>
      </w:r>
    </w:p>
    <w:p w:rsidR="00455870" w:rsidRPr="003169C9" w:rsidRDefault="00455870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>Jak Inwestor, biorąc pod uwagę szerokość ograniczonego prześwitu w bramie dojazdowej od u. Tokarzewskiego – Karaszewicza przewiduje dotankowanie zbiorników na paliwo.</w:t>
      </w:r>
    </w:p>
    <w:p w:rsidR="00455870" w:rsidRPr="003169C9" w:rsidRDefault="00455870" w:rsidP="00455870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Odpowiedź:</w:t>
      </w:r>
    </w:p>
    <w:p w:rsidR="00455870" w:rsidRPr="00240F0B" w:rsidRDefault="00455870" w:rsidP="00455870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 xml:space="preserve">Zgodnie z zapisami OPZ (str. 3) Wykonawca przedstawi analizę możliwości zapewnienia </w:t>
      </w:r>
      <w:r w:rsidRPr="00240F0B">
        <w:rPr>
          <w:rFonts w:ascii="Arial" w:hAnsi="Arial" w:cs="Arial"/>
          <w:bCs/>
          <w:szCs w:val="24"/>
        </w:rPr>
        <w:t>dostępu serwisowego do kontenera z agregatem pojazdom specjalistycznym np. w celu uzupełnienia paliwa, wykonania przeglądów serwisowych itp.</w:t>
      </w:r>
    </w:p>
    <w:p w:rsidR="00E6397E" w:rsidRPr="00240F0B" w:rsidRDefault="00E6397E" w:rsidP="00E6397E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Pytanie:</w:t>
      </w:r>
    </w:p>
    <w:p w:rsidR="00E6397E" w:rsidRPr="00240F0B" w:rsidRDefault="00E6397E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240F0B">
        <w:rPr>
          <w:rFonts w:ascii="Arial" w:hAnsi="Arial" w:cs="Arial"/>
          <w:bCs/>
          <w:szCs w:val="24"/>
        </w:rPr>
        <w:t>Czy zamawiający oczekuje w ramach</w:t>
      </w:r>
      <w:r w:rsidR="00F24C62" w:rsidRPr="00240F0B">
        <w:rPr>
          <w:rFonts w:ascii="Arial" w:hAnsi="Arial" w:cs="Arial"/>
          <w:bCs/>
          <w:szCs w:val="24"/>
        </w:rPr>
        <w:t xml:space="preserve"> zadania, dostawy nowego, kompletnego zestawu agregat + zbiornik paliwa w obudowie wyciszonej spełniającej wymagania norm w zakresie dopuszczalnego hałasu?</w:t>
      </w:r>
    </w:p>
    <w:p w:rsidR="00E6397E" w:rsidRPr="00240F0B" w:rsidRDefault="00E6397E" w:rsidP="00E6397E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240F0B" w:rsidRDefault="003169C9" w:rsidP="00240F0B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240F0B">
        <w:rPr>
          <w:rFonts w:ascii="Arial" w:hAnsi="Arial" w:cs="Arial"/>
          <w:bCs/>
          <w:szCs w:val="24"/>
        </w:rPr>
        <w:t>Zamawiający</w:t>
      </w:r>
      <w:r w:rsidR="00F24C62" w:rsidRPr="00240F0B">
        <w:rPr>
          <w:rFonts w:ascii="Arial" w:hAnsi="Arial" w:cs="Arial"/>
          <w:bCs/>
          <w:szCs w:val="24"/>
        </w:rPr>
        <w:t xml:space="preserve"> posiada Agregat 0,32 MW i zakłada jego zainstalowanie, jeżeli będzie to technologicznie wykonalne (</w:t>
      </w:r>
      <w:r w:rsidRPr="00240F0B">
        <w:rPr>
          <w:rFonts w:ascii="Arial" w:hAnsi="Arial" w:cs="Arial"/>
          <w:bCs/>
          <w:szCs w:val="24"/>
        </w:rPr>
        <w:t>np. ze względu na światło bramy, ograniczenie środowiskowe i akustyczne i inne).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nr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przedstawienie karty katalogowej agregatu posiadanego przez Zamawiającego i przewidzianego do montażu.</w:t>
      </w: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lastRenderedPageBreak/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 xml:space="preserve">Wgląd do karta katalogowej agregatu prądotwórczego jest możliwy w siedzibie Zamawiającego w terminie uzgodnionym telefoniczne (tel.: 261 849 367) </w:t>
      </w:r>
      <w:r w:rsidRPr="00240F0B">
        <w:rPr>
          <w:rFonts w:ascii="Arial" w:eastAsia="Times New Roman" w:hAnsi="Arial" w:cs="Arial"/>
          <w:bCs/>
          <w:szCs w:val="24"/>
        </w:rPr>
        <w:br/>
        <w:t>z Wydziałem Inwestycji Budowlanych.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nr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informację odnośnie daty zakupu agregatu posiadanego przez Zamawiającego i przewidzianego do montażu</w:t>
      </w:r>
      <w:r w:rsidR="002218FE" w:rsidRPr="00240F0B">
        <w:rPr>
          <w:rFonts w:ascii="Arial" w:eastAsia="Times New Roman" w:hAnsi="Arial" w:cs="Arial"/>
          <w:bCs/>
          <w:szCs w:val="24"/>
        </w:rPr>
        <w:t>.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 xml:space="preserve">Agregat prądotwórczy został zakupiony w roku 2019. 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przedstawienie wypełnionej książki serwisowej agregatu posiadanego przez Zamawiającego i przewidzianego do montażu, stanowiącej potwierdzenie jego odpowiedniego stanu technicznego, utrzymania w sprawności i zdolności do przystosowania do pełnienia funkcji zakładanej przez Zamawiającego.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Zamawiający nie posiada książki serwisowej agregatu prądotwórczego.</w:t>
      </w:r>
      <w:r w:rsidRPr="00240F0B">
        <w:rPr>
          <w:rFonts w:ascii="Arial" w:eastAsia="Times New Roman" w:hAnsi="Arial" w:cs="Arial"/>
          <w:bCs/>
          <w:szCs w:val="24"/>
        </w:rPr>
        <w:br/>
        <w:t xml:space="preserve">Wgląd do protokołu z przeglądu technicznego oraz protokołu pomiarowego </w:t>
      </w:r>
      <w:r w:rsidRPr="00240F0B">
        <w:rPr>
          <w:rFonts w:ascii="Arial" w:eastAsia="Times New Roman" w:hAnsi="Arial" w:cs="Arial"/>
          <w:bCs/>
          <w:szCs w:val="24"/>
        </w:rPr>
        <w:br/>
        <w:t xml:space="preserve">jest możliwy w siedzibie Zamawiającego w terminie uzgodnionym telefoniczne </w:t>
      </w:r>
      <w:r w:rsidRPr="00240F0B">
        <w:rPr>
          <w:rFonts w:ascii="Arial" w:eastAsia="Times New Roman" w:hAnsi="Arial" w:cs="Arial"/>
          <w:bCs/>
          <w:szCs w:val="24"/>
        </w:rPr>
        <w:br/>
        <w:t>(tel.: 261 849 367) z Wydziałem Inwestycji Budowlanych.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Czy agregat posiadany przez Zamawiającego i przewidziany do montażu objęty jest gwarancją producenta?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730C91" w:rsidRPr="006323D7" w:rsidRDefault="008B7213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Agregat nie jest objęty gwarancją producenta.</w:t>
      </w:r>
    </w:p>
    <w:p w:rsidR="006323D7" w:rsidRPr="006323D7" w:rsidRDefault="006323D7" w:rsidP="006323D7">
      <w:pPr>
        <w:spacing w:before="240" w:after="120"/>
        <w:jc w:val="both"/>
        <w:rPr>
          <w:rFonts w:ascii="Arial" w:eastAsia="Times New Roman" w:hAnsi="Arial" w:cs="Arial"/>
          <w:b/>
          <w:szCs w:val="24"/>
          <w:u w:val="single"/>
        </w:rPr>
      </w:pPr>
      <w:r w:rsidRPr="006323D7">
        <w:rPr>
          <w:rFonts w:ascii="Arial" w:eastAsia="Times New Roman" w:hAnsi="Arial" w:cs="Arial"/>
          <w:b/>
          <w:szCs w:val="24"/>
          <w:u w:val="single"/>
        </w:rPr>
        <w:t xml:space="preserve">Pytanie </w:t>
      </w:r>
    </w:p>
    <w:p w:rsidR="006323D7" w:rsidRPr="006323D7" w:rsidRDefault="006323D7" w:rsidP="006323D7">
      <w:pPr>
        <w:spacing w:before="120" w:after="120"/>
        <w:jc w:val="both"/>
        <w:rPr>
          <w:rFonts w:ascii="Arial" w:eastAsia="Times New Roman" w:hAnsi="Arial" w:cs="Arial"/>
          <w:szCs w:val="24"/>
        </w:rPr>
      </w:pPr>
      <w:r w:rsidRPr="006323D7">
        <w:rPr>
          <w:rFonts w:ascii="Arial" w:eastAsia="Times New Roman" w:hAnsi="Arial" w:cs="Arial"/>
          <w:szCs w:val="24"/>
        </w:rPr>
        <w:t>W związku z przedstawionymi poniżej terminami ustawowymi czy Inwestor podtrzymuje podany w punkcie 7.2 OPZ termin na opracowanie dokumentacji projektowo-kosztorysowej – 70 dni od daty podpisania umowy: 1. Wydanie decyzji o ustaleniu lokalizacji inwestycji celu publicznego - Ustawodawca w art. 51 ust. 2 u.p.z.p.*) przewidział 65-cio dniowy termin do wydania decyzji o ustaleniu lokalizacji inwestycji celu publicznego, a termin należy liczyć od dnia złożenia wniosku o wydanie takiej decyzji. (Obwieszczenie Marszałka Sejmu Rzeczypospolitej Polskiej z dnia 7 kwietnia 2023 r. w sprawie ogłoszenia jednolitego tekstu ustawy o planowaniu i zagospodarowaniu przestrzennym) 2. Wydanie Opinii konserwatorskiej -  Do miesiąca, w sprawie szczególnie skomplikowanej do 2-ch miesięcy od daty złożenia wniosku (nie wli</w:t>
      </w:r>
      <w:r w:rsidR="00671DFB">
        <w:rPr>
          <w:rFonts w:ascii="Arial" w:eastAsia="Times New Roman" w:hAnsi="Arial" w:cs="Arial"/>
          <w:szCs w:val="24"/>
        </w:rPr>
        <w:t xml:space="preserve">czając terminów przewidzianych </w:t>
      </w:r>
      <w:r w:rsidRPr="006323D7">
        <w:rPr>
          <w:rFonts w:ascii="Arial" w:eastAsia="Times New Roman" w:hAnsi="Arial" w:cs="Arial"/>
          <w:szCs w:val="24"/>
        </w:rPr>
        <w:t>w przepisach prawa do dokonania określonych czynności, okresów zawieszenia postępowania oraz okresów opóźnień spo</w:t>
      </w:r>
      <w:r w:rsidR="00671DFB">
        <w:rPr>
          <w:rFonts w:ascii="Arial" w:eastAsia="Times New Roman" w:hAnsi="Arial" w:cs="Arial"/>
          <w:szCs w:val="24"/>
        </w:rPr>
        <w:t xml:space="preserve">wodowanych z winy strony, albo </w:t>
      </w:r>
      <w:r w:rsidRPr="006323D7">
        <w:rPr>
          <w:rFonts w:ascii="Arial" w:eastAsia="Times New Roman" w:hAnsi="Arial" w:cs="Arial"/>
          <w:szCs w:val="24"/>
        </w:rPr>
        <w:t xml:space="preserve">z przyczyn niezależnych od organu). *) Kodeks postępowania administracyjnego (t.j. Dz. U. z 2023 r. poz. 775 z późn. zm.); Ustawa z dnia 7 lipca 1994 r. Prawo budowlane (t.j. Dz.U. z 2023 r. poz. 682 z późn. zm.); Ustawa z dnia 23 lipca 2003r. o ochronie zabytków i opiece nad zabytkami (t.j. Dz.U. z 2022 r. poz. 840). </w:t>
      </w:r>
      <w:r w:rsidRPr="006323D7">
        <w:rPr>
          <w:rFonts w:ascii="Arial" w:eastAsia="Times New Roman" w:hAnsi="Arial" w:cs="Arial"/>
          <w:szCs w:val="24"/>
        </w:rPr>
        <w:br/>
        <w:t xml:space="preserve">3. Decyzja pozwolenie na budowę - Załatwienie sprawy powinno nastąpić bez zbędnej zwłoki. Załatwienie sprawy wymagającej postępowania wyjaśniającego powinno nastąpić nie później niż w ciągu miesiąca a sprawy szczególnie skomplikowanej- nie później niż w ciągu dwóch miesięcy od dnia wszczęcia postępowania. Do terminów określonych w przepisach poprzedzających nie wlicza się terminów przewidzianych w przepisach prawa dla dokonania określonych czynności, okresów zawieszenia postępowania oraz okresów opóźnień spowodowanych z winy strony albo z przyczyn niezależnych od organu - zgodnie </w:t>
      </w:r>
      <w:r w:rsidRPr="006323D7">
        <w:rPr>
          <w:rFonts w:ascii="Arial" w:eastAsia="Times New Roman" w:hAnsi="Arial" w:cs="Arial"/>
          <w:szCs w:val="24"/>
        </w:rPr>
        <w:br/>
        <w:t xml:space="preserve">z art. 35 § 1, §3 i § 5 ustawy z dnia 14 czerwca 1960r.- Kodeks postępowania administracyjnego (Dz.U. z 2016 poz. 23). Wskazany w OPZ termin opracowania </w:t>
      </w:r>
      <w:r w:rsidRPr="006323D7">
        <w:rPr>
          <w:rFonts w:ascii="Arial" w:eastAsia="Times New Roman" w:hAnsi="Arial" w:cs="Arial"/>
          <w:szCs w:val="24"/>
        </w:rPr>
        <w:lastRenderedPageBreak/>
        <w:t xml:space="preserve">dokumentacji pozostawia bardzo mało czasu na wszelkie ustalenia czy uwzględnienie uwag zgłaszanych przez organy wydające decyzje. Prosimy o wydłużenie terminu na opracowanie dokumentacji do 120 dni - tj. do sumarycznego okresu oczekiwania na Decyzję o ustaleniu lokalizacji inwestycji celu publicznego oraz uzyskanie Decyzji pozwolenia na budowę w przypadku spraw szczególnie skomplikowanych. Zapisy umowy w obecnej formie uniemożliwiają Wykonawcy wywiązanie się z kontraktu bez ryzyka naliczenia kar umownych. Zgodnie z zapisami umowy Wykonawca bierze na siebie całość kar i ryzyk, łącznie z wypowiedzeniem umowy przez Zamawiającego a związanych </w:t>
      </w:r>
      <w:r>
        <w:rPr>
          <w:rFonts w:ascii="Arial" w:eastAsia="Times New Roman" w:hAnsi="Arial" w:cs="Arial"/>
          <w:szCs w:val="24"/>
        </w:rPr>
        <w:br/>
      </w:r>
      <w:r w:rsidRPr="006323D7">
        <w:rPr>
          <w:rFonts w:ascii="Arial" w:eastAsia="Times New Roman" w:hAnsi="Arial" w:cs="Arial"/>
          <w:szCs w:val="24"/>
        </w:rPr>
        <w:t xml:space="preserve">z czasem oczekiwania na decyzję Urzędu, nie mając żadnego wpływu na to w jakim terminie rzeczona decyzja zostanie wydana. Terminy przytoczone w umowie nie mają odzwierciedlenia w rzeczywistości oraz nie korelują z obowiązującymi przepisami. </w:t>
      </w:r>
    </w:p>
    <w:p w:rsidR="006323D7" w:rsidRPr="006323D7" w:rsidRDefault="006323D7" w:rsidP="006323D7">
      <w:pPr>
        <w:spacing w:after="0"/>
        <w:jc w:val="both"/>
        <w:rPr>
          <w:rFonts w:ascii="Arial" w:eastAsia="Times New Roman" w:hAnsi="Arial" w:cs="Arial"/>
          <w:b/>
          <w:szCs w:val="24"/>
          <w:u w:val="single"/>
        </w:rPr>
      </w:pPr>
      <w:r w:rsidRPr="006323D7">
        <w:rPr>
          <w:rFonts w:ascii="Arial" w:eastAsia="Times New Roman" w:hAnsi="Arial" w:cs="Arial"/>
          <w:b/>
          <w:szCs w:val="24"/>
          <w:u w:val="single"/>
        </w:rPr>
        <w:t>Odpowiedź:</w:t>
      </w:r>
    </w:p>
    <w:p w:rsidR="006323D7" w:rsidRPr="006323D7" w:rsidRDefault="006323D7" w:rsidP="006323D7">
      <w:pPr>
        <w:pStyle w:val="Akapitzlist"/>
        <w:shd w:val="clear" w:color="auto" w:fill="FFFFFF"/>
        <w:spacing w:line="276" w:lineRule="auto"/>
        <w:ind w:left="0"/>
        <w:contextualSpacing w:val="0"/>
        <w:jc w:val="both"/>
        <w:rPr>
          <w:rFonts w:ascii="Arial" w:hAnsi="Arial" w:cs="Arial"/>
          <w:sz w:val="22"/>
        </w:rPr>
      </w:pPr>
      <w:r w:rsidRPr="006323D7">
        <w:rPr>
          <w:rFonts w:ascii="Arial" w:hAnsi="Arial" w:cs="Arial"/>
          <w:sz w:val="22"/>
        </w:rPr>
        <w:t>Zamawiający nie wyraża zgody na wydłużenie terminu na opracowanie dokumentacji projektowo-kosztorysowej dla przedmiotowego przedsięwzięcia.</w:t>
      </w:r>
    </w:p>
    <w:p w:rsidR="006323D7" w:rsidRPr="006323D7" w:rsidRDefault="006323D7" w:rsidP="006323D7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6323D7">
        <w:rPr>
          <w:rFonts w:ascii="Arial" w:hAnsi="Arial" w:cs="Arial"/>
          <w:sz w:val="22"/>
        </w:rPr>
        <w:t xml:space="preserve">Jednocześnie informuję, że zgodnie z zapisami umowy, Zamawiający zatrzyma 30% wartości brutto Etapu DT do czasu uzyskania ostatecznej decyzji o pozwoleniu </w:t>
      </w:r>
      <w:r w:rsidRPr="006323D7">
        <w:rPr>
          <w:rFonts w:ascii="Arial" w:hAnsi="Arial" w:cs="Arial"/>
          <w:sz w:val="22"/>
        </w:rPr>
        <w:br/>
        <w:t xml:space="preserve">na budowę/ </w:t>
      </w:r>
      <w:r w:rsidRPr="006323D7">
        <w:rPr>
          <w:rFonts w:ascii="Arial" w:hAnsi="Arial" w:cs="Arial"/>
          <w:bCs/>
          <w:color w:val="000000"/>
          <w:spacing w:val="-4"/>
          <w:sz w:val="22"/>
        </w:rPr>
        <w:t xml:space="preserve">zaświadczenia o braku sprzeciwu do zgłoszenia robót budowlanych </w:t>
      </w:r>
      <w:r w:rsidRPr="006323D7">
        <w:rPr>
          <w:rFonts w:ascii="Arial" w:hAnsi="Arial" w:cs="Arial"/>
          <w:bCs/>
          <w:color w:val="000000"/>
          <w:spacing w:val="-4"/>
          <w:sz w:val="22"/>
        </w:rPr>
        <w:br/>
        <w:t>nie wymagających pozwolenia na budowę (o ile będzie wymagana).</w:t>
      </w: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4E4370" w:rsidRPr="004C7A3F" w:rsidRDefault="004E4370" w:rsidP="00160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787"/>
        </w:tabs>
        <w:spacing w:after="0" w:line="240" w:lineRule="auto"/>
        <w:rPr>
          <w:rFonts w:ascii="Calibri" w:hAnsi="Calibri"/>
          <w:color w:val="FF0000"/>
          <w:sz w:val="16"/>
          <w:szCs w:val="16"/>
        </w:rPr>
      </w:pPr>
      <w:r w:rsidRPr="004C7A3F">
        <w:rPr>
          <w:rFonts w:ascii="Calibri" w:hAnsi="Calibri"/>
          <w:color w:val="FF0000"/>
          <w:sz w:val="16"/>
          <w:szCs w:val="16"/>
        </w:rPr>
        <w:tab/>
      </w:r>
      <w:r w:rsidRPr="004C7A3F">
        <w:rPr>
          <w:rFonts w:ascii="Calibri" w:hAnsi="Calibri"/>
          <w:color w:val="FF0000"/>
          <w:sz w:val="16"/>
          <w:szCs w:val="16"/>
        </w:rPr>
        <w:tab/>
        <w:t xml:space="preserve">             </w:t>
      </w:r>
      <w:r w:rsidRPr="004C7A3F">
        <w:rPr>
          <w:rFonts w:ascii="Calibri" w:hAnsi="Calibri"/>
          <w:color w:val="FF0000"/>
          <w:sz w:val="16"/>
          <w:szCs w:val="16"/>
        </w:rPr>
        <w:tab/>
      </w:r>
    </w:p>
    <w:sectPr w:rsidR="004E4370" w:rsidRPr="004C7A3F" w:rsidSect="00291AE7">
      <w:footerReference w:type="default" r:id="rId13"/>
      <w:pgSz w:w="11906" w:h="16838"/>
      <w:pgMar w:top="426" w:right="1134" w:bottom="709" w:left="1985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E0" w:rsidRDefault="000057E0" w:rsidP="00583B8A">
      <w:pPr>
        <w:spacing w:after="0" w:line="240" w:lineRule="auto"/>
      </w:pPr>
      <w:r>
        <w:separator/>
      </w:r>
    </w:p>
  </w:endnote>
  <w:endnote w:type="continuationSeparator" w:id="0">
    <w:p w:rsidR="000057E0" w:rsidRDefault="000057E0" w:rsidP="005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498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03E8" w:rsidRDefault="001603E8">
            <w:pPr>
              <w:pStyle w:val="Stopka"/>
              <w:jc w:val="right"/>
            </w:pPr>
            <w:r w:rsidRPr="001603E8">
              <w:rPr>
                <w:sz w:val="20"/>
                <w:szCs w:val="20"/>
              </w:rPr>
              <w:t>str.</w:t>
            </w:r>
            <w:r w:rsidRPr="001603E8">
              <w:rPr>
                <w:bCs/>
                <w:sz w:val="20"/>
                <w:szCs w:val="20"/>
              </w:rPr>
              <w:fldChar w:fldCharType="begin"/>
            </w:r>
            <w:r w:rsidRPr="001603E8">
              <w:rPr>
                <w:bCs/>
                <w:sz w:val="20"/>
                <w:szCs w:val="20"/>
              </w:rPr>
              <w:instrText>PAGE</w:instrText>
            </w:r>
            <w:r w:rsidRPr="001603E8">
              <w:rPr>
                <w:bCs/>
                <w:sz w:val="20"/>
                <w:szCs w:val="20"/>
              </w:rPr>
              <w:fldChar w:fldCharType="separate"/>
            </w:r>
            <w:r w:rsidR="00671DFB">
              <w:rPr>
                <w:bCs/>
                <w:noProof/>
                <w:sz w:val="20"/>
                <w:szCs w:val="20"/>
              </w:rPr>
              <w:t>1</w:t>
            </w:r>
            <w:r w:rsidRPr="001603E8">
              <w:rPr>
                <w:bCs/>
                <w:sz w:val="20"/>
                <w:szCs w:val="20"/>
              </w:rPr>
              <w:fldChar w:fldCharType="end"/>
            </w:r>
            <w:r w:rsidRPr="001603E8">
              <w:rPr>
                <w:sz w:val="20"/>
                <w:szCs w:val="20"/>
              </w:rPr>
              <w:t>/</w:t>
            </w:r>
            <w:r w:rsidRPr="001603E8">
              <w:rPr>
                <w:bCs/>
                <w:sz w:val="20"/>
                <w:szCs w:val="20"/>
              </w:rPr>
              <w:fldChar w:fldCharType="begin"/>
            </w:r>
            <w:r w:rsidRPr="001603E8">
              <w:rPr>
                <w:bCs/>
                <w:sz w:val="20"/>
                <w:szCs w:val="20"/>
              </w:rPr>
              <w:instrText>NUMPAGES</w:instrText>
            </w:r>
            <w:r w:rsidRPr="001603E8">
              <w:rPr>
                <w:bCs/>
                <w:sz w:val="20"/>
                <w:szCs w:val="20"/>
              </w:rPr>
              <w:fldChar w:fldCharType="separate"/>
            </w:r>
            <w:r w:rsidR="00671DFB">
              <w:rPr>
                <w:bCs/>
                <w:noProof/>
                <w:sz w:val="20"/>
                <w:szCs w:val="20"/>
              </w:rPr>
              <w:t>3</w:t>
            </w:r>
            <w:r w:rsidRPr="001603E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603E8" w:rsidRDefault="00160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E0" w:rsidRDefault="000057E0" w:rsidP="00583B8A">
      <w:pPr>
        <w:spacing w:after="0" w:line="240" w:lineRule="auto"/>
      </w:pPr>
      <w:r>
        <w:separator/>
      </w:r>
    </w:p>
  </w:footnote>
  <w:footnote w:type="continuationSeparator" w:id="0">
    <w:p w:rsidR="000057E0" w:rsidRDefault="000057E0" w:rsidP="0058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A"/>
    <w:multiLevelType w:val="singleLevel"/>
    <w:tmpl w:val="ED28DFF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00000068"/>
    <w:multiLevelType w:val="singleLevel"/>
    <w:tmpl w:val="5A865AA2"/>
    <w:name w:val="WW8Num10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</w:rPr>
    </w:lvl>
  </w:abstractNum>
  <w:abstractNum w:abstractNumId="2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426F32"/>
    <w:multiLevelType w:val="hybridMultilevel"/>
    <w:tmpl w:val="B5BC8596"/>
    <w:lvl w:ilvl="0" w:tplc="5C861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4862"/>
    <w:multiLevelType w:val="hybridMultilevel"/>
    <w:tmpl w:val="8DFC8EBC"/>
    <w:lvl w:ilvl="0" w:tplc="234A38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0BD4"/>
    <w:multiLevelType w:val="hybridMultilevel"/>
    <w:tmpl w:val="D02CB910"/>
    <w:lvl w:ilvl="0" w:tplc="0C3CA7E6">
      <w:start w:val="1"/>
      <w:numFmt w:val="bullet"/>
      <w:lvlText w:val=""/>
      <w:lvlJc w:val="left"/>
      <w:pPr>
        <w:ind w:left="3621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8231A8"/>
    <w:multiLevelType w:val="hybridMultilevel"/>
    <w:tmpl w:val="FD4CFF64"/>
    <w:lvl w:ilvl="0" w:tplc="4B740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77C7"/>
    <w:multiLevelType w:val="hybridMultilevel"/>
    <w:tmpl w:val="2C0E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6AD4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396A04"/>
    <w:multiLevelType w:val="hybridMultilevel"/>
    <w:tmpl w:val="E6421686"/>
    <w:lvl w:ilvl="0" w:tplc="8FCE7AA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38E73AD5"/>
    <w:multiLevelType w:val="hybridMultilevel"/>
    <w:tmpl w:val="9568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D1F72"/>
    <w:multiLevelType w:val="hybridMultilevel"/>
    <w:tmpl w:val="E6421686"/>
    <w:lvl w:ilvl="0" w:tplc="8FCE7AA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494D4068"/>
    <w:multiLevelType w:val="hybridMultilevel"/>
    <w:tmpl w:val="54908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77F4"/>
    <w:multiLevelType w:val="hybridMultilevel"/>
    <w:tmpl w:val="5A0E6736"/>
    <w:lvl w:ilvl="0" w:tplc="20B41C44">
      <w:start w:val="1"/>
      <w:numFmt w:val="decimal"/>
      <w:lvlText w:val="%1."/>
      <w:lvlJc w:val="left"/>
      <w:pPr>
        <w:ind w:left="1004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B462DD"/>
    <w:multiLevelType w:val="hybridMultilevel"/>
    <w:tmpl w:val="653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2762F"/>
    <w:multiLevelType w:val="hybridMultilevel"/>
    <w:tmpl w:val="8EB6718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A3318B8"/>
    <w:multiLevelType w:val="multilevel"/>
    <w:tmpl w:val="EFA0676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EF61BD"/>
    <w:multiLevelType w:val="hybridMultilevel"/>
    <w:tmpl w:val="DE667D8C"/>
    <w:lvl w:ilvl="0" w:tplc="A8A2D1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33266"/>
    <w:multiLevelType w:val="hybridMultilevel"/>
    <w:tmpl w:val="2B8E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353D6"/>
    <w:multiLevelType w:val="multilevel"/>
    <w:tmpl w:val="E5826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BB35CFC"/>
    <w:multiLevelType w:val="hybridMultilevel"/>
    <w:tmpl w:val="17E8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20"/>
  </w:num>
  <w:num w:numId="9">
    <w:abstractNumId w:val="7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11"/>
  </w:num>
  <w:num w:numId="19">
    <w:abstractNumId w:val="1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8"/>
    <w:rsid w:val="0000107D"/>
    <w:rsid w:val="000053D4"/>
    <w:rsid w:val="000057E0"/>
    <w:rsid w:val="00015BD4"/>
    <w:rsid w:val="00017954"/>
    <w:rsid w:val="00030CC0"/>
    <w:rsid w:val="00040EB7"/>
    <w:rsid w:val="00043175"/>
    <w:rsid w:val="00057B08"/>
    <w:rsid w:val="00063F53"/>
    <w:rsid w:val="000749ED"/>
    <w:rsid w:val="00081F33"/>
    <w:rsid w:val="000938F5"/>
    <w:rsid w:val="00096559"/>
    <w:rsid w:val="000A31ED"/>
    <w:rsid w:val="000C09A7"/>
    <w:rsid w:val="000C0D1C"/>
    <w:rsid w:val="000C3DDB"/>
    <w:rsid w:val="000D15CA"/>
    <w:rsid w:val="000E3B87"/>
    <w:rsid w:val="001075DA"/>
    <w:rsid w:val="0011087B"/>
    <w:rsid w:val="00124550"/>
    <w:rsid w:val="0012549C"/>
    <w:rsid w:val="00131A3D"/>
    <w:rsid w:val="00143B2A"/>
    <w:rsid w:val="00144EB7"/>
    <w:rsid w:val="00146EC2"/>
    <w:rsid w:val="0015199D"/>
    <w:rsid w:val="001603E8"/>
    <w:rsid w:val="00182A2E"/>
    <w:rsid w:val="001C6474"/>
    <w:rsid w:val="001D161E"/>
    <w:rsid w:val="001D21B1"/>
    <w:rsid w:val="001D2D3D"/>
    <w:rsid w:val="001D5883"/>
    <w:rsid w:val="001D66C0"/>
    <w:rsid w:val="001F47DC"/>
    <w:rsid w:val="001F4E9A"/>
    <w:rsid w:val="001F5EB9"/>
    <w:rsid w:val="001F6A3E"/>
    <w:rsid w:val="002001E5"/>
    <w:rsid w:val="0020568D"/>
    <w:rsid w:val="00205C9B"/>
    <w:rsid w:val="00207DE1"/>
    <w:rsid w:val="0021336C"/>
    <w:rsid w:val="00213BCE"/>
    <w:rsid w:val="002149AD"/>
    <w:rsid w:val="002167AC"/>
    <w:rsid w:val="0021791E"/>
    <w:rsid w:val="002218FE"/>
    <w:rsid w:val="00225D28"/>
    <w:rsid w:val="00226BEE"/>
    <w:rsid w:val="00231153"/>
    <w:rsid w:val="002313CF"/>
    <w:rsid w:val="00240F0B"/>
    <w:rsid w:val="00290157"/>
    <w:rsid w:val="00291AE7"/>
    <w:rsid w:val="002953D4"/>
    <w:rsid w:val="002A1EC9"/>
    <w:rsid w:val="002A3E06"/>
    <w:rsid w:val="002C041B"/>
    <w:rsid w:val="002C1C9F"/>
    <w:rsid w:val="002D6E2B"/>
    <w:rsid w:val="002E4CD2"/>
    <w:rsid w:val="002F2F12"/>
    <w:rsid w:val="003006FF"/>
    <w:rsid w:val="0030508D"/>
    <w:rsid w:val="00305BB2"/>
    <w:rsid w:val="003169C9"/>
    <w:rsid w:val="0032493A"/>
    <w:rsid w:val="00325266"/>
    <w:rsid w:val="0033595A"/>
    <w:rsid w:val="00335DD4"/>
    <w:rsid w:val="0034223B"/>
    <w:rsid w:val="003514AE"/>
    <w:rsid w:val="00360076"/>
    <w:rsid w:val="00371921"/>
    <w:rsid w:val="0037632F"/>
    <w:rsid w:val="003823B4"/>
    <w:rsid w:val="00390D30"/>
    <w:rsid w:val="00392044"/>
    <w:rsid w:val="003B228F"/>
    <w:rsid w:val="003B2859"/>
    <w:rsid w:val="003C6CF6"/>
    <w:rsid w:val="003D39B7"/>
    <w:rsid w:val="003E0656"/>
    <w:rsid w:val="0040361F"/>
    <w:rsid w:val="0040776D"/>
    <w:rsid w:val="00412CA8"/>
    <w:rsid w:val="0041445F"/>
    <w:rsid w:val="00427E87"/>
    <w:rsid w:val="00436116"/>
    <w:rsid w:val="00440619"/>
    <w:rsid w:val="00442948"/>
    <w:rsid w:val="0044710B"/>
    <w:rsid w:val="00455870"/>
    <w:rsid w:val="0047244A"/>
    <w:rsid w:val="004870D1"/>
    <w:rsid w:val="00490814"/>
    <w:rsid w:val="0049661B"/>
    <w:rsid w:val="004C5F52"/>
    <w:rsid w:val="004C788B"/>
    <w:rsid w:val="004C7A3F"/>
    <w:rsid w:val="004D1DF8"/>
    <w:rsid w:val="004E4370"/>
    <w:rsid w:val="004F06C0"/>
    <w:rsid w:val="004F0D4F"/>
    <w:rsid w:val="004F64D7"/>
    <w:rsid w:val="005347ED"/>
    <w:rsid w:val="00551039"/>
    <w:rsid w:val="00554E61"/>
    <w:rsid w:val="0055658C"/>
    <w:rsid w:val="005707D8"/>
    <w:rsid w:val="00576B5E"/>
    <w:rsid w:val="00580DF7"/>
    <w:rsid w:val="00581B83"/>
    <w:rsid w:val="00583B8A"/>
    <w:rsid w:val="00590E6B"/>
    <w:rsid w:val="005928BB"/>
    <w:rsid w:val="005B2144"/>
    <w:rsid w:val="005B41EC"/>
    <w:rsid w:val="005D1DED"/>
    <w:rsid w:val="005E08E7"/>
    <w:rsid w:val="005E4678"/>
    <w:rsid w:val="005F2284"/>
    <w:rsid w:val="005F6277"/>
    <w:rsid w:val="0060436D"/>
    <w:rsid w:val="00615562"/>
    <w:rsid w:val="0062532E"/>
    <w:rsid w:val="006323D7"/>
    <w:rsid w:val="00635414"/>
    <w:rsid w:val="006427A4"/>
    <w:rsid w:val="00662465"/>
    <w:rsid w:val="006669EC"/>
    <w:rsid w:val="00666F03"/>
    <w:rsid w:val="00667A20"/>
    <w:rsid w:val="00671DFB"/>
    <w:rsid w:val="006744D0"/>
    <w:rsid w:val="00684AA5"/>
    <w:rsid w:val="006972C8"/>
    <w:rsid w:val="006A0DC7"/>
    <w:rsid w:val="006A4B7C"/>
    <w:rsid w:val="006C3937"/>
    <w:rsid w:val="007042F9"/>
    <w:rsid w:val="007275C9"/>
    <w:rsid w:val="00730218"/>
    <w:rsid w:val="00730C91"/>
    <w:rsid w:val="00732235"/>
    <w:rsid w:val="00746718"/>
    <w:rsid w:val="00761A13"/>
    <w:rsid w:val="00765972"/>
    <w:rsid w:val="007813FF"/>
    <w:rsid w:val="00783770"/>
    <w:rsid w:val="007839C4"/>
    <w:rsid w:val="00797E77"/>
    <w:rsid w:val="007A6C64"/>
    <w:rsid w:val="007B3E9D"/>
    <w:rsid w:val="007D5867"/>
    <w:rsid w:val="00804AEE"/>
    <w:rsid w:val="00816092"/>
    <w:rsid w:val="0082751C"/>
    <w:rsid w:val="00832407"/>
    <w:rsid w:val="008800CB"/>
    <w:rsid w:val="008A04D8"/>
    <w:rsid w:val="008A1082"/>
    <w:rsid w:val="008B0235"/>
    <w:rsid w:val="008B3526"/>
    <w:rsid w:val="008B4663"/>
    <w:rsid w:val="008B7213"/>
    <w:rsid w:val="008D612C"/>
    <w:rsid w:val="008E0B99"/>
    <w:rsid w:val="008E0E6E"/>
    <w:rsid w:val="008E3E30"/>
    <w:rsid w:val="00906BA6"/>
    <w:rsid w:val="00910A65"/>
    <w:rsid w:val="00911BA2"/>
    <w:rsid w:val="00924A0D"/>
    <w:rsid w:val="009333EB"/>
    <w:rsid w:val="00945397"/>
    <w:rsid w:val="00955D19"/>
    <w:rsid w:val="009653D9"/>
    <w:rsid w:val="00977B43"/>
    <w:rsid w:val="009B433E"/>
    <w:rsid w:val="009C7715"/>
    <w:rsid w:val="009D0293"/>
    <w:rsid w:val="009D10B6"/>
    <w:rsid w:val="009E2256"/>
    <w:rsid w:val="009F1625"/>
    <w:rsid w:val="009F2220"/>
    <w:rsid w:val="009F2348"/>
    <w:rsid w:val="00A63F5D"/>
    <w:rsid w:val="00A712E8"/>
    <w:rsid w:val="00A81A3B"/>
    <w:rsid w:val="00A9033C"/>
    <w:rsid w:val="00A93CA2"/>
    <w:rsid w:val="00A95526"/>
    <w:rsid w:val="00AA3BAD"/>
    <w:rsid w:val="00AA7A48"/>
    <w:rsid w:val="00AB40DB"/>
    <w:rsid w:val="00AD5EB7"/>
    <w:rsid w:val="00AE1BCC"/>
    <w:rsid w:val="00AF1407"/>
    <w:rsid w:val="00AF55CE"/>
    <w:rsid w:val="00B00369"/>
    <w:rsid w:val="00B057D7"/>
    <w:rsid w:val="00B310A7"/>
    <w:rsid w:val="00B62F49"/>
    <w:rsid w:val="00B6341C"/>
    <w:rsid w:val="00B635A6"/>
    <w:rsid w:val="00B64CD5"/>
    <w:rsid w:val="00B714C5"/>
    <w:rsid w:val="00B850B1"/>
    <w:rsid w:val="00B8578F"/>
    <w:rsid w:val="00B96151"/>
    <w:rsid w:val="00B96704"/>
    <w:rsid w:val="00BA18BD"/>
    <w:rsid w:val="00BA1BCA"/>
    <w:rsid w:val="00BA2089"/>
    <w:rsid w:val="00BA3C98"/>
    <w:rsid w:val="00BA76BF"/>
    <w:rsid w:val="00BB0411"/>
    <w:rsid w:val="00BB3F49"/>
    <w:rsid w:val="00BB5518"/>
    <w:rsid w:val="00BC327D"/>
    <w:rsid w:val="00BC35BC"/>
    <w:rsid w:val="00BC74E4"/>
    <w:rsid w:val="00BF2D86"/>
    <w:rsid w:val="00BF5660"/>
    <w:rsid w:val="00C00AD2"/>
    <w:rsid w:val="00C0272A"/>
    <w:rsid w:val="00C0513B"/>
    <w:rsid w:val="00C07A45"/>
    <w:rsid w:val="00C10B46"/>
    <w:rsid w:val="00C1791A"/>
    <w:rsid w:val="00C22457"/>
    <w:rsid w:val="00C30FE7"/>
    <w:rsid w:val="00C325E5"/>
    <w:rsid w:val="00C40679"/>
    <w:rsid w:val="00C45878"/>
    <w:rsid w:val="00C629E0"/>
    <w:rsid w:val="00C913E2"/>
    <w:rsid w:val="00C9363F"/>
    <w:rsid w:val="00C977BF"/>
    <w:rsid w:val="00CA085C"/>
    <w:rsid w:val="00CA634B"/>
    <w:rsid w:val="00CB2093"/>
    <w:rsid w:val="00CB21A0"/>
    <w:rsid w:val="00CB4C08"/>
    <w:rsid w:val="00CC29E6"/>
    <w:rsid w:val="00CC4827"/>
    <w:rsid w:val="00CE577D"/>
    <w:rsid w:val="00CF36C4"/>
    <w:rsid w:val="00CF76D1"/>
    <w:rsid w:val="00D04B56"/>
    <w:rsid w:val="00D13949"/>
    <w:rsid w:val="00D22916"/>
    <w:rsid w:val="00D46E37"/>
    <w:rsid w:val="00D73FAE"/>
    <w:rsid w:val="00D80173"/>
    <w:rsid w:val="00D913F2"/>
    <w:rsid w:val="00DA5B59"/>
    <w:rsid w:val="00DA646E"/>
    <w:rsid w:val="00DC5B1D"/>
    <w:rsid w:val="00DD7B1C"/>
    <w:rsid w:val="00DE35D0"/>
    <w:rsid w:val="00DF76C4"/>
    <w:rsid w:val="00E13AFD"/>
    <w:rsid w:val="00E6397E"/>
    <w:rsid w:val="00E64FFA"/>
    <w:rsid w:val="00E70C40"/>
    <w:rsid w:val="00E7617C"/>
    <w:rsid w:val="00E85C54"/>
    <w:rsid w:val="00E96568"/>
    <w:rsid w:val="00EA360F"/>
    <w:rsid w:val="00EB708A"/>
    <w:rsid w:val="00ED2190"/>
    <w:rsid w:val="00ED46C6"/>
    <w:rsid w:val="00ED6DD3"/>
    <w:rsid w:val="00ED7DD3"/>
    <w:rsid w:val="00EE2730"/>
    <w:rsid w:val="00F02753"/>
    <w:rsid w:val="00F05340"/>
    <w:rsid w:val="00F11A23"/>
    <w:rsid w:val="00F204CD"/>
    <w:rsid w:val="00F24C62"/>
    <w:rsid w:val="00F2523E"/>
    <w:rsid w:val="00F26072"/>
    <w:rsid w:val="00F30E5A"/>
    <w:rsid w:val="00F33605"/>
    <w:rsid w:val="00F62BCE"/>
    <w:rsid w:val="00F6439E"/>
    <w:rsid w:val="00F800C9"/>
    <w:rsid w:val="00FB2AA2"/>
    <w:rsid w:val="00FD3F91"/>
    <w:rsid w:val="00FD5D25"/>
    <w:rsid w:val="00FD5D82"/>
    <w:rsid w:val="00FE1BC1"/>
    <w:rsid w:val="00FF0E9C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782C8"/>
  <w15:docId w15:val="{E63D8AD2-3AC9-4FFE-8866-2944131C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467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718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8A"/>
  </w:style>
  <w:style w:type="paragraph" w:styleId="Stopka">
    <w:name w:val="footer"/>
    <w:basedOn w:val="Normalny"/>
    <w:link w:val="StopkaZnak"/>
    <w:uiPriority w:val="99"/>
    <w:unhideWhenUsed/>
    <w:rsid w:val="005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8A"/>
  </w:style>
  <w:style w:type="paragraph" w:styleId="Akapitzlist">
    <w:name w:val="List Paragraph"/>
    <w:aliases w:val="Standard,normalny tekst,CW_Lista,Dot pt,F5 List Paragraph,List Paragraph1,Recommendation,List Paragraph11,Kolorowa lista — akcent 11,Numerowanie,List Paragraph,Akapit z listą2,List Paragraph Bullet 1,Akapit z listą11,No Spacing1,Obiekt"/>
    <w:basedOn w:val="Normalny"/>
    <w:uiPriority w:val="34"/>
    <w:qFormat/>
    <w:rsid w:val="001D16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6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8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13A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55D19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3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B3E9D"/>
    <w:rPr>
      <w:sz w:val="16"/>
      <w:szCs w:val="16"/>
    </w:rPr>
  </w:style>
  <w:style w:type="paragraph" w:customStyle="1" w:styleId="Tekstpodstawowy21">
    <w:name w:val="Tekst podstawowy 21"/>
    <w:basedOn w:val="Normalny"/>
    <w:rsid w:val="007B3E9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0">
    <w:name w:val="Tekst podstawowy 210"/>
    <w:basedOn w:val="Normalny"/>
    <w:rsid w:val="009E22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4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4D0"/>
  </w:style>
  <w:style w:type="character" w:styleId="Odwoaniedokomentarza">
    <w:name w:val="annotation reference"/>
    <w:basedOn w:val="Domylnaczcionkaakapitu"/>
    <w:uiPriority w:val="99"/>
    <w:semiHidden/>
    <w:unhideWhenUsed/>
    <w:rsid w:val="009F2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3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  <ib14a0af056847df8ede9d8476ae3a90 xmlns="85d18ffb-243c-45f3-876f-30a96ce4cf8d">
      <Terms xmlns="http://schemas.microsoft.com/office/infopath/2007/PartnerControls"/>
    </ib14a0af056847df8ede9d8476ae3a9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3C232189ACD47B3C366A7A9E66FFA" ma:contentTypeVersion="9" ma:contentTypeDescription="Utwórz nowy dokument." ma:contentTypeScope="" ma:versionID="eee98b2dd5e65bbdb0e9dded04cb0cce">
  <xsd:schema xmlns:xsd="http://www.w3.org/2001/XMLSchema" xmlns:xs="http://www.w3.org/2001/XMLSchema" xmlns:p="http://schemas.microsoft.com/office/2006/metadata/properties" xmlns:ns2="56b597f2-5b04-4829-bf68-6273cd59f871" xmlns:ns3="85d18ffb-243c-45f3-876f-30a96ce4cf8d" xmlns:ns4="515e3a81-78db-427e-8243-7b98e8c0d178" targetNamespace="http://schemas.microsoft.com/office/2006/metadata/properties" ma:root="true" ma:fieldsID="127742ae982537b7c27819a16585a3e8" ns2:_="" ns3:_="" ns4:_="">
    <xsd:import namespace="56b597f2-5b04-4829-bf68-6273cd59f871"/>
    <xsd:import namespace="85d18ffb-243c-45f3-876f-30a96ce4cf8d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b14a0af056847df8ede9d8476ae3a9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8ffb-243c-45f3-876f-30a96ce4cf8d" elementFormDefault="qualified">
    <xsd:import namespace="http://schemas.microsoft.com/office/2006/documentManagement/types"/>
    <xsd:import namespace="http://schemas.microsoft.com/office/infopath/2007/PartnerControls"/>
    <xsd:element name="ib14a0af056847df8ede9d8476ae3a90" ma:index="14" nillable="true" ma:taxonomy="true" ma:internalName="ib14a0af056847df8ede9d8476ae3a90" ma:taxonomyFieldName="Typ_x0020_dokumentu" ma:displayName="Typ dokumentu" ma:readOnly="false" ma:default="" ma:fieldId="{2b14a0af-0568-47df-8ede-9d8476ae3a90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8651-785E-400C-893A-3AB1C1C950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8255FD-D299-47D8-A166-E8A5F8B6C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5EBE2-5347-4CD6-8CBA-45B53C99460E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85d18ffb-243c-45f3-876f-30a96ce4cf8d"/>
  </ds:schemaRefs>
</ds:datastoreItem>
</file>

<file path=customXml/itemProps4.xml><?xml version="1.0" encoding="utf-8"?>
<ds:datastoreItem xmlns:ds="http://schemas.openxmlformats.org/officeDocument/2006/customXml" ds:itemID="{DBC0DCE6-AE07-4290-A6AC-CC70C066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85d18ffb-243c-45f3-876f-30a96ce4cf8d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843815-BC9A-445E-B189-4B0774A1BE3E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2D62AE4-3576-4D4E-BF2F-E31976C7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Piekut Malwina</cp:lastModifiedBy>
  <cp:revision>2</cp:revision>
  <cp:lastPrinted>2024-07-15T05:32:00Z</cp:lastPrinted>
  <dcterms:created xsi:type="dcterms:W3CDTF">2024-10-14T07:27:00Z</dcterms:created>
  <dcterms:modified xsi:type="dcterms:W3CDTF">2024-10-14T07:27:00Z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2c3c43d7-7aa2-4cfa-9e90-fdfbf7ac801d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ContentTypeId">
    <vt:lpwstr>0x0101006483C232189ACD47B3C366A7A9E66FFA</vt:lpwstr>
  </property>
  <property fmtid="{D5CDD505-2E9C-101B-9397-08002B2CF9AE}" pid="10" name="Typ dokumentu">
    <vt:lpwstr/>
  </property>
  <property fmtid="{D5CDD505-2E9C-101B-9397-08002B2CF9AE}" pid="11" name="s5636:Creator type=author">
    <vt:lpwstr>Monia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10.11.46.8</vt:lpwstr>
  </property>
</Properties>
</file>