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280D3842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E47936" w:rsidRPr="00E4793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DD454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notebooka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367541E1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</w:t>
            </w:r>
            <w:r w:rsidR="00195B0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045.2021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</w:t>
            </w:r>
            <w:r w:rsidR="00E4793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604E68" w14:textId="53FBFD53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4FAA80" w14:textId="77777777" w:rsidR="002F5524" w:rsidRPr="00E054BA" w:rsidRDefault="002F5524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A06A79F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C596389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C4C8ABD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F7333D2" w14:textId="77777777" w:rsidR="009F0260" w:rsidRDefault="00272E3F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</w:t>
      </w:r>
    </w:p>
    <w:p w14:paraId="2FE66E73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27FBA8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EE399E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C253737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C42A7F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F47F327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2D2BA6" w14:textId="77777777" w:rsidR="009F0260" w:rsidRDefault="009F0260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31980437" w:rsidR="00272E3F" w:rsidRDefault="000B0AAE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5EA6538A" w14:textId="77777777" w:rsidR="009F0260" w:rsidRPr="009F0260" w:rsidRDefault="009F0260" w:rsidP="009F026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9F0260">
        <w:rPr>
          <w:rFonts w:eastAsia="Calibri" w:cs="Arial"/>
          <w:b/>
          <w:color w:val="222A35" w:themeColor="text2" w:themeShade="80"/>
          <w:szCs w:val="20"/>
          <w:lang w:eastAsia="pl-PL"/>
        </w:rPr>
        <w:t>Zastępca Kanclerza ds. Administracyjnych</w:t>
      </w:r>
    </w:p>
    <w:p w14:paraId="2DDFAFDF" w14:textId="77777777" w:rsidR="009F0260" w:rsidRPr="009F0260" w:rsidRDefault="009F0260" w:rsidP="009F026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9F0260">
        <w:rPr>
          <w:rFonts w:eastAsia="Calibri" w:cs="Arial"/>
          <w:b/>
          <w:color w:val="222A35" w:themeColor="text2" w:themeShade="80"/>
          <w:szCs w:val="20"/>
          <w:lang w:eastAsia="pl-PL"/>
        </w:rPr>
        <w:t>i Zarządzania Mieniem</w:t>
      </w:r>
    </w:p>
    <w:p w14:paraId="16E0984D" w14:textId="796AD693" w:rsidR="009F0260" w:rsidRPr="00E054BA" w:rsidRDefault="009F0260" w:rsidP="009F026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9F0260">
        <w:rPr>
          <w:rFonts w:eastAsia="Calibri" w:cs="Arial"/>
          <w:b/>
          <w:color w:val="222A35" w:themeColor="text2" w:themeShade="80"/>
          <w:szCs w:val="20"/>
          <w:lang w:eastAsia="pl-PL"/>
        </w:rPr>
        <w:t>mgr Krystyna Fus</w:t>
      </w:r>
    </w:p>
    <w:p w14:paraId="1F90B228" w14:textId="35E4F277" w:rsidR="00E054BA" w:rsidRDefault="00E054BA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B369567" w14:textId="680E4B03" w:rsidR="00E47936" w:rsidRDefault="00E4793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7608D95" w14:textId="77777777" w:rsidR="00E47936" w:rsidRDefault="00E4793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1CEF4535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195B0B">
        <w:rPr>
          <w:rFonts w:eastAsia="Calibri" w:cs="Arial"/>
          <w:color w:val="222A35" w:themeColor="text2" w:themeShade="80"/>
          <w:szCs w:val="20"/>
          <w:lang w:eastAsia="pl-PL"/>
        </w:rPr>
        <w:t>czerwiec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0B6EE463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D517CD8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50C55100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1D1D0D1B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02B04E68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020ABC82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B2BE88A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717E98A2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0969506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12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45A3A2A8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16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7029FA58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6D50CFC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6CA5CFC7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2BD3AD78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4C68C45B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153C2E02" w:rsidR="002E4CF0" w:rsidRPr="002E4CF0" w:rsidRDefault="009F0260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8E2981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1FB6ABC2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………………</w:t>
      </w:r>
      <w:r w:rsidR="00244022">
        <w:rPr>
          <w:rFonts w:cs="Arial"/>
          <w:color w:val="222A35" w:themeColor="text2" w:themeShade="80"/>
          <w:szCs w:val="20"/>
        </w:rPr>
        <w:t>…...….załącznik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FEDA390" w14:textId="77777777" w:rsidR="00125460" w:rsidRDefault="00125460" w:rsidP="00432B95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431E63F6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9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1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29F535B0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 xml:space="preserve">. z 2019 r. poz. 2019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 xml:space="preserve">. zm.)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136EC8CA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214 000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074C43B4" w:rsidR="00F85C46" w:rsidRPr="00103256" w:rsidRDefault="00F85C46" w:rsidP="00E93F00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E47936" w:rsidRPr="00E47936">
        <w:rPr>
          <w:rFonts w:eastAsia="Calibri"/>
        </w:rPr>
        <w:t xml:space="preserve">Dostawa </w:t>
      </w:r>
      <w:r w:rsidR="00195B0B">
        <w:rPr>
          <w:rFonts w:eastAsia="Calibri"/>
        </w:rPr>
        <w:t>notebooka</w:t>
      </w:r>
      <w:r w:rsidR="00103256" w:rsidRPr="00103256">
        <w:rPr>
          <w:rFonts w:eastAsia="Calibri"/>
        </w:rPr>
        <w:t>”;</w:t>
      </w:r>
    </w:p>
    <w:p w14:paraId="0367ED41" w14:textId="36D752FB" w:rsidR="00DD4546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DZP.381.</w:t>
      </w:r>
      <w:r w:rsidR="00195B0B">
        <w:rPr>
          <w:b/>
        </w:rPr>
        <w:t>045.2021</w:t>
      </w:r>
      <w:r w:rsidR="00384DA3" w:rsidRPr="00103256">
        <w:rPr>
          <w:b/>
        </w:rPr>
        <w:t>.DW</w:t>
      </w:r>
      <w:r w:rsidR="00E47936">
        <w:rPr>
          <w:b/>
        </w:rPr>
        <w:t>K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</w:p>
    <w:p w14:paraId="5C555F00" w14:textId="6894E54B" w:rsidR="00F85C46" w:rsidRDefault="00DD4546" w:rsidP="00E93F00">
      <w:pPr>
        <w:pStyle w:val="Nagwek3"/>
        <w:ind w:left="851" w:hanging="284"/>
      </w:pPr>
      <w:r w:rsidRPr="00E6568D">
        <w:rPr>
          <w:szCs w:val="20"/>
        </w:rPr>
        <w:t>Przedmiot zamówienia jest realizowany w ramach projektu</w:t>
      </w:r>
      <w:r>
        <w:rPr>
          <w:szCs w:val="20"/>
        </w:rPr>
        <w:t xml:space="preserve"> </w:t>
      </w:r>
      <w:r w:rsidRPr="00E6568D">
        <w:rPr>
          <w:b/>
          <w:szCs w:val="20"/>
        </w:rPr>
        <w:t xml:space="preserve">„Uniwersytet Młodego Odkrywcy w Śląskim Międzyuczelnianym Centrum Edukacji i Badań Interdyscyplinarnych- UMO SMCEBI”, </w:t>
      </w:r>
      <w:r w:rsidRPr="00E6568D">
        <w:rPr>
          <w:szCs w:val="20"/>
        </w:rPr>
        <w:t>w ramach Programu Operacyjnego Wiedza Edukacja Rozwój  2014-2020, współfinasowanego ze środków Europejskiego Funduszu Społecznego, nr umowy WND-POWR.03.01.00-00-U152/17-00</w:t>
      </w:r>
      <w:r w:rsidRPr="00E6568D">
        <w:rPr>
          <w:iCs/>
          <w:szCs w:val="20"/>
        </w:rPr>
        <w:t>,</w:t>
      </w:r>
      <w:r w:rsidRPr="00E6568D">
        <w:rPr>
          <w:b/>
          <w:i/>
          <w:iCs/>
          <w:szCs w:val="20"/>
        </w:rPr>
        <w:t xml:space="preserve"> </w:t>
      </w:r>
      <w:r w:rsidRPr="00E6568D">
        <w:rPr>
          <w:szCs w:val="20"/>
        </w:rPr>
        <w:t>zwanego dalej Projektem</w:t>
      </w:r>
    </w:p>
    <w:p w14:paraId="40AB1996" w14:textId="1C6752D2" w:rsidR="00F85C46" w:rsidRPr="00AF7FE4" w:rsidRDefault="00F85C46" w:rsidP="00432B95">
      <w:pPr>
        <w:pStyle w:val="Nagwek1"/>
        <w:keepNext w:val="0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49787ABD" w:rsidR="009F1A4A" w:rsidRDefault="00170642" w:rsidP="00E93F00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621A35" w:rsidRPr="009F1A4A">
        <w:rPr>
          <w:rFonts w:eastAsia="Calibri" w:cs="Arial"/>
          <w:szCs w:val="20"/>
        </w:rPr>
        <w:t xml:space="preserve">dostawa </w:t>
      </w:r>
      <w:r w:rsidR="00DD4546" w:rsidRPr="009F1A4A">
        <w:rPr>
          <w:rFonts w:eastAsia="Calibri" w:cs="Arial"/>
          <w:b/>
          <w:szCs w:val="20"/>
        </w:rPr>
        <w:t>notebooka 12,3”</w:t>
      </w:r>
      <w:r w:rsidR="009F1A4A">
        <w:rPr>
          <w:rFonts w:eastAsia="Calibri" w:cs="Arial"/>
          <w:b/>
          <w:szCs w:val="20"/>
        </w:rPr>
        <w:t xml:space="preserve"> (1 szt.)</w:t>
      </w:r>
      <w:r w:rsidR="00621A35" w:rsidRPr="009F1A4A">
        <w:rPr>
          <w:rFonts w:eastAsia="Calibri" w:cs="Arial"/>
          <w:szCs w:val="20"/>
        </w:rPr>
        <w:t xml:space="preserve">, </w:t>
      </w:r>
      <w:r w:rsidRPr="009F1A4A">
        <w:rPr>
          <w:rFonts w:eastAsia="Calibri" w:cs="Arial"/>
          <w:szCs w:val="20"/>
        </w:rPr>
        <w:t>określon</w:t>
      </w:r>
      <w:r w:rsidR="00DD4546" w:rsidRPr="009F1A4A">
        <w:rPr>
          <w:rFonts w:eastAsia="Calibri" w:cs="Arial"/>
          <w:szCs w:val="20"/>
        </w:rPr>
        <w:t>ego</w:t>
      </w:r>
      <w:r w:rsidRPr="009F1A4A">
        <w:rPr>
          <w:rFonts w:eastAsia="Calibri" w:cs="Arial"/>
          <w:szCs w:val="20"/>
        </w:rPr>
        <w:t xml:space="preserve"> w załączniku nr 2</w:t>
      </w:r>
      <w:r w:rsidR="00891B36" w:rsidRPr="009F1A4A">
        <w:rPr>
          <w:rFonts w:eastAsia="Calibri" w:cs="Arial"/>
          <w:szCs w:val="20"/>
        </w:rPr>
        <w:t xml:space="preserve"> do SWZ, zwan</w:t>
      </w:r>
      <w:r w:rsidR="00DD4546" w:rsidRPr="009F1A4A">
        <w:rPr>
          <w:rFonts w:eastAsia="Calibri" w:cs="Arial"/>
          <w:szCs w:val="20"/>
        </w:rPr>
        <w:t>ego</w:t>
      </w:r>
      <w:r w:rsidR="00891B36" w:rsidRPr="009F1A4A">
        <w:rPr>
          <w:rFonts w:eastAsia="Calibri" w:cs="Arial"/>
          <w:szCs w:val="20"/>
        </w:rPr>
        <w:t xml:space="preserve"> dalej: „</w:t>
      </w:r>
      <w:r w:rsidR="00DD4546" w:rsidRPr="009F1A4A">
        <w:rPr>
          <w:rFonts w:eastAsia="Calibri" w:cs="Arial"/>
          <w:szCs w:val="20"/>
        </w:rPr>
        <w:t>sprzętem</w:t>
      </w:r>
      <w:r w:rsidRPr="009F1A4A">
        <w:rPr>
          <w:rFonts w:eastAsia="Calibri" w:cs="Arial"/>
          <w:szCs w:val="20"/>
        </w:rPr>
        <w:t>”.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9F1A4A">
        <w:rPr>
          <w:rFonts w:eastAsia="Calibri" w:cs="Arial"/>
          <w:bCs w:val="0"/>
          <w:szCs w:val="20"/>
        </w:rPr>
        <w:t>y</w:t>
      </w:r>
      <w:r w:rsidR="009F1A4A">
        <w:rPr>
          <w:rFonts w:eastAsia="Calibri" w:cs="Arial"/>
          <w:szCs w:val="20"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sprzęt </w:t>
      </w:r>
      <w:r w:rsidR="009F1A4A">
        <w:rPr>
          <w:rFonts w:eastAsia="Calibri" w:cs="Arial"/>
          <w:szCs w:val="20"/>
        </w:rPr>
        <w:t>mus</w:t>
      </w:r>
      <w:r w:rsidR="009F1A4A">
        <w:rPr>
          <w:rFonts w:eastAsia="Calibri" w:cs="Arial"/>
          <w:bCs w:val="0"/>
          <w:szCs w:val="20"/>
        </w:rPr>
        <w:t>i</w:t>
      </w:r>
      <w:r w:rsidR="009F1A4A">
        <w:rPr>
          <w:rFonts w:eastAsia="Calibri" w:cs="Arial"/>
          <w:szCs w:val="20"/>
        </w:rPr>
        <w:t xml:space="preserve"> być fabrycznie now</w:t>
      </w:r>
      <w:r w:rsidR="009F1A4A">
        <w:rPr>
          <w:rFonts w:eastAsia="Calibri" w:cs="Arial"/>
          <w:bCs w:val="0"/>
          <w:szCs w:val="20"/>
        </w:rPr>
        <w:t>y</w:t>
      </w:r>
      <w:r w:rsidR="009F1A4A">
        <w:rPr>
          <w:rFonts w:eastAsia="Calibri" w:cs="Arial"/>
          <w:szCs w:val="20"/>
        </w:rPr>
        <w:t xml:space="preserve"> i nieużywan</w:t>
      </w:r>
      <w:r w:rsidR="009F1A4A">
        <w:rPr>
          <w:rFonts w:eastAsia="Calibri" w:cs="Arial"/>
          <w:bCs w:val="0"/>
          <w:szCs w:val="20"/>
        </w:rPr>
        <w:t>y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9" w:name="_Hlk62805908"/>
      <w:r w:rsidR="009F1A4A">
        <w:rPr>
          <w:noProof/>
        </w:rPr>
        <w:t>(rok produkcji: nie wcześniej niż 2020), spełniać wymagane normy, posiadać stosowne certyfikaty, być dopuszczonym do sprzedaży i użytkowania na terenie RP</w:t>
      </w:r>
      <w:r w:rsidR="009F1A4A">
        <w:rPr>
          <w:noProof/>
          <w:szCs w:val="20"/>
        </w:rPr>
        <w:t xml:space="preserve"> oraz </w:t>
      </w:r>
      <w:r w:rsidR="009F1A4A">
        <w:rPr>
          <w:noProof/>
          <w:szCs w:val="20"/>
        </w:rPr>
        <w:lastRenderedPageBreak/>
        <w:t>znajdować się w aktualnej ofercie producenta</w:t>
      </w:r>
      <w:r w:rsidR="009F1A4A">
        <w:rPr>
          <w:noProof/>
        </w:rPr>
        <w:t>.</w:t>
      </w:r>
      <w:bookmarkEnd w:id="9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>Wykonawca zobowiązany jest zapewnić bezpłatny serwis gwarancyjny sprzętu.</w:t>
      </w:r>
    </w:p>
    <w:p w14:paraId="02319158" w14:textId="69500F03" w:rsidR="00170642" w:rsidRPr="0038231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>Zakres zamówienia obe</w:t>
      </w:r>
      <w:r w:rsidR="00842750">
        <w:rPr>
          <w:rFonts w:eastAsia="Calibri" w:cs="Arial"/>
          <w:bCs/>
          <w:color w:val="222A35" w:themeColor="text2" w:themeShade="80"/>
          <w:szCs w:val="20"/>
        </w:rPr>
        <w:t xml:space="preserve">jmuje również dostarczenie </w:t>
      </w:r>
      <w:r w:rsidR="00DD4546">
        <w:rPr>
          <w:rFonts w:eastAsia="Calibri" w:cs="Arial"/>
          <w:bCs/>
          <w:color w:val="222A35" w:themeColor="text2" w:themeShade="80"/>
          <w:szCs w:val="20"/>
        </w:rPr>
        <w:t>sprzętu</w:t>
      </w:r>
      <w:r w:rsidR="00621A35">
        <w:rPr>
          <w:rFonts w:eastAsia="Calibri" w:cs="Arial"/>
          <w:bCs/>
          <w:color w:val="222A35" w:themeColor="text2" w:themeShade="80"/>
          <w:szCs w:val="20"/>
        </w:rPr>
        <w:t xml:space="preserve"> 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do siedziby Zamawiającego wraz z</w:t>
      </w:r>
      <w:r w:rsidR="00382315"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rozładunkiem, wniesieniem do miejsca wskazanego prz</w:t>
      </w:r>
      <w:r w:rsidR="00842750">
        <w:rPr>
          <w:rFonts w:eastAsia="Calibri" w:cs="Arial"/>
          <w:bCs/>
          <w:color w:val="222A35" w:themeColor="text2" w:themeShade="80"/>
          <w:szCs w:val="20"/>
        </w:rPr>
        <w:t>ez Zamawiającego</w:t>
      </w:r>
      <w:r w:rsidR="00103256"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4395B670" w14:textId="19742462" w:rsidR="00404C44" w:rsidRPr="00382315" w:rsidRDefault="0055317F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5DFCE7EA" w14:textId="0F4F8737" w:rsidR="00004E96" w:rsidRPr="00004E96" w:rsidRDefault="00DD4546" w:rsidP="00432B95">
      <w:pPr>
        <w:ind w:firstLine="0"/>
        <w:rPr>
          <w:rFonts w:cs="Arial"/>
          <w:bCs/>
          <w:szCs w:val="20"/>
          <w:lang w:eastAsia="pl-PL"/>
        </w:rPr>
      </w:pPr>
      <w:r w:rsidRPr="00DD4546">
        <w:rPr>
          <w:rFonts w:cs="Arial"/>
          <w:szCs w:val="20"/>
          <w:lang w:eastAsia="pl-PL"/>
        </w:rPr>
        <w:t>30213100-6 Komputery przenośne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77777777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0670AC0C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9F1A4A">
        <w:rPr>
          <w:rFonts w:eastAsia="Calibri"/>
          <w:lang w:val="pl-PL"/>
        </w:rPr>
        <w:t>ego</w:t>
      </w:r>
      <w:r w:rsidR="009F21F0">
        <w:rPr>
          <w:rFonts w:eastAsia="Calibri"/>
        </w:rPr>
        <w:t xml:space="preserve"> </w:t>
      </w:r>
      <w:r w:rsidR="009F1A4A">
        <w:rPr>
          <w:rFonts w:eastAsia="Calibri"/>
          <w:lang w:val="pl-PL"/>
        </w:rPr>
        <w:t>sprzętu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52D882C1" w:rsidR="00FB3F58" w:rsidRPr="00382315" w:rsidRDefault="00FB3F58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7EB13B12" w14:textId="77777777" w:rsidR="009F1A4A" w:rsidRDefault="009F1A4A" w:rsidP="00E93F00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>Przedmiotowe zamówienie jest częścią większego zamówienia udzielanego w częściach. Zamawiający nie dopuszcza w niniejszym postępowaniu możliwości składania ofert częściowych.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432B95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2BE846B7" w14:textId="77777777" w:rsidR="00CD5AEB" w:rsidRDefault="00CD5AEB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06B9A911" w14:textId="341BDC89" w:rsidR="000518A0" w:rsidRPr="00382315" w:rsidRDefault="00F0343C" w:rsidP="00432B95">
      <w:pPr>
        <w:pStyle w:val="Nagwek2"/>
        <w:keepNext w:val="0"/>
        <w:ind w:left="567" w:hanging="283"/>
      </w:pPr>
      <w:r w:rsidRPr="00382315">
        <w:lastRenderedPageBreak/>
        <w:t xml:space="preserve">Termin realizacji zamówienia: do </w:t>
      </w:r>
      <w:r w:rsidR="009F1A4A">
        <w:t>21</w:t>
      </w:r>
      <w:r w:rsidR="00132DCD">
        <w:t xml:space="preserve"> dni </w:t>
      </w:r>
      <w:r w:rsidRPr="00382315">
        <w:t xml:space="preserve">od daty zawarcia umowy. </w:t>
      </w:r>
    </w:p>
    <w:p w14:paraId="7BEEE217" w14:textId="3DEEA934" w:rsidR="00F85C46" w:rsidRPr="00BF716F" w:rsidRDefault="00F0343C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4C0D6D7" w14:textId="51E34D00" w:rsidR="00F85C46" w:rsidRPr="00382315" w:rsidRDefault="00F85C46" w:rsidP="00E93F00">
      <w:pPr>
        <w:pStyle w:val="Nagwek3"/>
        <w:numPr>
          <w:ilvl w:val="0"/>
          <w:numId w:val="12"/>
        </w:numPr>
        <w:ind w:left="851" w:hanging="284"/>
      </w:pPr>
      <w:r w:rsidRPr="00382315">
        <w:t xml:space="preserve">Adres dostawy: </w:t>
      </w:r>
      <w:bookmarkStart w:id="10" w:name="_Hlk64364983"/>
      <w:r w:rsidR="00132DCD" w:rsidRPr="00132DCD">
        <w:t xml:space="preserve">Uniwersytet Śląski w Katowicach, </w:t>
      </w:r>
      <w:r w:rsidR="00132DCD">
        <w:t>Dział Logistyki</w:t>
      </w:r>
      <w:r w:rsidR="00132DCD" w:rsidRPr="00132DCD">
        <w:t>,  ul. Bankowa 1</w:t>
      </w:r>
      <w:r w:rsidR="00132DCD">
        <w:t>2 pok. 420</w:t>
      </w:r>
      <w:r w:rsidR="00132DCD" w:rsidRPr="00132DCD">
        <w:t>, 40</w:t>
      </w:r>
      <w:r w:rsidR="004C4112">
        <w:noBreakHyphen/>
      </w:r>
      <w:r w:rsidR="00132DCD" w:rsidRPr="00132DCD">
        <w:t>007 Katowice</w:t>
      </w:r>
      <w:bookmarkEnd w:id="10"/>
    </w:p>
    <w:p w14:paraId="15FD7445" w14:textId="308E4364" w:rsidR="009F1A4A" w:rsidRPr="009F1A4A" w:rsidRDefault="009F1A4A" w:rsidP="00E93F00">
      <w:pPr>
        <w:pStyle w:val="Nagwek3"/>
        <w:numPr>
          <w:ilvl w:val="0"/>
          <w:numId w:val="12"/>
        </w:numPr>
        <w:ind w:left="851" w:hanging="284"/>
      </w:pPr>
      <w:r w:rsidRPr="009F1A4A">
        <w:t xml:space="preserve">Wymagany minimalny termin gwarancji na oferowany sprzęt wynosi: </w:t>
      </w:r>
      <w:r w:rsidR="001F5366">
        <w:rPr>
          <w:b/>
        </w:rPr>
        <w:t>24</w:t>
      </w:r>
      <w:r w:rsidRPr="009F1A4A">
        <w:rPr>
          <w:b/>
        </w:rPr>
        <w:t xml:space="preserve"> miesi</w:t>
      </w:r>
      <w:r w:rsidR="001F5366">
        <w:rPr>
          <w:b/>
        </w:rPr>
        <w:t>ące</w:t>
      </w:r>
      <w:r>
        <w:rPr>
          <w:b/>
        </w:rPr>
        <w:t>.</w:t>
      </w:r>
    </w:p>
    <w:p w14:paraId="1D291F47" w14:textId="719D036E" w:rsidR="00C80397" w:rsidRPr="00C80397" w:rsidRDefault="009F1A4A" w:rsidP="00E93F00">
      <w:pPr>
        <w:pStyle w:val="Nagwek3"/>
        <w:numPr>
          <w:ilvl w:val="0"/>
          <w:numId w:val="12"/>
        </w:numPr>
        <w:ind w:left="851" w:hanging="284"/>
      </w:pPr>
      <w:r w:rsidRPr="009F1A4A">
        <w:t>Wymagany czas reakcji serwisu: najpóźniej w ciągu 4 dni roboczych od zgłoszenia wady.</w:t>
      </w:r>
      <w:r>
        <w:t xml:space="preserve"> </w:t>
      </w:r>
      <w:r w:rsidR="00D265FF">
        <w:t xml:space="preserve">Wykonawca może </w:t>
      </w:r>
      <w:r>
        <w:t>skrócić</w:t>
      </w:r>
      <w:r w:rsidR="00D265FF">
        <w:t xml:space="preserve"> oferowany </w:t>
      </w:r>
      <w:r w:rsidRPr="009F1A4A">
        <w:t>czas reakcji serwisu</w:t>
      </w:r>
      <w:r w:rsidRPr="00C80397">
        <w:t xml:space="preserve"> </w:t>
      </w:r>
      <w:r w:rsidR="00D265FF" w:rsidRPr="00C80397">
        <w:t>w stosunku do</w:t>
      </w:r>
      <w:r w:rsidR="00D265FF">
        <w:t xml:space="preserve"> </w:t>
      </w:r>
      <w:r>
        <w:t>maksymalnego</w:t>
      </w:r>
      <w:r w:rsidR="00D265FF" w:rsidRPr="00C80397">
        <w:t xml:space="preserve"> </w:t>
      </w:r>
      <w:r>
        <w:t>czasu</w:t>
      </w:r>
      <w:r w:rsidR="00D265FF" w:rsidRPr="00C80397">
        <w:t xml:space="preserve"> wskazanego powyżej. Oferta p</w:t>
      </w:r>
      <w:r w:rsidR="00D265FF">
        <w:t xml:space="preserve">rzewidująca </w:t>
      </w:r>
      <w:r>
        <w:t>skrócenie</w:t>
      </w:r>
      <w:r w:rsidR="00D265FF">
        <w:t xml:space="preserve"> </w:t>
      </w:r>
      <w:r>
        <w:t>czasu reakcji</w:t>
      </w:r>
      <w:r w:rsidR="00D265FF" w:rsidRPr="00C80397">
        <w:t xml:space="preserve"> otrzyma punkty w ramach oceny ofert z zastosowaniem kryterium wyboru oferty najkorzystniejszej</w:t>
      </w:r>
    </w:p>
    <w:p w14:paraId="440E065C" w14:textId="250B2502" w:rsidR="00F85C46" w:rsidRPr="00382315" w:rsidRDefault="00F85C46" w:rsidP="00432B95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502870A8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9B745B4" w14:textId="77777777" w:rsidR="00432B95" w:rsidRDefault="00432B95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1" w:name="_Toc62396889"/>
      <w:r>
        <w:br w:type="page"/>
      </w:r>
    </w:p>
    <w:p w14:paraId="7663A507" w14:textId="506CD1BE" w:rsidR="00473D30" w:rsidRDefault="00473D30" w:rsidP="00432B95">
      <w:pPr>
        <w:pStyle w:val="Nagwek1"/>
        <w:keepNext w:val="0"/>
      </w:pPr>
      <w:r>
        <w:lastRenderedPageBreak/>
        <w:t>Przedmiotowe środki dowodowe.</w:t>
      </w:r>
      <w:bookmarkEnd w:id="11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77777777" w:rsidR="00432B95" w:rsidRPr="00432B95" w:rsidRDefault="00432B95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Opis techniczny oferowanego sprzętu, ze wskazaniem wszystkich parametrów technicznych, w celu potwierdzenia zgodności oferowanego sprzętu z wymaganiami określonymi w szczegółowym opisie przedmiotu zamówienia (załącznik nr 2 do SWZ).</w:t>
            </w:r>
          </w:p>
          <w:p w14:paraId="51D98558" w14:textId="77777777" w:rsidR="00432B95" w:rsidRPr="00432B95" w:rsidRDefault="00432B95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7B583BA5" w14:textId="2663F122" w:rsidR="00132DCD" w:rsidRPr="00A953DB" w:rsidRDefault="00432B95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432B95">
      <w:pPr>
        <w:pStyle w:val="Nagwek1"/>
        <w:keepNext w:val="0"/>
      </w:pPr>
      <w:bookmarkStart w:id="12" w:name="_Toc375581634"/>
      <w:bookmarkStart w:id="13" w:name="_Toc375581816"/>
      <w:bookmarkStart w:id="14" w:name="_Toc375582133"/>
      <w:bookmarkStart w:id="15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46A8A993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</w:t>
      </w:r>
      <w:r w:rsidR="00385E23">
        <w:rPr>
          <w:rFonts w:eastAsia="Calibri"/>
        </w:rPr>
        <w:lastRenderedPageBreak/>
        <w:t xml:space="preserve">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1B8CE714" w:rsidR="00D83EC3" w:rsidRP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4F954160" w14:textId="53A110F9" w:rsidR="007E1600" w:rsidRDefault="007F1CC6" w:rsidP="00432B95">
      <w:pPr>
        <w:pStyle w:val="Nagwek1"/>
        <w:keepNext w:val="0"/>
      </w:pPr>
      <w:bookmarkStart w:id="16" w:name="_Toc62396891"/>
      <w:r>
        <w:t>Kwalifikacja podmiotowa – warunki udziału w postępowaniu.</w:t>
      </w:r>
      <w:bookmarkEnd w:id="16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17" w:name="_Toc62396892"/>
      <w:r>
        <w:rPr>
          <w:noProof/>
        </w:rPr>
        <w:t>Oświadczenie wstępne, podmiotowe środki dowodowe oraz inne dokumenty.</w:t>
      </w:r>
      <w:bookmarkEnd w:id="17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15A6E9D" w14:textId="77777777" w:rsidR="00195B0B" w:rsidRDefault="00195B0B" w:rsidP="00195B0B">
      <w:pPr>
        <w:pStyle w:val="Nagwek2"/>
        <w:keepNext w:val="0"/>
        <w:numPr>
          <w:ilvl w:val="0"/>
          <w:numId w:val="0"/>
        </w:numPr>
        <w:spacing w:before="240"/>
        <w:ind w:left="568"/>
      </w:pPr>
    </w:p>
    <w:p w14:paraId="23379CE9" w14:textId="77777777" w:rsidR="00195B0B" w:rsidRDefault="00195B0B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lastRenderedPageBreak/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180DCC53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18" w:name="_Toc62396893"/>
      <w:r w:rsidRPr="00E054BA">
        <w:t>Wymagania dotyczące wadium.</w:t>
      </w:r>
      <w:bookmarkStart w:id="19" w:name="OLE_LINK1"/>
      <w:bookmarkEnd w:id="18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432B95">
      <w:pPr>
        <w:pStyle w:val="Nagwek1"/>
        <w:keepNext w:val="0"/>
      </w:pPr>
      <w:bookmarkStart w:id="20" w:name="_Toc62396894"/>
      <w:bookmarkEnd w:id="19"/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5030A1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w formie elektronicznej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2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</w:t>
      </w:r>
      <w:r w:rsidRPr="00D05F0F">
        <w:rPr>
          <w:rFonts w:eastAsia="Calibri"/>
          <w:lang w:val="pl"/>
        </w:rPr>
        <w:lastRenderedPageBreak/>
        <w:t>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6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33A28723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 xml:space="preserve">Damian Ludwikowski, mgr </w:t>
      </w:r>
      <w:r w:rsidR="00301EA8">
        <w:rPr>
          <w:b/>
          <w:color w:val="222A35" w:themeColor="text2" w:themeShade="80"/>
          <w:lang w:val="pl"/>
        </w:rPr>
        <w:t>Małgorzata Wróblewska, mgr Justyna Rutkowska – Zawada,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7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61BB17F5" w:rsidR="00FC3A95" w:rsidRPr="00FC3A95" w:rsidRDefault="00FC3A95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Pr="00FC3A95">
        <w:rPr>
          <w:lang w:val="pl"/>
        </w:rPr>
        <w:t xml:space="preserve">omunikacja ustna dopuszczalna jest </w:t>
      </w:r>
      <w:r>
        <w:rPr>
          <w:lang w:val="pl"/>
        </w:rPr>
        <w:t>w odniesieniu do in</w:t>
      </w:r>
      <w:r w:rsidRPr="00FC3A95">
        <w:rPr>
          <w:lang w:val="pl"/>
        </w:rPr>
        <w:t>formacji, które nie są istotne, w</w:t>
      </w:r>
      <w:r>
        <w:rPr>
          <w:lang w:val="pl"/>
        </w:rPr>
        <w:t> </w:t>
      </w:r>
      <w:r w:rsidRPr="00FC3A95">
        <w:rPr>
          <w:lang w:val="pl"/>
        </w:rPr>
        <w:t>szczególności nie dotyczą ogłoszenia o zamówi</w:t>
      </w:r>
      <w:r>
        <w:rPr>
          <w:lang w:val="pl"/>
        </w:rPr>
        <w:t>eniu lub dokumentów zamówienia oraz ofert</w:t>
      </w:r>
      <w:r w:rsidRPr="00FC3A95">
        <w:rPr>
          <w:lang w:val="pl"/>
        </w:rPr>
        <w:t>, o</w:t>
      </w:r>
      <w:r>
        <w:rPr>
          <w:lang w:val="pl"/>
        </w:rPr>
        <w:t> </w:t>
      </w:r>
      <w:r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8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6C6B1E2D" w14:textId="77777777" w:rsidR="000745B4" w:rsidRDefault="000745B4">
      <w:pPr>
        <w:rPr>
          <w:rFonts w:eastAsia="Calibri" w:cs="Times New Roman"/>
          <w:bCs/>
          <w:szCs w:val="26"/>
          <w:lang w:eastAsia="x-none"/>
        </w:rPr>
      </w:pPr>
      <w:r>
        <w:rPr>
          <w:rFonts w:eastAsia="Calibri"/>
        </w:rPr>
        <w:br w:type="page"/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lastRenderedPageBreak/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9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1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2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9F0260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3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21" w:name="_wp2umuqo1p7z" w:colFirst="0" w:colLast="0"/>
      <w:bookmarkEnd w:id="21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4B960213" w:rsidR="007206AE" w:rsidRDefault="001C43D0" w:rsidP="00432B95">
      <w:pPr>
        <w:pStyle w:val="Nagwek1"/>
        <w:keepNext w:val="0"/>
      </w:pPr>
      <w:bookmarkStart w:id="22" w:name="_Toc62396895"/>
      <w:r>
        <w:t>Opis sposobu przygotowania ofert.</w:t>
      </w:r>
      <w:bookmarkEnd w:id="22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67858DA1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w zakresie </w:t>
      </w:r>
      <w:r>
        <w:t>niniejszego postępowania;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lastRenderedPageBreak/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4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5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671AD459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postępowaniu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lastRenderedPageBreak/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2325E754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</w:t>
      </w:r>
      <w:r w:rsidR="000745B4">
        <w:t xml:space="preserve"> i czasu reakcji serwisu</w:t>
      </w:r>
      <w:r w:rsidR="00EE444D">
        <w:t>;</w:t>
      </w:r>
      <w:r w:rsidR="00EE444D" w:rsidRPr="00EE444D">
        <w:t xml:space="preserve">  </w:t>
      </w:r>
    </w:p>
    <w:p w14:paraId="5EF5C307" w14:textId="0C06847F" w:rsidR="00EE444D" w:rsidRPr="00EE444D" w:rsidRDefault="008B0002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Cena, o</w:t>
      </w:r>
      <w:r w:rsidR="00EE444D" w:rsidRPr="00EE444D">
        <w:rPr>
          <w:rFonts w:eastAsia="Arial Unicode MS"/>
        </w:rPr>
        <w:t>kres gwarancji</w:t>
      </w:r>
      <w:r w:rsidR="000745B4">
        <w:rPr>
          <w:rFonts w:eastAsia="Arial Unicode MS"/>
        </w:rPr>
        <w:t>, czas reakcji serwisu</w:t>
      </w:r>
      <w:r w:rsidR="00EE444D" w:rsidRPr="00EE444D">
        <w:rPr>
          <w:rFonts w:eastAsia="Arial Unicode MS"/>
        </w:rPr>
        <w:t xml:space="preserve"> oraz term</w:t>
      </w:r>
      <w:r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0F0A3563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0745B4">
        <w:rPr>
          <w:rFonts w:eastAsia="Arial Unicode MS"/>
        </w:rPr>
        <w:t>y</w:t>
      </w:r>
      <w:r w:rsidR="005B5BA7">
        <w:rPr>
          <w:rFonts w:eastAsia="Arial Unicode MS"/>
        </w:rPr>
        <w:t xml:space="preserve"> </w:t>
      </w:r>
      <w:r w:rsidR="000745B4">
        <w:rPr>
          <w:rFonts w:eastAsia="Arial Unicode MS"/>
        </w:rPr>
        <w:t>sprzęt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79EE3E9E" w14:textId="77777777" w:rsidR="000745B4" w:rsidRDefault="000745B4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1EDC20D0" w14:textId="669EECC5" w:rsidR="00E23287" w:rsidRPr="00E23287" w:rsidRDefault="00E23287" w:rsidP="00432B95">
      <w:pPr>
        <w:pStyle w:val="Nagwek2"/>
        <w:keepNext w:val="0"/>
      </w:pPr>
      <w:r>
        <w:lastRenderedPageBreak/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6996AF17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częściowej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koszt </w:t>
      </w:r>
      <w:bookmarkStart w:id="23" w:name="_Hlk64365305"/>
      <w:r w:rsidR="00F814E5">
        <w:t>sprzętu</w:t>
      </w:r>
      <w:r w:rsidR="00D6386D" w:rsidRPr="00D6386D">
        <w:t xml:space="preserve"> </w:t>
      </w:r>
      <w:r w:rsidRPr="00A57F79">
        <w:t>wraz z dostarczeniem zgodnie z opisem przedmiotu zamówienia, koszt rozładunku i wniesienia w miejsce wskazane pr</w:t>
      </w:r>
      <w:r w:rsidR="005B5BA7">
        <w:t>zez Zamawiającego</w:t>
      </w:r>
      <w:bookmarkEnd w:id="23"/>
      <w:r w:rsidR="005B5BA7">
        <w:t xml:space="preserve">, </w:t>
      </w:r>
      <w:r w:rsidR="00066CCC">
        <w:t>zgodnie z wymaganiami S</w:t>
      </w:r>
      <w:r w:rsidRPr="00A57F79">
        <w:t>WZ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</w:t>
      </w:r>
      <w:r>
        <w:lastRenderedPageBreak/>
        <w:t xml:space="preserve">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432B95">
      <w:pPr>
        <w:pStyle w:val="Nagwek1"/>
        <w:keepNext w:val="0"/>
      </w:pPr>
      <w:bookmarkStart w:id="24" w:name="_Toc62396896"/>
      <w:r>
        <w:t>Sposób oraz termin składania ofert.</w:t>
      </w:r>
      <w:bookmarkEnd w:id="24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16083C19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B6070C">
        <w:rPr>
          <w:lang w:eastAsia="x-none"/>
        </w:rPr>
        <w:t>02.07.2021</w:t>
      </w:r>
      <w:r>
        <w:rPr>
          <w:lang w:eastAsia="x-none"/>
        </w:rPr>
        <w:t xml:space="preserve"> do godziny </w:t>
      </w:r>
      <w:r w:rsidR="00195B0B">
        <w:rPr>
          <w:lang w:eastAsia="x-none"/>
        </w:rPr>
        <w:t xml:space="preserve">10:00.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6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7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8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1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054BA" w:rsidRDefault="00F85C46" w:rsidP="00432B95">
      <w:pPr>
        <w:pStyle w:val="Nagwek1"/>
        <w:keepNext w:val="0"/>
      </w:pPr>
      <w:bookmarkStart w:id="25" w:name="_Toc62396897"/>
      <w:r w:rsidRPr="00E054BA">
        <w:t>Termin i tryb otwarcia ofert.</w:t>
      </w:r>
      <w:bookmarkEnd w:id="25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04F8EF11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B6070C">
        <w:rPr>
          <w:rFonts w:eastAsia="Calibri"/>
        </w:rPr>
        <w:t>02.07.2021</w:t>
      </w:r>
      <w:r w:rsidR="009A7AB0" w:rsidRPr="00ED6871">
        <w:rPr>
          <w:rFonts w:eastAsia="Calibri"/>
        </w:rPr>
        <w:t xml:space="preserve"> o </w:t>
      </w:r>
      <w:r w:rsidR="009A7AB0" w:rsidRPr="00195B0B">
        <w:rPr>
          <w:rFonts w:eastAsia="Calibri"/>
        </w:rPr>
        <w:t xml:space="preserve">godz. </w:t>
      </w:r>
      <w:r w:rsidR="00195B0B" w:rsidRPr="00195B0B">
        <w:rPr>
          <w:rFonts w:eastAsia="Calibri"/>
        </w:rPr>
        <w:t>10:15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36EE5C9E" w14:textId="77777777" w:rsidR="00E93F00" w:rsidRDefault="00E93F00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6" w:name="_Toc62396898"/>
      <w:r>
        <w:br w:type="page"/>
      </w:r>
    </w:p>
    <w:p w14:paraId="5C68DBA6" w14:textId="75B18954" w:rsidR="0003593D" w:rsidRPr="0003593D" w:rsidRDefault="00B1250E" w:rsidP="00432B95">
      <w:pPr>
        <w:pStyle w:val="Nagwek1"/>
        <w:keepNext w:val="0"/>
      </w:pPr>
      <w:r>
        <w:lastRenderedPageBreak/>
        <w:t>Termin związania ofertą.</w:t>
      </w:r>
      <w:bookmarkEnd w:id="26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32F64D98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B6070C">
        <w:t>31.07.2021r.</w:t>
      </w:r>
      <w:bookmarkStart w:id="27" w:name="_GoBack"/>
      <w:bookmarkEnd w:id="27"/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28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8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6189C259" w:rsidR="00F85C46" w:rsidRPr="00E054BA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432B9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432B9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432B9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432B9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432B9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432B9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432B9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432B9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432B9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432B9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7777777" w:rsidR="003C3AC5" w:rsidRPr="00957C9F" w:rsidRDefault="003C3AC5" w:rsidP="00432B9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77777777" w:rsidR="003C3AC5" w:rsidRPr="00957C9F" w:rsidRDefault="003C3AC5" w:rsidP="00432B9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7347EC" w:rsidRPr="00E054BA" w14:paraId="5077D297" w14:textId="77777777" w:rsidTr="007347EC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791BE2" w:rsidRDefault="003C3AC5" w:rsidP="00432B9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A49A629" w14:textId="5FBACBF7" w:rsidR="003C3AC5" w:rsidRPr="00957C9F" w:rsidRDefault="00E93F00" w:rsidP="00432B9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Czas reakcji serwisu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67863F7" w14:textId="77777777" w:rsidR="003C3AC5" w:rsidRPr="00957C9F" w:rsidRDefault="003C3AC5" w:rsidP="00432B9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39FB1E0" w14:textId="77777777" w:rsidR="003C3AC5" w:rsidRPr="00957C9F" w:rsidRDefault="003C3AC5" w:rsidP="00432B9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77777777" w:rsidR="00957C9F" w:rsidRPr="00E054BA" w:rsidRDefault="00957C9F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najtańszej of</m:t>
              </m:r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lastRenderedPageBreak/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17E72B99" w:rsidR="00D6386D" w:rsidRPr="000418CC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D239DE">
        <w:rPr>
          <w:rFonts w:ascii="Bahnschrift" w:hAnsi="Bahnschrift" w:cs="Arial"/>
          <w:szCs w:val="20"/>
        </w:rPr>
        <w:t xml:space="preserve">do </w:t>
      </w:r>
      <w:r w:rsidR="00E93F00">
        <w:rPr>
          <w:rFonts w:ascii="Bahnschrift" w:hAnsi="Bahnschrift" w:cs="Arial"/>
          <w:szCs w:val="20"/>
          <w:lang w:val="pl-PL"/>
        </w:rPr>
        <w:t>21</w:t>
      </w:r>
      <w:r w:rsidRPr="00D239DE">
        <w:rPr>
          <w:rFonts w:ascii="Bahnschrift" w:hAnsi="Bahnschrift" w:cs="Arial"/>
          <w:szCs w:val="20"/>
        </w:rPr>
        <w:t xml:space="preserve"> dni od daty zawarcia umowy</w:t>
      </w:r>
      <w:r w:rsidRPr="00573A48">
        <w:rPr>
          <w:rFonts w:ascii="Bahnschrift" w:hAnsi="Bahnschrift" w:cs="Arial"/>
          <w:szCs w:val="20"/>
        </w:rPr>
        <w:t xml:space="preserve">. </w:t>
      </w:r>
      <w:r w:rsidRPr="000418CC">
        <w:rPr>
          <w:rFonts w:ascii="Bahnschrift" w:hAnsi="Bahnschrift" w:cs="Arial"/>
          <w:szCs w:val="20"/>
        </w:rPr>
        <w:t xml:space="preserve">Punkty za kryterium „termin realizacji </w:t>
      </w:r>
      <w:r w:rsidRPr="000418CC">
        <w:rPr>
          <w:rFonts w:ascii="Bahnschrift" w:hAnsi="Bahnschrift" w:cs="Arial"/>
          <w:color w:val="000000" w:themeColor="text1"/>
          <w:szCs w:val="20"/>
          <w:lang w:eastAsia="pl-PL"/>
        </w:rPr>
        <w:t>zamówienia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1838108E" w:rsidR="00195C5C" w:rsidRPr="004E2A7B" w:rsidRDefault="00195C5C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4E2A7B">
        <w:rPr>
          <w:rFonts w:cs="Arial"/>
          <w:szCs w:val="20"/>
        </w:rPr>
        <w:t xml:space="preserve">ocena </w:t>
      </w:r>
      <w:r w:rsidRPr="004E2A7B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4E2A7B">
        <w:rPr>
          <w:rFonts w:cs="Arial"/>
          <w:szCs w:val="20"/>
          <w:lang w:eastAsia="pl-PL"/>
        </w:rPr>
        <w:t xml:space="preserve">ę </w:t>
      </w:r>
      <w:r w:rsidRPr="004E2A7B">
        <w:rPr>
          <w:rFonts w:cs="Arial"/>
          <w:szCs w:val="20"/>
          <w:lang w:eastAsia="pl-PL"/>
        </w:rPr>
        <w:t>oświadczenia  w formularzu oferty (pkt. 3</w:t>
      </w:r>
      <w:r w:rsidR="009D3C28" w:rsidRPr="004E2A7B">
        <w:rPr>
          <w:rFonts w:cs="Arial"/>
          <w:szCs w:val="20"/>
          <w:lang w:eastAsia="pl-PL"/>
        </w:rPr>
        <w:t xml:space="preserve"> </w:t>
      </w:r>
      <w:proofErr w:type="spellStart"/>
      <w:r w:rsidR="009D3C28" w:rsidRPr="004E2A7B">
        <w:rPr>
          <w:rFonts w:cs="Arial"/>
          <w:szCs w:val="20"/>
          <w:lang w:eastAsia="pl-PL"/>
        </w:rPr>
        <w:t>ppkt</w:t>
      </w:r>
      <w:proofErr w:type="spellEnd"/>
      <w:r w:rsidR="009D3C28" w:rsidRPr="004E2A7B">
        <w:rPr>
          <w:rFonts w:cs="Arial"/>
          <w:szCs w:val="20"/>
          <w:lang w:eastAsia="pl-PL"/>
        </w:rPr>
        <w:t>. 1</w:t>
      </w:r>
      <w:r w:rsidRPr="004E2A7B">
        <w:rPr>
          <w:rFonts w:cs="Arial"/>
          <w:szCs w:val="20"/>
          <w:lang w:eastAsia="pl-PL"/>
        </w:rPr>
        <w:t xml:space="preserve"> </w:t>
      </w:r>
      <w:r w:rsidR="00BF34BD" w:rsidRPr="004E2A7B">
        <w:rPr>
          <w:rFonts w:cs="Arial"/>
          <w:szCs w:val="20"/>
        </w:rPr>
        <w:t>formularza ofertowego</w:t>
      </w:r>
      <w:r w:rsidRPr="004E2A7B">
        <w:rPr>
          <w:rFonts w:cs="Arial"/>
          <w:szCs w:val="20"/>
          <w:lang w:eastAsia="pl-PL"/>
        </w:rPr>
        <w:t>)</w:t>
      </w:r>
      <w:r w:rsidR="000418CC" w:rsidRPr="004E2A7B">
        <w:rPr>
          <w:rFonts w:cs="Arial"/>
          <w:szCs w:val="20"/>
          <w:lang w:eastAsia="pl-PL"/>
        </w:rPr>
        <w:t>;</w:t>
      </w:r>
    </w:p>
    <w:p w14:paraId="62F40B0D" w14:textId="69931ECE" w:rsidR="00840C7A" w:rsidRDefault="00840C7A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 w:rsidRPr="004E2A7B">
        <w:rPr>
          <w:rFonts w:cs="Arial"/>
          <w:szCs w:val="20"/>
          <w:lang w:eastAsia="pl-PL"/>
        </w:rPr>
        <w:t xml:space="preserve">Zamawiający w ramach tego kryterium przyzna maksymalnie </w:t>
      </w:r>
      <w:r w:rsidRPr="004E2A7B">
        <w:rPr>
          <w:rFonts w:cs="Arial"/>
          <w:b/>
          <w:szCs w:val="20"/>
          <w:lang w:eastAsia="pl-PL"/>
        </w:rPr>
        <w:t>20 pkt</w:t>
      </w:r>
      <w:r w:rsidR="000418CC" w:rsidRPr="004E2A7B">
        <w:rPr>
          <w:rFonts w:cs="Arial"/>
          <w:b/>
          <w:szCs w:val="20"/>
          <w:lang w:eastAsia="pl-PL"/>
        </w:rPr>
        <w:t>;</w:t>
      </w:r>
    </w:p>
    <w:p w14:paraId="56585BBA" w14:textId="3D5446A1" w:rsidR="004E2A7B" w:rsidRPr="004E2A7B" w:rsidRDefault="004E2A7B" w:rsidP="004E2A7B">
      <w:pPr>
        <w:pStyle w:val="Akapitzlist"/>
        <w:numPr>
          <w:ilvl w:val="0"/>
          <w:numId w:val="63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>z</w:t>
      </w:r>
      <w:r w:rsidRPr="004E2A7B">
        <w:rPr>
          <w:rFonts w:cs="Arial"/>
          <w:szCs w:val="20"/>
        </w:rPr>
        <w:t xml:space="preserve">a każdy dzień poniżej </w:t>
      </w:r>
      <w:r>
        <w:rPr>
          <w:rFonts w:cs="Arial"/>
          <w:szCs w:val="20"/>
        </w:rPr>
        <w:t>21</w:t>
      </w:r>
      <w:r w:rsidRPr="004E2A7B">
        <w:rPr>
          <w:rFonts w:cs="Arial"/>
          <w:szCs w:val="20"/>
        </w:rPr>
        <w:t xml:space="preserve"> dni Zamawiający przyzna 1 pkt, </w:t>
      </w:r>
      <w:proofErr w:type="spellStart"/>
      <w:r w:rsidRPr="004E2A7B">
        <w:rPr>
          <w:rFonts w:cs="Arial"/>
          <w:szCs w:val="20"/>
        </w:rPr>
        <w:t>tj</w:t>
      </w:r>
      <w:proofErr w:type="spellEnd"/>
      <w:r w:rsidRPr="004E2A7B">
        <w:rPr>
          <w:rFonts w:cs="Arial"/>
          <w:szCs w:val="20"/>
        </w:rPr>
        <w:t xml:space="preserve">: </w:t>
      </w:r>
    </w:p>
    <w:p w14:paraId="16C3C138" w14:textId="098CAFB2" w:rsidR="004E2A7B" w:rsidRPr="004E2A7B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21</w:t>
      </w:r>
      <w:r w:rsidRPr="004E2A7B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20</w:t>
      </w:r>
      <w:r w:rsidRPr="004E2A7B">
        <w:rPr>
          <w:rFonts w:ascii="Bahnschrift" w:hAnsi="Bahnschrift" w:cs="Arial"/>
          <w:szCs w:val="20"/>
        </w:rPr>
        <w:t xml:space="preserve"> dni – 1 pkt; </w:t>
      </w:r>
      <w:r>
        <w:rPr>
          <w:rFonts w:ascii="Bahnschrift" w:hAnsi="Bahnschrift" w:cs="Arial"/>
          <w:szCs w:val="20"/>
          <w:lang w:val="pl-PL"/>
        </w:rPr>
        <w:t>19</w:t>
      </w:r>
      <w:r w:rsidRPr="004E2A7B">
        <w:rPr>
          <w:rFonts w:ascii="Bahnschrift" w:hAnsi="Bahnschrift" w:cs="Arial"/>
          <w:szCs w:val="20"/>
        </w:rPr>
        <w:t xml:space="preserve"> dni – 2 pkt; … ; </w:t>
      </w:r>
      <w:r>
        <w:rPr>
          <w:rFonts w:ascii="Bahnschrift" w:hAnsi="Bahnschrift" w:cs="Arial"/>
          <w:szCs w:val="20"/>
          <w:lang w:val="pl-PL"/>
        </w:rPr>
        <w:t>2</w:t>
      </w:r>
      <w:r w:rsidRPr="004E2A7B">
        <w:rPr>
          <w:rFonts w:ascii="Bahnschrift" w:hAnsi="Bahnschrift" w:cs="Arial"/>
          <w:szCs w:val="20"/>
        </w:rPr>
        <w:t xml:space="preserve"> dni – 19 pkt), </w:t>
      </w:r>
      <w:r>
        <w:rPr>
          <w:rFonts w:ascii="Bahnschrift" w:hAnsi="Bahnschrift" w:cs="Arial"/>
          <w:szCs w:val="20"/>
          <w:lang w:val="pl-PL"/>
        </w:rPr>
        <w:t>1</w:t>
      </w:r>
      <w:r w:rsidRPr="004E2A7B">
        <w:rPr>
          <w:rFonts w:ascii="Bahnschrift" w:hAnsi="Bahnschrift" w:cs="Arial"/>
          <w:szCs w:val="20"/>
        </w:rPr>
        <w:t xml:space="preserve"> </w:t>
      </w:r>
      <w:r>
        <w:rPr>
          <w:rFonts w:ascii="Bahnschrift" w:hAnsi="Bahnschrift" w:cs="Arial"/>
          <w:szCs w:val="20"/>
          <w:lang w:val="pl-PL"/>
        </w:rPr>
        <w:t>dzień</w:t>
      </w:r>
      <w:r w:rsidRPr="004E2A7B">
        <w:rPr>
          <w:rFonts w:ascii="Bahnschrift" w:hAnsi="Bahnschrift" w:cs="Arial"/>
          <w:szCs w:val="20"/>
        </w:rPr>
        <w:t xml:space="preserve"> – 20 pkt</w:t>
      </w:r>
    </w:p>
    <w:p w14:paraId="6F2E81F3" w14:textId="77777777" w:rsidR="004E2A7B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4E2A7B">
        <w:rPr>
          <w:rFonts w:ascii="Bahnschrift" w:hAnsi="Bahnschrift" w:cs="Arial"/>
          <w:szCs w:val="20"/>
        </w:rPr>
        <w:t xml:space="preserve">zaoferowanie terminu krótszego niż </w:t>
      </w:r>
      <w:r>
        <w:rPr>
          <w:rFonts w:ascii="Bahnschrift" w:hAnsi="Bahnschrift" w:cs="Arial"/>
          <w:szCs w:val="20"/>
          <w:lang w:val="pl-PL"/>
        </w:rPr>
        <w:t>1 dzień</w:t>
      </w:r>
      <w:r w:rsidRPr="004E2A7B">
        <w:rPr>
          <w:rFonts w:ascii="Bahnschrift" w:hAnsi="Bahnschrift" w:cs="Arial"/>
          <w:szCs w:val="20"/>
        </w:rPr>
        <w:t xml:space="preserve"> nie spowoduje otrzymania większej ilości punktów niż 20</w:t>
      </w:r>
    </w:p>
    <w:p w14:paraId="368EBC75" w14:textId="0C2D6B0B" w:rsidR="00D6386D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4E2A7B">
        <w:rPr>
          <w:rFonts w:cs="Arial"/>
          <w:szCs w:val="20"/>
        </w:rPr>
        <w:t>21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573A48">
        <w:rPr>
          <w:rFonts w:cs="Arial"/>
          <w:szCs w:val="20"/>
          <w:lang w:eastAsia="pl-PL"/>
        </w:rPr>
        <w:t>.</w:t>
      </w:r>
    </w:p>
    <w:p w14:paraId="65EFFD6D" w14:textId="59006992" w:rsidR="00D265FF" w:rsidRPr="0071379B" w:rsidRDefault="00D265FF" w:rsidP="00432B95">
      <w:pPr>
        <w:pStyle w:val="Nagwek4"/>
        <w:ind w:left="1134" w:hanging="283"/>
      </w:pPr>
      <w:r w:rsidRPr="0071379B">
        <w:t xml:space="preserve">Zasady przyznawania punktów w kryterium </w:t>
      </w:r>
      <w:r w:rsidRPr="0071379B">
        <w:rPr>
          <w:b/>
        </w:rPr>
        <w:t>„</w:t>
      </w:r>
      <w:r w:rsidR="004E2A7B" w:rsidRPr="004E2A7B">
        <w:rPr>
          <w:b/>
          <w:lang w:val="pl-PL"/>
        </w:rPr>
        <w:t>czas reakcji serwisu</w:t>
      </w:r>
      <w:r w:rsidRPr="0071379B">
        <w:rPr>
          <w:b/>
        </w:rPr>
        <w:t>”:</w:t>
      </w:r>
    </w:p>
    <w:p w14:paraId="55A0B1AB" w14:textId="77777777" w:rsidR="004E2A7B" w:rsidRPr="00F5606A" w:rsidRDefault="004E2A7B" w:rsidP="004E2A7B">
      <w:pPr>
        <w:ind w:left="1134" w:firstLine="0"/>
        <w:rPr>
          <w:lang w:val="x-none" w:eastAsia="x-none"/>
        </w:rPr>
      </w:pPr>
      <w:r w:rsidRPr="00F5606A">
        <w:rPr>
          <w:b/>
          <w:lang w:eastAsia="x-none"/>
        </w:rPr>
        <w:t xml:space="preserve">Czas reakcji serwisu -  </w:t>
      </w:r>
      <w:r w:rsidRPr="00F5606A">
        <w:rPr>
          <w:lang w:eastAsia="x-none"/>
        </w:rPr>
        <w:t>oznacza</w:t>
      </w:r>
      <w:r w:rsidRPr="00F5606A">
        <w:rPr>
          <w:b/>
          <w:lang w:eastAsia="x-none"/>
        </w:rPr>
        <w:t xml:space="preserve"> </w:t>
      </w:r>
      <w:r w:rsidRPr="00F5606A">
        <w:rPr>
          <w:lang w:eastAsia="x-none"/>
        </w:rPr>
        <w:t>czas</w:t>
      </w:r>
      <w:r w:rsidRPr="00F5606A">
        <w:rPr>
          <w:b/>
          <w:lang w:eastAsia="x-none"/>
        </w:rPr>
        <w:t xml:space="preserve"> </w:t>
      </w:r>
      <w:r w:rsidRPr="00F5606A">
        <w:rPr>
          <w:iCs/>
          <w:lang w:eastAsia="x-none"/>
        </w:rPr>
        <w:t xml:space="preserve">rozpoczęcia usuwania wady </w:t>
      </w:r>
      <w:r w:rsidRPr="00F5606A">
        <w:rPr>
          <w:lang w:eastAsia="x-none"/>
        </w:rPr>
        <w:t>w siedzibie Zamawiającego liczony od chwili przesłania zgłoszenia mailem do serwisu Wykonawcy. P</w:t>
      </w:r>
      <w:r w:rsidRPr="00F5606A">
        <w:rPr>
          <w:iCs/>
          <w:lang w:eastAsia="x-none"/>
        </w:rPr>
        <w:t>rzez rozpoczęcie usuwania wady uznaje się poświadczone przez użytkownika przybycie serwisanta, diagnozę i rozpoczęcie naprawy</w:t>
      </w:r>
      <w:r>
        <w:rPr>
          <w:iCs/>
          <w:lang w:eastAsia="x-none"/>
        </w:rPr>
        <w:t>.</w:t>
      </w:r>
    </w:p>
    <w:p w14:paraId="10CCD1FA" w14:textId="4A152B73" w:rsidR="004E2A7B" w:rsidRDefault="004E2A7B" w:rsidP="004E2A7B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</w:t>
      </w:r>
      <w:bookmarkStart w:id="29" w:name="_Hlk66881243"/>
      <w:r w:rsidRPr="00F5606A">
        <w:rPr>
          <w:rFonts w:ascii="Bahnschrift" w:hAnsi="Bahnschrift" w:cs="Arial"/>
          <w:szCs w:val="20"/>
          <w:lang w:val="pl-PL"/>
        </w:rPr>
        <w:t xml:space="preserve">czas reakcji serwisu </w:t>
      </w:r>
      <w:bookmarkEnd w:id="29"/>
      <w:r w:rsidRPr="00F5606A">
        <w:rPr>
          <w:rFonts w:ascii="Bahnschrift" w:hAnsi="Bahnschrift" w:cs="Arial"/>
          <w:szCs w:val="20"/>
          <w:lang w:val="pl-PL"/>
        </w:rPr>
        <w:t xml:space="preserve">wynosi: najpóźniej w ciągu </w:t>
      </w:r>
      <w:r>
        <w:rPr>
          <w:rFonts w:ascii="Bahnschrift" w:hAnsi="Bahnschrift" w:cs="Arial"/>
          <w:szCs w:val="20"/>
          <w:lang w:val="pl-PL"/>
        </w:rPr>
        <w:t>4</w:t>
      </w:r>
      <w:r w:rsidRPr="00F5606A">
        <w:rPr>
          <w:rFonts w:ascii="Bahnschrift" w:hAnsi="Bahnschrift" w:cs="Arial"/>
          <w:szCs w:val="20"/>
          <w:lang w:val="pl-PL"/>
        </w:rPr>
        <w:t xml:space="preserve"> dni roboczych po zgłoszeniu wady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1CA02A08" w14:textId="77777777" w:rsidR="004E2A7B" w:rsidRPr="00573A48" w:rsidRDefault="004E2A7B" w:rsidP="004E2A7B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</w:t>
      </w:r>
      <w:r w:rsidRPr="00F5606A">
        <w:rPr>
          <w:rFonts w:cs="Arial"/>
          <w:szCs w:val="20"/>
        </w:rPr>
        <w:t>czas reakcji serwisu</w:t>
      </w:r>
      <w:r w:rsidRPr="00573A48">
        <w:rPr>
          <w:rFonts w:cs="Arial"/>
          <w:szCs w:val="20"/>
        </w:rPr>
        <w:t>” zostaną przyznane w następujący sposób:</w:t>
      </w:r>
    </w:p>
    <w:p w14:paraId="47792FF3" w14:textId="26D23D66" w:rsidR="004E2A7B" w:rsidRDefault="004E2A7B" w:rsidP="004E2A7B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 w:eastAsia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</w:t>
      </w:r>
      <w:r w:rsidRPr="002F0627">
        <w:rPr>
          <w:rFonts w:ascii="Bahnschrift" w:hAnsi="Bahnschrift" w:cs="Arial"/>
          <w:szCs w:val="20"/>
          <w:lang w:eastAsia="pl-PL"/>
        </w:rPr>
        <w:t xml:space="preserve">oferty (pkt. 3 </w:t>
      </w:r>
      <w:proofErr w:type="spellStart"/>
      <w:r w:rsidRPr="002F0627">
        <w:rPr>
          <w:rFonts w:ascii="Bahnschrift" w:hAnsi="Bahnschrift" w:cs="Arial"/>
          <w:szCs w:val="20"/>
          <w:lang w:val="pl-PL" w:eastAsia="pl-PL"/>
        </w:rPr>
        <w:t>ppkt</w:t>
      </w:r>
      <w:proofErr w:type="spellEnd"/>
      <w:r w:rsidRPr="002F0627">
        <w:rPr>
          <w:rFonts w:ascii="Bahnschrift" w:hAnsi="Bahnschrift" w:cs="Arial"/>
          <w:szCs w:val="20"/>
          <w:lang w:val="pl-PL" w:eastAsia="pl-PL"/>
        </w:rPr>
        <w:t xml:space="preserve">. </w:t>
      </w:r>
      <w:r w:rsidR="00DC07BF">
        <w:rPr>
          <w:rFonts w:ascii="Bahnschrift" w:hAnsi="Bahnschrift" w:cs="Arial"/>
          <w:szCs w:val="20"/>
          <w:lang w:val="pl-PL" w:eastAsia="pl-PL"/>
        </w:rPr>
        <w:t>3</w:t>
      </w:r>
      <w:r w:rsidRPr="002F0627">
        <w:rPr>
          <w:rFonts w:ascii="Bahnschrift" w:hAnsi="Bahnschrift" w:cs="Arial"/>
          <w:szCs w:val="20"/>
          <w:lang w:val="pl-PL" w:eastAsia="pl-PL"/>
        </w:rPr>
        <w:t xml:space="preserve">) </w:t>
      </w:r>
      <w:r w:rsidRPr="002F0627">
        <w:rPr>
          <w:rFonts w:ascii="Bahnschrift" w:hAnsi="Bahnschrift" w:cs="Arial"/>
          <w:szCs w:val="20"/>
          <w:lang w:eastAsia="pl-PL"/>
        </w:rPr>
        <w:t xml:space="preserve">załącznika nr 1A </w:t>
      </w:r>
      <w:r w:rsidRPr="001E69C8">
        <w:rPr>
          <w:rFonts w:ascii="Bahnschrift" w:hAnsi="Bahnschrift" w:cs="Arial"/>
          <w:szCs w:val="20"/>
          <w:lang w:eastAsia="pl-PL"/>
        </w:rPr>
        <w:t>do SWZ).</w:t>
      </w:r>
    </w:p>
    <w:p w14:paraId="0F315C37" w14:textId="77777777" w:rsidR="004E2A7B" w:rsidRPr="009A1213" w:rsidRDefault="004E2A7B" w:rsidP="004E2A7B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>
        <w:rPr>
          <w:rFonts w:cs="Arial"/>
          <w:szCs w:val="20"/>
          <w:lang w:eastAsia="pl-PL"/>
        </w:rPr>
        <w:t>j</w:t>
      </w:r>
      <w:r w:rsidRPr="009A1213">
        <w:rPr>
          <w:rFonts w:cs="Arial"/>
          <w:szCs w:val="20"/>
          <w:lang w:eastAsia="pl-PL"/>
        </w:rPr>
        <w:t xml:space="preserve">eżeli Wykonawca zaoferuje </w:t>
      </w:r>
      <w:r w:rsidRPr="00F5606A">
        <w:rPr>
          <w:rFonts w:eastAsia="Times New Roman" w:cs="Arial"/>
          <w:szCs w:val="20"/>
        </w:rPr>
        <w:t>czas reakcji serwisu</w:t>
      </w:r>
      <w:r w:rsidRPr="009A1213">
        <w:rPr>
          <w:rFonts w:cs="Arial"/>
          <w:szCs w:val="20"/>
          <w:lang w:eastAsia="pl-PL"/>
        </w:rPr>
        <w:t>:</w:t>
      </w:r>
    </w:p>
    <w:p w14:paraId="73AB62C6" w14:textId="77777777" w:rsidR="004E2A7B" w:rsidRDefault="004E2A7B" w:rsidP="004E2A7B">
      <w:pPr>
        <w:numPr>
          <w:ilvl w:val="0"/>
          <w:numId w:val="60"/>
        </w:numPr>
        <w:spacing w:after="200"/>
        <w:ind w:left="1701" w:hanging="283"/>
        <w:contextualSpacing/>
        <w:rPr>
          <w:rFonts w:cs="Arial"/>
          <w:b/>
          <w:szCs w:val="20"/>
          <w:lang w:eastAsia="pl-PL"/>
        </w:rPr>
      </w:pPr>
      <w:r w:rsidRPr="00F5606A">
        <w:rPr>
          <w:rFonts w:cs="Arial"/>
          <w:szCs w:val="20"/>
          <w:lang w:eastAsia="pl-PL"/>
        </w:rPr>
        <w:t xml:space="preserve">najpóźniej w ciągu następnego (1) dnia roboczego </w:t>
      </w:r>
      <w:r>
        <w:rPr>
          <w:rFonts w:cs="Arial"/>
          <w:szCs w:val="20"/>
          <w:lang w:eastAsia="pl-PL"/>
        </w:rPr>
        <w:t xml:space="preserve">- </w:t>
      </w:r>
      <w:r w:rsidRPr="00F5606A">
        <w:rPr>
          <w:rFonts w:cs="Arial"/>
          <w:b/>
          <w:szCs w:val="20"/>
          <w:lang w:eastAsia="pl-PL"/>
        </w:rPr>
        <w:t>otrzyma 20 pkt</w:t>
      </w:r>
      <w:r>
        <w:rPr>
          <w:rFonts w:cs="Arial"/>
          <w:b/>
          <w:szCs w:val="20"/>
          <w:lang w:eastAsia="pl-PL"/>
        </w:rPr>
        <w:t>;</w:t>
      </w:r>
    </w:p>
    <w:p w14:paraId="10F939FF" w14:textId="77777777" w:rsidR="004E2A7B" w:rsidRPr="00F5606A" w:rsidRDefault="004E2A7B" w:rsidP="004E2A7B">
      <w:pPr>
        <w:numPr>
          <w:ilvl w:val="0"/>
          <w:numId w:val="60"/>
        </w:numPr>
        <w:spacing w:after="200"/>
        <w:ind w:left="1701" w:hanging="283"/>
        <w:contextualSpacing/>
        <w:rPr>
          <w:rFonts w:cs="Arial"/>
          <w:b/>
          <w:szCs w:val="20"/>
          <w:lang w:eastAsia="pl-PL"/>
        </w:rPr>
      </w:pPr>
      <w:r w:rsidRPr="00F5606A">
        <w:rPr>
          <w:rFonts w:cs="Arial"/>
          <w:szCs w:val="20"/>
          <w:lang w:eastAsia="pl-PL"/>
        </w:rPr>
        <w:t>najpóźniej w ciągu 2 dni roboczych</w:t>
      </w:r>
      <w:r w:rsidRPr="00F5606A">
        <w:rPr>
          <w:rFonts w:cs="Arial"/>
          <w:b/>
          <w:szCs w:val="20"/>
          <w:lang w:eastAsia="pl-PL"/>
        </w:rPr>
        <w:t xml:space="preserve"> </w:t>
      </w:r>
      <w:r>
        <w:rPr>
          <w:rFonts w:cs="Arial"/>
          <w:b/>
          <w:szCs w:val="20"/>
          <w:lang w:eastAsia="pl-PL"/>
        </w:rPr>
        <w:t xml:space="preserve">- </w:t>
      </w:r>
      <w:r w:rsidRPr="00F5606A">
        <w:rPr>
          <w:rFonts w:cs="Arial"/>
          <w:b/>
          <w:szCs w:val="20"/>
          <w:lang w:eastAsia="pl-PL"/>
        </w:rPr>
        <w:t>otrzyma 10 pkt</w:t>
      </w:r>
    </w:p>
    <w:p w14:paraId="552028C4" w14:textId="77777777" w:rsidR="00DC07BF" w:rsidRPr="00F5606A" w:rsidRDefault="00DC07BF" w:rsidP="00DC07BF">
      <w:pPr>
        <w:numPr>
          <w:ilvl w:val="0"/>
          <w:numId w:val="60"/>
        </w:numPr>
        <w:ind w:left="1701" w:hanging="283"/>
        <w:contextualSpacing/>
        <w:rPr>
          <w:rFonts w:cs="Arial"/>
          <w:b/>
          <w:szCs w:val="20"/>
          <w:lang w:eastAsia="pl-PL"/>
        </w:rPr>
      </w:pPr>
      <w:r w:rsidRPr="00F5606A">
        <w:rPr>
          <w:rFonts w:cs="Arial"/>
          <w:szCs w:val="20"/>
          <w:lang w:eastAsia="pl-PL"/>
        </w:rPr>
        <w:t xml:space="preserve">najpóźniej w ciągu </w:t>
      </w:r>
      <w:r>
        <w:rPr>
          <w:rFonts w:cs="Arial"/>
          <w:szCs w:val="20"/>
          <w:lang w:eastAsia="pl-PL"/>
        </w:rPr>
        <w:t>3</w:t>
      </w:r>
      <w:r w:rsidRPr="00F5606A">
        <w:rPr>
          <w:rFonts w:cs="Arial"/>
          <w:szCs w:val="20"/>
          <w:lang w:eastAsia="pl-PL"/>
        </w:rPr>
        <w:t xml:space="preserve"> dni roboczych</w:t>
      </w:r>
      <w:r w:rsidRPr="00F5606A">
        <w:rPr>
          <w:rFonts w:cs="Arial"/>
          <w:b/>
          <w:szCs w:val="20"/>
          <w:lang w:eastAsia="pl-PL"/>
        </w:rPr>
        <w:t xml:space="preserve"> </w:t>
      </w:r>
      <w:r>
        <w:rPr>
          <w:rFonts w:cs="Arial"/>
          <w:b/>
          <w:szCs w:val="20"/>
          <w:lang w:eastAsia="pl-PL"/>
        </w:rPr>
        <w:t xml:space="preserve">- </w:t>
      </w:r>
      <w:r w:rsidRPr="00F5606A">
        <w:rPr>
          <w:rFonts w:cs="Arial"/>
          <w:b/>
          <w:szCs w:val="20"/>
          <w:lang w:eastAsia="pl-PL"/>
        </w:rPr>
        <w:t xml:space="preserve">otrzyma </w:t>
      </w:r>
      <w:r>
        <w:rPr>
          <w:rFonts w:cs="Arial"/>
          <w:b/>
          <w:szCs w:val="20"/>
          <w:lang w:eastAsia="pl-PL"/>
        </w:rPr>
        <w:t>5</w:t>
      </w:r>
      <w:r w:rsidRPr="00F5606A">
        <w:rPr>
          <w:rFonts w:cs="Arial"/>
          <w:b/>
          <w:szCs w:val="20"/>
          <w:lang w:eastAsia="pl-PL"/>
        </w:rPr>
        <w:t xml:space="preserve"> pkt</w:t>
      </w:r>
    </w:p>
    <w:p w14:paraId="4432AD0D" w14:textId="2377C4A7" w:rsidR="004E2A7B" w:rsidRPr="00F5606A" w:rsidRDefault="004E2A7B" w:rsidP="004E2A7B">
      <w:pPr>
        <w:numPr>
          <w:ilvl w:val="0"/>
          <w:numId w:val="60"/>
        </w:numPr>
        <w:ind w:left="1701" w:hanging="283"/>
        <w:contextualSpacing/>
        <w:rPr>
          <w:rFonts w:cs="Arial"/>
          <w:b/>
          <w:szCs w:val="20"/>
          <w:lang w:eastAsia="pl-PL"/>
        </w:rPr>
      </w:pPr>
      <w:r w:rsidRPr="00F5606A">
        <w:rPr>
          <w:rFonts w:cs="Arial"/>
          <w:szCs w:val="20"/>
          <w:lang w:eastAsia="pl-PL"/>
        </w:rPr>
        <w:t xml:space="preserve">najpóźniej w ciągu </w:t>
      </w:r>
      <w:r w:rsidR="00DC07BF">
        <w:rPr>
          <w:rFonts w:cs="Arial"/>
          <w:szCs w:val="20"/>
          <w:lang w:eastAsia="pl-PL"/>
        </w:rPr>
        <w:t>4</w:t>
      </w:r>
      <w:r w:rsidRPr="00F5606A">
        <w:rPr>
          <w:rFonts w:cs="Arial"/>
          <w:szCs w:val="20"/>
          <w:lang w:eastAsia="pl-PL"/>
        </w:rPr>
        <w:t xml:space="preserve"> dni roboczych</w:t>
      </w:r>
      <w:r w:rsidRPr="00F5606A">
        <w:rPr>
          <w:rFonts w:cs="Arial"/>
          <w:b/>
          <w:szCs w:val="20"/>
          <w:lang w:eastAsia="pl-PL"/>
        </w:rPr>
        <w:t xml:space="preserve"> </w:t>
      </w:r>
      <w:r>
        <w:rPr>
          <w:rFonts w:cs="Arial"/>
          <w:b/>
          <w:szCs w:val="20"/>
          <w:lang w:eastAsia="pl-PL"/>
        </w:rPr>
        <w:t xml:space="preserve">- </w:t>
      </w:r>
      <w:r w:rsidRPr="00F5606A">
        <w:rPr>
          <w:rFonts w:cs="Arial"/>
          <w:b/>
          <w:szCs w:val="20"/>
          <w:lang w:eastAsia="pl-PL"/>
        </w:rPr>
        <w:t xml:space="preserve">otrzyma </w:t>
      </w:r>
      <w:r w:rsidR="00DC07BF">
        <w:rPr>
          <w:rFonts w:cs="Arial"/>
          <w:b/>
          <w:szCs w:val="20"/>
          <w:lang w:eastAsia="pl-PL"/>
        </w:rPr>
        <w:t>0</w:t>
      </w:r>
      <w:r w:rsidRPr="00F5606A">
        <w:rPr>
          <w:rFonts w:cs="Arial"/>
          <w:b/>
          <w:szCs w:val="20"/>
          <w:lang w:eastAsia="pl-PL"/>
        </w:rPr>
        <w:t xml:space="preserve"> pkt</w:t>
      </w:r>
    </w:p>
    <w:p w14:paraId="67259526" w14:textId="13E03EF1" w:rsidR="004E2A7B" w:rsidRDefault="004E2A7B" w:rsidP="004E2A7B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Pr="009A1213">
        <w:rPr>
          <w:rFonts w:ascii="Bahnschrift" w:hAnsi="Bahnschrift" w:cs="Arial"/>
          <w:b/>
          <w:szCs w:val="20"/>
        </w:rPr>
        <w:t xml:space="preserve">brak oświadczenia lub </w:t>
      </w:r>
      <w:r>
        <w:rPr>
          <w:rFonts w:ascii="Arial" w:hAnsi="Arial" w:cs="Arial"/>
          <w:b/>
          <w:sz w:val="18"/>
          <w:szCs w:val="18"/>
        </w:rPr>
        <w:t>dłuższy czas reakcji serwisu</w:t>
      </w:r>
      <w:r w:rsidRPr="000A55F0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237B80">
        <w:rPr>
          <w:rFonts w:ascii="Arial" w:hAnsi="Arial" w:cs="Arial"/>
          <w:sz w:val="18"/>
          <w:szCs w:val="18"/>
          <w:lang w:eastAsia="pl-PL"/>
        </w:rPr>
        <w:t xml:space="preserve">(tj. </w:t>
      </w:r>
      <w:r>
        <w:rPr>
          <w:rFonts w:ascii="Arial" w:hAnsi="Arial" w:cs="Arial"/>
          <w:bCs/>
          <w:sz w:val="18"/>
          <w:szCs w:val="18"/>
        </w:rPr>
        <w:t>&gt;</w:t>
      </w:r>
      <w:r w:rsidRPr="004A389E">
        <w:rPr>
          <w:rFonts w:ascii="Arial" w:hAnsi="Arial" w:cs="Arial"/>
          <w:bCs/>
          <w:sz w:val="18"/>
          <w:szCs w:val="18"/>
        </w:rPr>
        <w:t xml:space="preserve"> </w:t>
      </w:r>
      <w:r w:rsidR="00DC07BF">
        <w:rPr>
          <w:rFonts w:ascii="Arial" w:hAnsi="Arial" w:cs="Arial"/>
          <w:bCs/>
          <w:sz w:val="18"/>
          <w:szCs w:val="18"/>
          <w:lang w:val="pl-PL"/>
        </w:rPr>
        <w:t>4</w:t>
      </w:r>
      <w:r>
        <w:rPr>
          <w:rFonts w:ascii="Arial" w:hAnsi="Arial" w:cs="Arial"/>
          <w:bCs/>
          <w:sz w:val="18"/>
          <w:szCs w:val="18"/>
        </w:rPr>
        <w:t xml:space="preserve"> dni robocze</w:t>
      </w:r>
      <w:r w:rsidRPr="00237B80">
        <w:rPr>
          <w:rFonts w:ascii="Arial" w:hAnsi="Arial" w:cs="Arial"/>
          <w:sz w:val="18"/>
          <w:szCs w:val="18"/>
          <w:lang w:eastAsia="pl-PL"/>
        </w:rPr>
        <w:t xml:space="preserve">) </w:t>
      </w:r>
      <w:r w:rsidRPr="009A1213">
        <w:rPr>
          <w:rFonts w:ascii="Bahnschrift" w:hAnsi="Bahnschrift" w:cs="Arial"/>
          <w:szCs w:val="20"/>
        </w:rPr>
        <w:t xml:space="preserve">– </w:t>
      </w:r>
      <w:r w:rsidRPr="009A1213">
        <w:rPr>
          <w:rFonts w:ascii="Bahnschrift" w:hAnsi="Bahnschrift" w:cs="Arial"/>
          <w:b/>
          <w:szCs w:val="20"/>
        </w:rPr>
        <w:t>oferta zostanie odrzucona</w:t>
      </w:r>
      <w:r w:rsidRPr="009A1213">
        <w:rPr>
          <w:rFonts w:ascii="Bahnschrift" w:hAnsi="Bahnschrift" w:cs="Arial"/>
          <w:szCs w:val="20"/>
          <w:lang w:eastAsia="pl-PL"/>
        </w:rPr>
        <w:t xml:space="preserve">, </w:t>
      </w:r>
      <w:r w:rsidRPr="00EB104B">
        <w:rPr>
          <w:rFonts w:ascii="Bahnschrift" w:hAnsi="Bahnschrift" w:cs="Arial"/>
          <w:szCs w:val="20"/>
          <w:lang w:val="pl-PL" w:eastAsia="pl-PL"/>
        </w:rPr>
        <w:t xml:space="preserve">jako niezgodna z warunkami zamówienia na podstawie art. 226 ust. 1 pkt 5 ustawy </w:t>
      </w:r>
      <w:proofErr w:type="spellStart"/>
      <w:r w:rsidRPr="00EB104B">
        <w:rPr>
          <w:rFonts w:ascii="Bahnschrift" w:hAnsi="Bahnschrift" w:cs="Arial"/>
          <w:szCs w:val="20"/>
          <w:lang w:val="pl-PL" w:eastAsia="pl-PL"/>
        </w:rPr>
        <w:t>Pzp</w:t>
      </w:r>
      <w:proofErr w:type="spellEnd"/>
      <w:r>
        <w:rPr>
          <w:rFonts w:ascii="Bahnschrift" w:hAnsi="Bahnschrift" w:cs="Arial"/>
          <w:szCs w:val="20"/>
          <w:lang w:val="pl-PL" w:eastAsia="pl-PL"/>
        </w:rPr>
        <w:t>.</w:t>
      </w:r>
    </w:p>
    <w:p w14:paraId="27D7D34F" w14:textId="77777777" w:rsidR="004E2A7B" w:rsidRDefault="004E2A7B" w:rsidP="004E2A7B">
      <w:pPr>
        <w:autoSpaceDE w:val="0"/>
        <w:autoSpaceDN w:val="0"/>
        <w:adjustRightInd w:val="0"/>
        <w:ind w:left="1418"/>
        <w:rPr>
          <w:rFonts w:cs="Arial"/>
          <w:b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Pr="00EB104B">
        <w:rPr>
          <w:rFonts w:cs="Arial"/>
          <w:szCs w:val="20"/>
          <w:lang w:eastAsia="pl-PL"/>
        </w:rPr>
        <w:t xml:space="preserve">Zamawiający w ramach tego kryterium przyzna łącznie maksymalnie </w:t>
      </w:r>
      <w:r w:rsidRPr="00EB104B">
        <w:rPr>
          <w:rFonts w:cs="Arial"/>
          <w:b/>
          <w:szCs w:val="20"/>
          <w:lang w:eastAsia="pl-PL"/>
        </w:rPr>
        <w:t xml:space="preserve">20 pkt. </w:t>
      </w:r>
    </w:p>
    <w:p w14:paraId="1DD244E2" w14:textId="09ED71F5" w:rsidR="004E2A7B" w:rsidRPr="00EB104B" w:rsidRDefault="004E2A7B" w:rsidP="004E2A7B">
      <w:pPr>
        <w:ind w:left="1418"/>
        <w:contextualSpacing/>
        <w:rPr>
          <w:rFonts w:cs="Arial"/>
          <w:szCs w:val="20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Pr="00EB104B">
        <w:rPr>
          <w:rFonts w:cs="Arial"/>
          <w:szCs w:val="20"/>
        </w:rPr>
        <w:t xml:space="preserve">W przypadku wskazania przez Wykonawcę </w:t>
      </w:r>
      <w:r>
        <w:rPr>
          <w:rFonts w:cs="Arial"/>
          <w:szCs w:val="20"/>
        </w:rPr>
        <w:t>czasu reakcji</w:t>
      </w:r>
      <w:r w:rsidRPr="00EB104B">
        <w:rPr>
          <w:rFonts w:cs="Arial"/>
          <w:szCs w:val="20"/>
        </w:rPr>
        <w:t xml:space="preserve"> w wymiarze innym niż wielokrotność </w:t>
      </w:r>
      <w:r>
        <w:rPr>
          <w:rFonts w:cs="Arial"/>
          <w:szCs w:val="20"/>
        </w:rPr>
        <w:t>1 dnia</w:t>
      </w:r>
      <w:r w:rsidRPr="00EB104B">
        <w:rPr>
          <w:rFonts w:cs="Arial"/>
          <w:szCs w:val="20"/>
        </w:rPr>
        <w:t xml:space="preserve"> (tj. </w:t>
      </w:r>
      <w:r>
        <w:rPr>
          <w:rFonts w:cs="Arial"/>
          <w:szCs w:val="20"/>
        </w:rPr>
        <w:t>1</w:t>
      </w:r>
      <w:r w:rsidRPr="00EB104B">
        <w:rPr>
          <w:rFonts w:cs="Arial"/>
          <w:szCs w:val="20"/>
        </w:rPr>
        <w:t>/</w:t>
      </w:r>
      <w:r>
        <w:rPr>
          <w:rFonts w:cs="Arial"/>
          <w:szCs w:val="20"/>
        </w:rPr>
        <w:t>2</w:t>
      </w:r>
      <w:r w:rsidRPr="00EB104B">
        <w:rPr>
          <w:rFonts w:cs="Arial"/>
          <w:szCs w:val="20"/>
        </w:rPr>
        <w:t>/</w:t>
      </w:r>
      <w:r>
        <w:rPr>
          <w:rFonts w:cs="Arial"/>
          <w:szCs w:val="20"/>
        </w:rPr>
        <w:t>3</w:t>
      </w:r>
      <w:r w:rsidRPr="00EB104B">
        <w:rPr>
          <w:rFonts w:cs="Arial"/>
          <w:szCs w:val="20"/>
        </w:rPr>
        <w:t>/</w:t>
      </w:r>
      <w:r w:rsidR="00DC07BF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</w:t>
      </w:r>
      <w:r w:rsidRPr="00EB104B">
        <w:rPr>
          <w:rFonts w:cs="Arial"/>
          <w:szCs w:val="20"/>
        </w:rPr>
        <w:t xml:space="preserve">itp.), Zamawiający w celu oceny zaokrągli wskazane </w:t>
      </w:r>
      <w:r>
        <w:rPr>
          <w:rFonts w:cs="Arial"/>
          <w:szCs w:val="20"/>
        </w:rPr>
        <w:t>czasy</w:t>
      </w:r>
      <w:r w:rsidRPr="00EB104B">
        <w:rPr>
          <w:rFonts w:cs="Arial"/>
          <w:szCs w:val="20"/>
        </w:rPr>
        <w:t xml:space="preserve"> odpowiednio w </w:t>
      </w:r>
      <w:r>
        <w:rPr>
          <w:rFonts w:cs="Arial"/>
          <w:szCs w:val="20"/>
        </w:rPr>
        <w:t>górę</w:t>
      </w:r>
      <w:r w:rsidRPr="00EB104B">
        <w:rPr>
          <w:rFonts w:cs="Arial"/>
          <w:szCs w:val="20"/>
        </w:rPr>
        <w:t xml:space="preserve"> do </w:t>
      </w:r>
      <w:r>
        <w:rPr>
          <w:rFonts w:cs="Arial"/>
          <w:szCs w:val="20"/>
        </w:rPr>
        <w:t>1</w:t>
      </w:r>
      <w:r w:rsidRPr="00EB104B">
        <w:rPr>
          <w:rFonts w:cs="Arial"/>
          <w:szCs w:val="20"/>
        </w:rPr>
        <w:t>/</w:t>
      </w:r>
      <w:r>
        <w:rPr>
          <w:rFonts w:cs="Arial"/>
          <w:szCs w:val="20"/>
        </w:rPr>
        <w:t>2</w:t>
      </w:r>
      <w:r w:rsidRPr="00EB104B">
        <w:rPr>
          <w:rFonts w:cs="Arial"/>
          <w:szCs w:val="20"/>
        </w:rPr>
        <w:t>/</w:t>
      </w:r>
      <w:r>
        <w:rPr>
          <w:rFonts w:cs="Arial"/>
          <w:szCs w:val="20"/>
        </w:rPr>
        <w:t>3</w:t>
      </w:r>
      <w:r w:rsidRPr="00EB104B">
        <w:rPr>
          <w:rFonts w:cs="Arial"/>
          <w:szCs w:val="20"/>
        </w:rPr>
        <w:t>/</w:t>
      </w:r>
      <w:r>
        <w:rPr>
          <w:rFonts w:cs="Arial"/>
          <w:szCs w:val="20"/>
        </w:rPr>
        <w:t>4</w:t>
      </w:r>
      <w:r w:rsidR="00DC07BF">
        <w:rPr>
          <w:rFonts w:cs="Arial"/>
          <w:szCs w:val="20"/>
        </w:rPr>
        <w:t>/5</w:t>
      </w:r>
      <w:r w:rsidRPr="00EB104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dni</w:t>
      </w:r>
      <w:r w:rsidRPr="00EB104B">
        <w:rPr>
          <w:rFonts w:cs="Arial"/>
          <w:szCs w:val="20"/>
        </w:rPr>
        <w:t xml:space="preserve">.  </w:t>
      </w:r>
    </w:p>
    <w:p w14:paraId="329AAE53" w14:textId="33A58FF7" w:rsidR="00F85C46" w:rsidRPr="00E054BA" w:rsidRDefault="000A37EA" w:rsidP="00DC07BF">
      <w:pPr>
        <w:pStyle w:val="Nagwek3"/>
        <w:ind w:left="851" w:hanging="284"/>
      </w:pPr>
      <w:r>
        <w:lastRenderedPageBreak/>
        <w:t>O</w:t>
      </w:r>
      <w:r w:rsidR="00F85C46" w:rsidRPr="00E054BA">
        <w:t>cena końcowa wyliczona zostanie po zsumowaniu punktów uzyskanych za ocenę kryterium: cena brutto + term</w:t>
      </w:r>
      <w:r>
        <w:t xml:space="preserve">in realizacji + </w:t>
      </w:r>
      <w:r w:rsidR="00DC07BF" w:rsidRPr="00DC07BF">
        <w:t>czas reakcji serwisu</w:t>
      </w:r>
      <w:r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7190BF1C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>a ofertę najkorzystniejszą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432B95">
      <w:pPr>
        <w:pStyle w:val="Nagwek1"/>
        <w:keepNext w:val="0"/>
      </w:pPr>
      <w:bookmarkStart w:id="30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0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4004BEFD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</w:t>
      </w:r>
      <w:r w:rsidR="00F85C46" w:rsidRPr="00ED6871">
        <w:lastRenderedPageBreak/>
        <w:t>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432B95">
      <w:pPr>
        <w:pStyle w:val="Nagwek1"/>
        <w:keepNext w:val="0"/>
      </w:pPr>
      <w:bookmarkStart w:id="31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1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lastRenderedPageBreak/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32" w:name="_Toc62396902"/>
      <w:r w:rsidRPr="00E054BA">
        <w:t>Informacje dodatkowe.</w:t>
      </w:r>
      <w:bookmarkEnd w:id="32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38CC1D31" w14:textId="77777777" w:rsidR="00DC07BF" w:rsidRDefault="00DC07BF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lastRenderedPageBreak/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2E58B858" w:rsidR="00F85C46" w:rsidRPr="00BA4B90" w:rsidRDefault="00F85C46" w:rsidP="00432B95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DZP.381.</w:t>
      </w:r>
      <w:r w:rsidR="00195B0B">
        <w:rPr>
          <w:b/>
          <w:lang w:val="pl-PL"/>
        </w:rPr>
        <w:t>045.2021</w:t>
      </w:r>
      <w:r w:rsidRPr="00BA4B90">
        <w:rPr>
          <w:b/>
        </w:rPr>
        <w:t>.DW</w:t>
      </w:r>
      <w:r w:rsidR="00AC0B26">
        <w:rPr>
          <w:b/>
          <w:lang w:val="pl-PL"/>
        </w:rPr>
        <w:t>K</w:t>
      </w:r>
      <w:r w:rsidRPr="00BA4B90">
        <w:rPr>
          <w:b/>
        </w:rPr>
        <w:t>,</w:t>
      </w:r>
      <w:r w:rsidRPr="00BA4B90">
        <w:t xml:space="preserve"> o nazwie </w:t>
      </w:r>
      <w:r w:rsidRPr="00BA4B90">
        <w:rPr>
          <w:b/>
        </w:rPr>
        <w:t>Dostawa</w:t>
      </w:r>
      <w:r w:rsidR="004F19BB">
        <w:rPr>
          <w:b/>
        </w:rPr>
        <w:t xml:space="preserve"> </w:t>
      </w:r>
      <w:r w:rsidR="001E75E7">
        <w:rPr>
          <w:b/>
          <w:lang w:val="pl-PL"/>
        </w:rPr>
        <w:t>notebooka</w:t>
      </w:r>
      <w:r w:rsidR="00AC0B26" w:rsidRPr="00AC0B26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523C541F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2019 r. poz. 2019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lastRenderedPageBreak/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lastRenderedPageBreak/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DD4546">
      <w:headerReference w:type="default" r:id="rId35"/>
      <w:footerReference w:type="default" r:id="rId36"/>
      <w:headerReference w:type="first" r:id="rId37"/>
      <w:footerReference w:type="first" r:id="rId38"/>
      <w:pgSz w:w="11906" w:h="16838" w:code="9"/>
      <w:pgMar w:top="1276" w:right="1134" w:bottom="1559" w:left="1134" w:header="426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428E5" w14:textId="77777777" w:rsidR="00E91837" w:rsidRDefault="00E91837" w:rsidP="005D63CD">
      <w:pPr>
        <w:spacing w:line="240" w:lineRule="auto"/>
      </w:pPr>
      <w:r>
        <w:separator/>
      </w:r>
    </w:p>
  </w:endnote>
  <w:endnote w:type="continuationSeparator" w:id="0">
    <w:p w14:paraId="06898B11" w14:textId="77777777" w:rsidR="00E91837" w:rsidRDefault="00E9183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558" w:type="pct"/>
      <w:jc w:val="center"/>
      <w:tblLook w:val="04A0" w:firstRow="1" w:lastRow="0" w:firstColumn="1" w:lastColumn="0" w:noHBand="0" w:noVBand="1"/>
    </w:tblPr>
    <w:tblGrid>
      <w:gridCol w:w="2313"/>
      <w:gridCol w:w="3446"/>
      <w:gridCol w:w="1806"/>
      <w:gridCol w:w="3389"/>
    </w:tblGrid>
    <w:tr w:rsidR="009F0260" w:rsidRPr="00705914" w14:paraId="0F7CA8C9" w14:textId="77777777" w:rsidTr="00DD4546">
      <w:trPr>
        <w:trHeight w:val="1421"/>
        <w:jc w:val="center"/>
      </w:trPr>
      <w:tc>
        <w:tcPr>
          <w:tcW w:w="1056" w:type="pct"/>
          <w:shd w:val="clear" w:color="auto" w:fill="auto"/>
          <w:vAlign w:val="center"/>
        </w:tcPr>
        <w:p w14:paraId="692BB651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 w:cs="Times New Roman"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3C63D480" wp14:editId="5CDC1627">
                <wp:extent cx="971550" cy="790575"/>
                <wp:effectExtent l="0" t="0" r="0" b="9525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4" w:type="pct"/>
          <w:shd w:val="clear" w:color="auto" w:fill="auto"/>
        </w:tcPr>
        <w:p w14:paraId="4CFE24B5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 xml:space="preserve">Biuro projektu </w:t>
          </w:r>
        </w:p>
        <w:p w14:paraId="4CD30114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>UMO SMCEBI</w:t>
          </w:r>
        </w:p>
        <w:p w14:paraId="55DD477D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 xml:space="preserve">ul. </w:t>
          </w: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75 Pułku Piechoty 1A,</w:t>
          </w:r>
        </w:p>
        <w:p w14:paraId="250C5D7B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41-500 Chorzów</w:t>
          </w:r>
        </w:p>
        <w:p w14:paraId="666AEDB4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pokój A/0/12</w:t>
          </w:r>
        </w:p>
        <w:p w14:paraId="2F2E112C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tel. 32 349 77 42</w:t>
          </w:r>
        </w:p>
        <w:p w14:paraId="1555855A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 xml:space="preserve">e-mail: </w:t>
          </w:r>
          <w:hyperlink r:id="rId2" w:history="1">
            <w:r w:rsidRPr="00705914">
              <w:rPr>
                <w:rFonts w:ascii="Times New Roman" w:eastAsia="Calibri" w:hAnsi="Times New Roman" w:cs="Times New Roman"/>
                <w:color w:val="0000FF"/>
                <w:sz w:val="18"/>
                <w:szCs w:val="20"/>
                <w:u w:val="single"/>
                <w:shd w:val="clear" w:color="auto" w:fill="FFFFFF"/>
              </w:rPr>
              <w:t>umo@smcebi.edu.pl</w:t>
            </w:r>
          </w:hyperlink>
        </w:p>
      </w:tc>
      <w:tc>
        <w:tcPr>
          <w:tcW w:w="822" w:type="pct"/>
          <w:shd w:val="clear" w:color="auto" w:fill="auto"/>
          <w:vAlign w:val="center"/>
        </w:tcPr>
        <w:p w14:paraId="0CE9824C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ind w:left="0" w:firstLine="30"/>
            <w:jc w:val="center"/>
            <w:rPr>
              <w:rFonts w:ascii="Times New Roman" w:eastAsia="Calibri" w:hAnsi="Times New Roman" w:cs="Times New Roman"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024AC657" wp14:editId="09A7A7DD">
                <wp:extent cx="1009650" cy="428625"/>
                <wp:effectExtent l="0" t="0" r="0" b="9525"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8" w:type="pct"/>
          <w:shd w:val="clear" w:color="auto" w:fill="auto"/>
          <w:vAlign w:val="center"/>
        </w:tcPr>
        <w:p w14:paraId="753864B7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ind w:left="0" w:firstLine="0"/>
            <w:jc w:val="center"/>
            <w:rPr>
              <w:rFonts w:ascii="Times New Roman" w:eastAsia="Calibri" w:hAnsi="Times New Roman" w:cs="Times New Roman"/>
              <w:noProof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7FDF7BDC" wp14:editId="3B9FAF0F">
                <wp:extent cx="1657350" cy="361950"/>
                <wp:effectExtent l="0" t="0" r="0" b="0"/>
                <wp:docPr id="19" name="Obraz 19" descr="Opis: C:\Users\Aneta\AppData\Local\Temp\7zE02612B46\us-z-nazwa__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 descr="Opis: C:\Users\Aneta\AppData\Local\Temp\7zE02612B46\us-z-nazwa__k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55" t="23817" r="9550" b="23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ABFABF" w14:textId="04987E23" w:rsidR="009F0260" w:rsidRDefault="009F0260" w:rsidP="00DD4546">
    <w:pPr>
      <w:pStyle w:val="Stopka"/>
      <w:spacing w:line="200" w:lineRule="exact"/>
      <w:ind w:left="0" w:hanging="142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55C70C24" wp14:editId="5029AA5A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78A6C" w14:textId="77777777" w:rsidR="009F0260" w:rsidRPr="002A6205" w:rsidRDefault="009F0260" w:rsidP="0012546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B6070C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18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9" o:spid="_x0000_s1026" style="position:absolute;left:0;text-align:left;margin-left:27.5pt;margin-top:725.4pt;width:22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5E178A6C" w14:textId="77777777" w:rsidR="009F0260" w:rsidRPr="002A6205" w:rsidRDefault="009F0260" w:rsidP="00125460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B6070C">
                      <w:rPr>
                        <w:noProof/>
                        <w:color w:val="222A35" w:themeColor="text2" w:themeShade="80"/>
                        <w:sz w:val="22"/>
                      </w:rPr>
                      <w:t>18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558" w:type="pct"/>
      <w:jc w:val="center"/>
      <w:tblLook w:val="04A0" w:firstRow="1" w:lastRow="0" w:firstColumn="1" w:lastColumn="0" w:noHBand="0" w:noVBand="1"/>
    </w:tblPr>
    <w:tblGrid>
      <w:gridCol w:w="2313"/>
      <w:gridCol w:w="3446"/>
      <w:gridCol w:w="1806"/>
      <w:gridCol w:w="3389"/>
    </w:tblGrid>
    <w:tr w:rsidR="009F0260" w:rsidRPr="00705914" w14:paraId="51295037" w14:textId="77777777" w:rsidTr="00DD4546">
      <w:trPr>
        <w:trHeight w:val="1421"/>
        <w:jc w:val="center"/>
      </w:trPr>
      <w:tc>
        <w:tcPr>
          <w:tcW w:w="1056" w:type="pct"/>
          <w:shd w:val="clear" w:color="auto" w:fill="auto"/>
          <w:vAlign w:val="center"/>
        </w:tcPr>
        <w:p w14:paraId="1FFD3DB2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 w:cs="Times New Roman"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38F71ED5" wp14:editId="7B669B7B">
                <wp:extent cx="971550" cy="790575"/>
                <wp:effectExtent l="0" t="0" r="0" b="9525"/>
                <wp:docPr id="85" name="Obraz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4" w:type="pct"/>
          <w:shd w:val="clear" w:color="auto" w:fill="auto"/>
        </w:tcPr>
        <w:p w14:paraId="51348B9D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 xml:space="preserve">Biuro projektu </w:t>
          </w:r>
        </w:p>
        <w:p w14:paraId="67DCD77B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>UMO SMCEBI</w:t>
          </w:r>
        </w:p>
        <w:p w14:paraId="1E437489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 xml:space="preserve">ul. </w:t>
          </w: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75 Pułku Piechoty 1A,</w:t>
          </w:r>
        </w:p>
        <w:p w14:paraId="1CDA5FFF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41-500 Chorzów</w:t>
          </w:r>
        </w:p>
        <w:p w14:paraId="00A18445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pokój A/0/12</w:t>
          </w:r>
        </w:p>
        <w:p w14:paraId="4F5BFB3F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tel. 32 349 77 42</w:t>
          </w:r>
        </w:p>
        <w:p w14:paraId="16C271DD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 xml:space="preserve">e-mail: </w:t>
          </w:r>
          <w:hyperlink r:id="rId2" w:history="1">
            <w:r w:rsidRPr="00705914">
              <w:rPr>
                <w:rFonts w:ascii="Times New Roman" w:eastAsia="Calibri" w:hAnsi="Times New Roman" w:cs="Times New Roman"/>
                <w:color w:val="0000FF"/>
                <w:sz w:val="18"/>
                <w:szCs w:val="20"/>
                <w:u w:val="single"/>
                <w:shd w:val="clear" w:color="auto" w:fill="FFFFFF"/>
              </w:rPr>
              <w:t>umo@smcebi.edu.pl</w:t>
            </w:r>
          </w:hyperlink>
        </w:p>
      </w:tc>
      <w:tc>
        <w:tcPr>
          <w:tcW w:w="822" w:type="pct"/>
          <w:shd w:val="clear" w:color="auto" w:fill="auto"/>
          <w:vAlign w:val="center"/>
        </w:tcPr>
        <w:p w14:paraId="3C96DF49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ind w:left="0" w:firstLine="30"/>
            <w:jc w:val="center"/>
            <w:rPr>
              <w:rFonts w:ascii="Times New Roman" w:eastAsia="Calibri" w:hAnsi="Times New Roman" w:cs="Times New Roman"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2A67B02D" wp14:editId="66DE76CD">
                <wp:extent cx="1009650" cy="428625"/>
                <wp:effectExtent l="0" t="0" r="0" b="9525"/>
                <wp:docPr id="86" name="Obraz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8" w:type="pct"/>
          <w:shd w:val="clear" w:color="auto" w:fill="auto"/>
          <w:vAlign w:val="center"/>
        </w:tcPr>
        <w:p w14:paraId="0300CF9C" w14:textId="77777777" w:rsidR="009F0260" w:rsidRPr="00705914" w:rsidRDefault="009F0260" w:rsidP="00DD4546">
          <w:pPr>
            <w:tabs>
              <w:tab w:val="center" w:pos="4536"/>
              <w:tab w:val="right" w:pos="9072"/>
            </w:tabs>
            <w:ind w:left="0" w:firstLine="0"/>
            <w:jc w:val="center"/>
            <w:rPr>
              <w:rFonts w:ascii="Times New Roman" w:eastAsia="Calibri" w:hAnsi="Times New Roman" w:cs="Times New Roman"/>
              <w:noProof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7F80891C" wp14:editId="0118F3EF">
                <wp:extent cx="1657350" cy="361950"/>
                <wp:effectExtent l="0" t="0" r="0" b="0"/>
                <wp:docPr id="87" name="Obraz 87" descr="Opis: C:\Users\Aneta\AppData\Local\Temp\7zE02612B46\us-z-nazwa__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 descr="Opis: C:\Users\Aneta\AppData\Local\Temp\7zE02612B46\us-z-nazwa__k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55" t="23817" r="9550" b="23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AB2AD74" w14:textId="32206631" w:rsidR="009F0260" w:rsidRPr="00DD4546" w:rsidRDefault="009F0260" w:rsidP="00DD4546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84F0B" w14:textId="77777777" w:rsidR="00E91837" w:rsidRDefault="00E91837" w:rsidP="005D63CD">
      <w:pPr>
        <w:spacing w:line="240" w:lineRule="auto"/>
      </w:pPr>
      <w:r>
        <w:separator/>
      </w:r>
    </w:p>
  </w:footnote>
  <w:footnote w:type="continuationSeparator" w:id="0">
    <w:p w14:paraId="19CC36CD" w14:textId="77777777" w:rsidR="00E91837" w:rsidRDefault="00E91837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7BC85" w14:textId="530EE717" w:rsidR="009F0260" w:rsidRPr="00DD4546" w:rsidRDefault="009F0260" w:rsidP="00DD4546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59"/>
      <w:gridCol w:w="3418"/>
      <w:gridCol w:w="3777"/>
    </w:tblGrid>
    <w:tr w:rsidR="009F0260" w:rsidRPr="00705914" w14:paraId="617A04BD" w14:textId="77777777" w:rsidTr="00DD4546">
      <w:tc>
        <w:tcPr>
          <w:tcW w:w="2718" w:type="dxa"/>
          <w:shd w:val="clear" w:color="auto" w:fill="auto"/>
          <w:vAlign w:val="center"/>
        </w:tcPr>
        <w:p w14:paraId="227BEFA8" w14:textId="77777777" w:rsidR="009F0260" w:rsidRPr="00705914" w:rsidRDefault="009F0260" w:rsidP="00DD4546">
          <w:pPr>
            <w:jc w:val="center"/>
            <w:rPr>
              <w:rFonts w:ascii="Times New Roman" w:eastAsia="Times New Roman" w:hAnsi="Times New Roman" w:cs="Times New Roman"/>
              <w:i/>
              <w:szCs w:val="20"/>
            </w:rPr>
          </w:pPr>
          <w:r>
            <w:rPr>
              <w:rFonts w:ascii="Times New Roman" w:eastAsia="Times New Roman" w:hAnsi="Times New Roman" w:cs="Times New Roman"/>
              <w:i/>
              <w:noProof/>
              <w:szCs w:val="20"/>
              <w:lang w:eastAsia="pl-PL"/>
            </w:rPr>
            <w:drawing>
              <wp:inline distT="0" distB="0" distL="0" distR="0" wp14:anchorId="33FE6AE4" wp14:editId="42577C54">
                <wp:extent cx="1381125" cy="647700"/>
                <wp:effectExtent l="0" t="0" r="9525" b="0"/>
                <wp:docPr id="1" name="Obraz 1" descr="Opis: C:\Users\Aneta\AppData\Local\Microsoft\Windows\INetCache\Content.Word\logo_FE_Wiedza_Edukacja_Rozwoj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 descr="Opis: C:\Users\Aneta\AppData\Local\Microsoft\Windows\INetCache\Content.Word\logo_FE_Wiedza_Edukacja_Rozwoj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5" w:type="dxa"/>
          <w:shd w:val="clear" w:color="auto" w:fill="auto"/>
          <w:vAlign w:val="center"/>
        </w:tcPr>
        <w:p w14:paraId="07A5B456" w14:textId="77777777" w:rsidR="009F0260" w:rsidRPr="00705914" w:rsidRDefault="009F0260" w:rsidP="00DD4546">
          <w:pPr>
            <w:jc w:val="center"/>
            <w:rPr>
              <w:rFonts w:ascii="Times New Roman" w:eastAsia="Times New Roman" w:hAnsi="Times New Roman" w:cs="Times New Roman"/>
              <w:i/>
              <w:szCs w:val="20"/>
            </w:rPr>
          </w:pPr>
          <w:r>
            <w:rPr>
              <w:rFonts w:ascii="Times New Roman" w:eastAsia="Times New Roman" w:hAnsi="Times New Roman" w:cs="Times New Roman"/>
              <w:i/>
              <w:noProof/>
              <w:szCs w:val="20"/>
              <w:lang w:eastAsia="pl-PL"/>
            </w:rPr>
            <w:drawing>
              <wp:inline distT="0" distB="0" distL="0" distR="0" wp14:anchorId="314971A4" wp14:editId="69997339">
                <wp:extent cx="1933575" cy="647700"/>
                <wp:effectExtent l="0" t="0" r="0" b="0"/>
                <wp:docPr id="3" name="Obraz 3" descr="Opis: C:\Users\Aneta\AppData\Local\Microsoft\Windows\INetCache\Content.Word\znak_barw_rp_poziom_bez_ramki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 descr="Opis: C:\Users\Aneta\AppData\Local\Microsoft\Windows\INetCache\Content.Word\znak_barw_rp_poziom_bez_ramki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5" w:type="dxa"/>
          <w:shd w:val="clear" w:color="auto" w:fill="auto"/>
          <w:vAlign w:val="center"/>
        </w:tcPr>
        <w:p w14:paraId="7B03F279" w14:textId="77777777" w:rsidR="009F0260" w:rsidRPr="00705914" w:rsidRDefault="009F0260" w:rsidP="00DD4546">
          <w:pPr>
            <w:jc w:val="center"/>
            <w:rPr>
              <w:rFonts w:ascii="Times New Roman" w:eastAsia="Times New Roman" w:hAnsi="Times New Roman" w:cs="Times New Roman"/>
              <w:i/>
              <w:szCs w:val="20"/>
            </w:rPr>
          </w:pPr>
          <w:r>
            <w:rPr>
              <w:rFonts w:ascii="Times New Roman" w:eastAsia="Times New Roman" w:hAnsi="Times New Roman" w:cs="Times New Roman"/>
              <w:i/>
              <w:noProof/>
              <w:szCs w:val="20"/>
              <w:lang w:eastAsia="pl-PL"/>
            </w:rPr>
            <w:drawing>
              <wp:inline distT="0" distB="0" distL="0" distR="0" wp14:anchorId="3EE638F5" wp14:editId="2123F462">
                <wp:extent cx="2181225" cy="647700"/>
                <wp:effectExtent l="0" t="0" r="9525" b="0"/>
                <wp:docPr id="4" name="Obraz 4" descr="Opis: C:\Users\Aneta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 descr="Opis: C:\Users\Aneta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114BF5F" w14:textId="77777777" w:rsidR="009F0260" w:rsidRPr="000428C4" w:rsidRDefault="009F0260" w:rsidP="00DD4546">
    <w:pPr>
      <w:ind w:left="-142" w:firstLine="0"/>
      <w:jc w:val="center"/>
      <w:rPr>
        <w:rFonts w:eastAsia="Times New Roman" w:cs="Calibri"/>
        <w:b/>
        <w:i/>
        <w:sz w:val="18"/>
        <w:szCs w:val="18"/>
      </w:rPr>
    </w:pPr>
    <w:r w:rsidRPr="000428C4">
      <w:rPr>
        <w:rFonts w:eastAsia="Times New Roman" w:cs="Times New Roman"/>
        <w:i/>
        <w:sz w:val="18"/>
        <w:szCs w:val="18"/>
      </w:rPr>
      <w:t xml:space="preserve">Projekt pt. </w:t>
    </w:r>
    <w:r w:rsidRPr="000428C4">
      <w:rPr>
        <w:rFonts w:eastAsia="Times New Roman" w:cs="Calibri"/>
        <w:b/>
        <w:i/>
        <w:sz w:val="18"/>
        <w:szCs w:val="18"/>
      </w:rPr>
      <w:t>Uniwersytet Młodego Odkrywcy w Śląskim Międzyuczelnianym Centrum Edukacji i Badań Interdyscyplinarnych – UMO SMCEBI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2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2"/>
    </w:lvlOverride>
  </w:num>
  <w:num w:numId="36">
    <w:abstractNumId w:val="3"/>
  </w:num>
  <w:num w:numId="37">
    <w:abstractNumId w:val="1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"/>
    <w:lvlOverride w:ilvl="0">
      <w:startOverride w:val="2"/>
    </w:lvlOverride>
  </w:num>
  <w:num w:numId="40">
    <w:abstractNumId w:val="2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8"/>
  </w:num>
  <w:num w:numId="51">
    <w:abstractNumId w:val="2"/>
    <w:lvlOverride w:ilvl="0">
      <w:startOverride w:val="1"/>
    </w:lvlOverride>
  </w:num>
  <w:num w:numId="52">
    <w:abstractNumId w:val="11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1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"/>
  </w:num>
  <w:num w:numId="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04E96"/>
    <w:rsid w:val="0001285D"/>
    <w:rsid w:val="00017990"/>
    <w:rsid w:val="00021C6F"/>
    <w:rsid w:val="00023CE7"/>
    <w:rsid w:val="00034894"/>
    <w:rsid w:val="0003593D"/>
    <w:rsid w:val="000418CC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45B4"/>
    <w:rsid w:val="00080C23"/>
    <w:rsid w:val="00083060"/>
    <w:rsid w:val="000836B7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70642"/>
    <w:rsid w:val="001814C5"/>
    <w:rsid w:val="001863EA"/>
    <w:rsid w:val="001902EC"/>
    <w:rsid w:val="00195B0B"/>
    <w:rsid w:val="00195C5C"/>
    <w:rsid w:val="00197885"/>
    <w:rsid w:val="00197CBB"/>
    <w:rsid w:val="001A0C84"/>
    <w:rsid w:val="001A32D7"/>
    <w:rsid w:val="001B1AC0"/>
    <w:rsid w:val="001B6A6B"/>
    <w:rsid w:val="001C43D0"/>
    <w:rsid w:val="001D05CD"/>
    <w:rsid w:val="001E0A1D"/>
    <w:rsid w:val="001E75E7"/>
    <w:rsid w:val="001F5366"/>
    <w:rsid w:val="00200A27"/>
    <w:rsid w:val="00221638"/>
    <w:rsid w:val="00226310"/>
    <w:rsid w:val="00230DE9"/>
    <w:rsid w:val="002318AB"/>
    <w:rsid w:val="00241D9C"/>
    <w:rsid w:val="00244022"/>
    <w:rsid w:val="00272E3F"/>
    <w:rsid w:val="002767DF"/>
    <w:rsid w:val="00297EB3"/>
    <w:rsid w:val="002A3574"/>
    <w:rsid w:val="002A50F6"/>
    <w:rsid w:val="002B20B0"/>
    <w:rsid w:val="002B3B39"/>
    <w:rsid w:val="002B5872"/>
    <w:rsid w:val="002B6782"/>
    <w:rsid w:val="002D273D"/>
    <w:rsid w:val="002D2F12"/>
    <w:rsid w:val="002D64F0"/>
    <w:rsid w:val="002E4CF0"/>
    <w:rsid w:val="002E4D53"/>
    <w:rsid w:val="002F5524"/>
    <w:rsid w:val="002F56CF"/>
    <w:rsid w:val="00301EA8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82315"/>
    <w:rsid w:val="00384DA3"/>
    <w:rsid w:val="00385E23"/>
    <w:rsid w:val="003925AC"/>
    <w:rsid w:val="003B3416"/>
    <w:rsid w:val="003C094D"/>
    <w:rsid w:val="003C3AC5"/>
    <w:rsid w:val="003C461B"/>
    <w:rsid w:val="003C6D2D"/>
    <w:rsid w:val="003C6FE1"/>
    <w:rsid w:val="003E05AE"/>
    <w:rsid w:val="003E1DB0"/>
    <w:rsid w:val="003E3BDD"/>
    <w:rsid w:val="003F308F"/>
    <w:rsid w:val="003F61EF"/>
    <w:rsid w:val="00404C44"/>
    <w:rsid w:val="00410DFD"/>
    <w:rsid w:val="00416D5A"/>
    <w:rsid w:val="00430D9E"/>
    <w:rsid w:val="0043134E"/>
    <w:rsid w:val="00432B95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B4CE9"/>
    <w:rsid w:val="004B7101"/>
    <w:rsid w:val="004C0E1D"/>
    <w:rsid w:val="004C1B2D"/>
    <w:rsid w:val="004C4112"/>
    <w:rsid w:val="004D22E3"/>
    <w:rsid w:val="004D2D43"/>
    <w:rsid w:val="004E0BD8"/>
    <w:rsid w:val="004E2A7B"/>
    <w:rsid w:val="004F088D"/>
    <w:rsid w:val="004F19BB"/>
    <w:rsid w:val="005061DF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3C25"/>
    <w:rsid w:val="005968E9"/>
    <w:rsid w:val="005A19CF"/>
    <w:rsid w:val="005A269D"/>
    <w:rsid w:val="005B34FE"/>
    <w:rsid w:val="005B5871"/>
    <w:rsid w:val="005B5BA7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721E"/>
    <w:rsid w:val="00621A35"/>
    <w:rsid w:val="00635695"/>
    <w:rsid w:val="006364F5"/>
    <w:rsid w:val="006378CF"/>
    <w:rsid w:val="00642C54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1250"/>
    <w:rsid w:val="006A5F11"/>
    <w:rsid w:val="006A784F"/>
    <w:rsid w:val="006B0821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C4"/>
    <w:rsid w:val="006F19AB"/>
    <w:rsid w:val="006F2450"/>
    <w:rsid w:val="0070662F"/>
    <w:rsid w:val="0071379B"/>
    <w:rsid w:val="00715211"/>
    <w:rsid w:val="007206AE"/>
    <w:rsid w:val="007213C6"/>
    <w:rsid w:val="00722392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A06EE"/>
    <w:rsid w:val="007A3EF9"/>
    <w:rsid w:val="007B1224"/>
    <w:rsid w:val="007B551E"/>
    <w:rsid w:val="007B66D6"/>
    <w:rsid w:val="007B7E57"/>
    <w:rsid w:val="007C4CB1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0582A"/>
    <w:rsid w:val="00815FE8"/>
    <w:rsid w:val="0082259F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3C28"/>
    <w:rsid w:val="009D7BC2"/>
    <w:rsid w:val="009E4BCB"/>
    <w:rsid w:val="009E68C1"/>
    <w:rsid w:val="009F0260"/>
    <w:rsid w:val="009F1A4A"/>
    <w:rsid w:val="009F21F0"/>
    <w:rsid w:val="009F5C6B"/>
    <w:rsid w:val="009F6A1C"/>
    <w:rsid w:val="00A0368D"/>
    <w:rsid w:val="00A2561E"/>
    <w:rsid w:val="00A57F79"/>
    <w:rsid w:val="00A62353"/>
    <w:rsid w:val="00A62983"/>
    <w:rsid w:val="00A62DD6"/>
    <w:rsid w:val="00A867B7"/>
    <w:rsid w:val="00A953DB"/>
    <w:rsid w:val="00AB6BBC"/>
    <w:rsid w:val="00AC0B26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41D6"/>
    <w:rsid w:val="00B262D1"/>
    <w:rsid w:val="00B3055B"/>
    <w:rsid w:val="00B3356E"/>
    <w:rsid w:val="00B376D2"/>
    <w:rsid w:val="00B6070C"/>
    <w:rsid w:val="00B61F3A"/>
    <w:rsid w:val="00B66BD4"/>
    <w:rsid w:val="00B73B67"/>
    <w:rsid w:val="00B7608D"/>
    <w:rsid w:val="00B76598"/>
    <w:rsid w:val="00B85F4B"/>
    <w:rsid w:val="00B9217A"/>
    <w:rsid w:val="00B945EF"/>
    <w:rsid w:val="00BA4B90"/>
    <w:rsid w:val="00BA4C2B"/>
    <w:rsid w:val="00BA4FE0"/>
    <w:rsid w:val="00BA7E0B"/>
    <w:rsid w:val="00BB33A4"/>
    <w:rsid w:val="00BB50C1"/>
    <w:rsid w:val="00BC2C0F"/>
    <w:rsid w:val="00BD1DFF"/>
    <w:rsid w:val="00BE07E2"/>
    <w:rsid w:val="00BE7EB1"/>
    <w:rsid w:val="00BF120E"/>
    <w:rsid w:val="00BF34BD"/>
    <w:rsid w:val="00BF4BB9"/>
    <w:rsid w:val="00BF716F"/>
    <w:rsid w:val="00BF753A"/>
    <w:rsid w:val="00C035AE"/>
    <w:rsid w:val="00C06BAC"/>
    <w:rsid w:val="00C12F23"/>
    <w:rsid w:val="00C14A8D"/>
    <w:rsid w:val="00C243F8"/>
    <w:rsid w:val="00C25340"/>
    <w:rsid w:val="00C32198"/>
    <w:rsid w:val="00C325E2"/>
    <w:rsid w:val="00C35ECC"/>
    <w:rsid w:val="00C42A4D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93082"/>
    <w:rsid w:val="00CA3460"/>
    <w:rsid w:val="00CC1292"/>
    <w:rsid w:val="00CD1C73"/>
    <w:rsid w:val="00CD5AEB"/>
    <w:rsid w:val="00CD6350"/>
    <w:rsid w:val="00CE4834"/>
    <w:rsid w:val="00CE7E76"/>
    <w:rsid w:val="00CF4850"/>
    <w:rsid w:val="00CF6A08"/>
    <w:rsid w:val="00D0074D"/>
    <w:rsid w:val="00D00A2F"/>
    <w:rsid w:val="00D00D00"/>
    <w:rsid w:val="00D04029"/>
    <w:rsid w:val="00D052E5"/>
    <w:rsid w:val="00D05F0F"/>
    <w:rsid w:val="00D06776"/>
    <w:rsid w:val="00D265FF"/>
    <w:rsid w:val="00D310A4"/>
    <w:rsid w:val="00D31A33"/>
    <w:rsid w:val="00D54C1C"/>
    <w:rsid w:val="00D61394"/>
    <w:rsid w:val="00D6386D"/>
    <w:rsid w:val="00D65CB7"/>
    <w:rsid w:val="00D749C0"/>
    <w:rsid w:val="00D77D1A"/>
    <w:rsid w:val="00D83EC3"/>
    <w:rsid w:val="00D963CD"/>
    <w:rsid w:val="00DA216F"/>
    <w:rsid w:val="00DA74F9"/>
    <w:rsid w:val="00DB261B"/>
    <w:rsid w:val="00DB655D"/>
    <w:rsid w:val="00DC07BF"/>
    <w:rsid w:val="00DC2D61"/>
    <w:rsid w:val="00DD4546"/>
    <w:rsid w:val="00DE1639"/>
    <w:rsid w:val="00DE720A"/>
    <w:rsid w:val="00E054BA"/>
    <w:rsid w:val="00E1454C"/>
    <w:rsid w:val="00E1641F"/>
    <w:rsid w:val="00E23287"/>
    <w:rsid w:val="00E25C1E"/>
    <w:rsid w:val="00E34B9F"/>
    <w:rsid w:val="00E40EC4"/>
    <w:rsid w:val="00E47936"/>
    <w:rsid w:val="00E50E74"/>
    <w:rsid w:val="00E57DC0"/>
    <w:rsid w:val="00E60D50"/>
    <w:rsid w:val="00E65319"/>
    <w:rsid w:val="00E654E3"/>
    <w:rsid w:val="00E7441E"/>
    <w:rsid w:val="00E81D74"/>
    <w:rsid w:val="00E91836"/>
    <w:rsid w:val="00E91837"/>
    <w:rsid w:val="00E93D14"/>
    <w:rsid w:val="00E93F00"/>
    <w:rsid w:val="00EA3288"/>
    <w:rsid w:val="00EA5094"/>
    <w:rsid w:val="00ED5508"/>
    <w:rsid w:val="00ED57DE"/>
    <w:rsid w:val="00ED6871"/>
    <w:rsid w:val="00EE14B3"/>
    <w:rsid w:val="00EE380D"/>
    <w:rsid w:val="00EE444D"/>
    <w:rsid w:val="00EE6932"/>
    <w:rsid w:val="00F0343C"/>
    <w:rsid w:val="00F1351F"/>
    <w:rsid w:val="00F16680"/>
    <w:rsid w:val="00F17680"/>
    <w:rsid w:val="00F20C86"/>
    <w:rsid w:val="00F23144"/>
    <w:rsid w:val="00F26A09"/>
    <w:rsid w:val="00F41A36"/>
    <w:rsid w:val="00F43774"/>
    <w:rsid w:val="00F54060"/>
    <w:rsid w:val="00F65A36"/>
    <w:rsid w:val="00F814E5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E10A7"/>
    <w:rsid w:val="00FE2B3F"/>
    <w:rsid w:val="00FE7B95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iod@us.edu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dzp@us.edu.pl" TargetMode="External"/><Relationship Id="rId25" Type="http://schemas.openxmlformats.org/officeDocument/2006/relationships/hyperlink" Target="https://platformazakupowa.pl/pn/us" TargetMode="External"/><Relationship Id="rId33" Type="http://schemas.openxmlformats.org/officeDocument/2006/relationships/hyperlink" Target="mailto:administrator.danych@us.edu.pl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us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pn/us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dzp.us.edu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zp@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mo@smcebi.edu.pl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mo@smcebi.edu.pl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2C704-3C5E-43BE-80DD-8A973230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6170</TotalTime>
  <Pages>25</Pages>
  <Words>8594</Words>
  <Characters>51566</Characters>
  <Application>Microsoft Office Word</Application>
  <DocSecurity>0</DocSecurity>
  <Lines>429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94</cp:revision>
  <cp:lastPrinted>2021-02-22T07:55:00Z</cp:lastPrinted>
  <dcterms:created xsi:type="dcterms:W3CDTF">2020-01-24T10:28:00Z</dcterms:created>
  <dcterms:modified xsi:type="dcterms:W3CDTF">2021-06-23T12:04:00Z</dcterms:modified>
</cp:coreProperties>
</file>