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030FD7CD"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1D2168">
        <w:rPr>
          <w:rFonts w:eastAsiaTheme="majorEastAsia"/>
          <w:caps/>
          <w:spacing w:val="20"/>
          <w:lang w:eastAsia="en-US"/>
        </w:rPr>
        <w:t>ZP.271.1.202</w:t>
      </w:r>
      <w:r w:rsidR="004C084B">
        <w:rPr>
          <w:rFonts w:eastAsiaTheme="majorEastAsia"/>
          <w:caps/>
          <w:spacing w:val="20"/>
          <w:lang w:eastAsia="en-US"/>
        </w:rPr>
        <w:t>3</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44106B88" w:rsidR="00C95BE9" w:rsidRPr="00A209C9" w:rsidRDefault="004C084B" w:rsidP="000B4489">
      <w:pPr>
        <w:jc w:val="both"/>
        <w:outlineLvl w:val="5"/>
        <w:rPr>
          <w:rFonts w:eastAsiaTheme="majorEastAsia"/>
          <w:caps/>
          <w:spacing w:val="10"/>
          <w:lang w:eastAsia="en-US"/>
        </w:rPr>
      </w:pPr>
      <w:r>
        <w:rPr>
          <w:rFonts w:eastAsiaTheme="majorEastAsia"/>
          <w:caps/>
          <w:spacing w:val="10"/>
          <w:lang w:eastAsia="en-US"/>
        </w:rPr>
        <w:t>Rozbudowa i przebudowa terenu rekr</w:t>
      </w:r>
      <w:r w:rsidR="0000373F">
        <w:rPr>
          <w:rFonts w:eastAsiaTheme="majorEastAsia"/>
          <w:caps/>
          <w:spacing w:val="10"/>
          <w:lang w:eastAsia="en-US"/>
        </w:rPr>
        <w:t>e</w:t>
      </w:r>
      <w:r>
        <w:rPr>
          <w:rFonts w:eastAsiaTheme="majorEastAsia"/>
          <w:caps/>
          <w:spacing w:val="10"/>
          <w:lang w:eastAsia="en-US"/>
        </w:rPr>
        <w:t>acyjnego w świerznie na dz. nr ew</w:t>
      </w:r>
      <w:r w:rsidR="0059219A">
        <w:rPr>
          <w:rFonts w:eastAsiaTheme="majorEastAsia"/>
          <w:caps/>
          <w:spacing w:val="10"/>
          <w:lang w:eastAsia="en-US"/>
        </w:rPr>
        <w:t>idencyjnym</w:t>
      </w:r>
      <w:r>
        <w:rPr>
          <w:rFonts w:eastAsiaTheme="majorEastAsia"/>
          <w:caps/>
          <w:spacing w:val="10"/>
          <w:lang w:eastAsia="en-US"/>
        </w:rPr>
        <w:t xml:space="preserve">. 212/3 obr.  Świerzno. </w:t>
      </w:r>
      <w:r w:rsidR="00491542">
        <w:rPr>
          <w:rFonts w:eastAsiaTheme="majorEastAsia"/>
          <w:caps/>
          <w:spacing w:val="10"/>
          <w:lang w:eastAsia="en-US"/>
        </w:rPr>
        <w:t xml:space="preserve"> </w:t>
      </w:r>
    </w:p>
    <w:p w14:paraId="1EF6CE11" w14:textId="77777777" w:rsidR="00773D17" w:rsidRPr="00A209C9" w:rsidRDefault="00773D17" w:rsidP="00A209C9">
      <w:pPr>
        <w:jc w:val="both"/>
        <w:rPr>
          <w:rFonts w:eastAsiaTheme="majorEastAsia"/>
          <w:b/>
          <w:color w:val="002060"/>
          <w:lang w:eastAsia="en-US"/>
        </w:rPr>
      </w:pPr>
    </w:p>
    <w:p w14:paraId="5FE20231" w14:textId="41E6F1C2"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 xml:space="preserve">Dz.U. </w:t>
      </w:r>
      <w:r w:rsidR="004C084B">
        <w:rPr>
          <w:rFonts w:eastAsiaTheme="majorEastAsia"/>
          <w:lang w:eastAsia="en-US"/>
        </w:rPr>
        <w:t xml:space="preserve">2022 </w:t>
      </w:r>
      <w:proofErr w:type="spellStart"/>
      <w:r w:rsidR="004C084B">
        <w:rPr>
          <w:rFonts w:eastAsiaTheme="majorEastAsia"/>
          <w:lang w:eastAsia="en-US"/>
        </w:rPr>
        <w:t>r.</w:t>
      </w:r>
      <w:r w:rsidR="00F04544" w:rsidRPr="00A209C9">
        <w:rPr>
          <w:rFonts w:eastAsiaTheme="majorEastAsia"/>
          <w:lang w:eastAsia="en-US"/>
        </w:rPr>
        <w:t>poz</w:t>
      </w:r>
      <w:proofErr w:type="spellEnd"/>
      <w:r w:rsidR="00F04544" w:rsidRPr="00A209C9">
        <w:rPr>
          <w:rFonts w:eastAsiaTheme="majorEastAsia"/>
          <w:lang w:eastAsia="en-US"/>
        </w:rPr>
        <w:t xml:space="preserve">. </w:t>
      </w:r>
      <w:r w:rsidR="004C084B">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02D0ABEE" w:rsidR="00C95BE9" w:rsidRPr="00A209C9" w:rsidRDefault="004C084B" w:rsidP="00B62981">
      <w:pPr>
        <w:spacing w:line="252" w:lineRule="auto"/>
        <w:jc w:val="center"/>
        <w:rPr>
          <w:rFonts w:eastAsiaTheme="majorEastAsia"/>
          <w:bCs/>
          <w:lang w:eastAsia="en-US"/>
        </w:rPr>
      </w:pPr>
      <w:r>
        <w:rPr>
          <w:rFonts w:eastAsiaTheme="majorEastAsia"/>
          <w:lang w:eastAsia="en-US"/>
        </w:rPr>
        <w:t>Syczeń</w:t>
      </w:r>
      <w:r w:rsidR="00C95BE9" w:rsidRPr="00A209C9">
        <w:rPr>
          <w:rFonts w:eastAsiaTheme="majorEastAsia"/>
          <w:bCs/>
          <w:lang w:eastAsia="en-US"/>
        </w:rPr>
        <w:t xml:space="preserve">, </w:t>
      </w:r>
      <w:r w:rsidR="00E557B1" w:rsidRPr="00A209C9">
        <w:rPr>
          <w:rFonts w:eastAsiaTheme="majorEastAsia"/>
          <w:bCs/>
          <w:lang w:eastAsia="en-US"/>
        </w:rPr>
        <w:t>202</w:t>
      </w:r>
      <w:r>
        <w:rPr>
          <w:rFonts w:eastAsiaTheme="majorEastAsia"/>
          <w:bCs/>
          <w:lang w:eastAsia="en-US"/>
        </w:rPr>
        <w:t>3</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3917541" w14:textId="77777777" w:rsidR="004C084B" w:rsidRDefault="004C084B" w:rsidP="00A209C9">
      <w:pPr>
        <w:spacing w:after="200" w:line="252" w:lineRule="auto"/>
        <w:jc w:val="both"/>
        <w:rPr>
          <w:rFonts w:eastAsiaTheme="majorEastAsia"/>
          <w:b/>
          <w:lang w:eastAsia="en-US"/>
        </w:rPr>
      </w:pPr>
    </w:p>
    <w:p w14:paraId="37045B26" w14:textId="77777777" w:rsidR="00F22DDF" w:rsidRPr="00A209C9" w:rsidRDefault="00F22DDF" w:rsidP="00A209C9">
      <w:pPr>
        <w:spacing w:after="200" w:line="252" w:lineRule="auto"/>
        <w:jc w:val="both"/>
        <w:rPr>
          <w:rFonts w:eastAsiaTheme="majorEastAsia"/>
          <w:b/>
          <w:lang w:eastAsia="en-US"/>
        </w:rPr>
      </w:pPr>
    </w:p>
    <w:p w14:paraId="219999E9" w14:textId="13B403F2"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FAE5991"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 poz. 2019</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2E4F4A99"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r w:rsidRPr="00A209C9">
        <w:rPr>
          <w:color w:val="000000" w:themeColor="text1"/>
        </w:rPr>
        <w:t>oraz art. 109 ust 1 pkt 5, pkt 7, pkt 8, oraz pkt 10 ustawy</w:t>
      </w:r>
      <w:r w:rsidR="001D2168">
        <w:rPr>
          <w:color w:val="000000" w:themeColor="text1"/>
        </w:rPr>
        <w:t xml:space="preserve"> </w:t>
      </w:r>
      <w:r w:rsidR="001D2168">
        <w:rPr>
          <w:rFonts w:eastAsiaTheme="majorEastAsia"/>
          <w:color w:val="000000" w:themeColor="text1"/>
          <w:lang w:eastAsia="en-US"/>
        </w:rPr>
        <w:t xml:space="preserve">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1D347E9C"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w:t>
      </w:r>
      <w:proofErr w:type="spellStart"/>
      <w:r w:rsidR="00B174FF" w:rsidRPr="00A209C9">
        <w:rPr>
          <w:rFonts w:eastAsiaTheme="majorEastAsia"/>
          <w:lang w:eastAsia="en-US"/>
        </w:rPr>
        <w:t>Pzp</w:t>
      </w:r>
      <w:proofErr w:type="spellEnd"/>
      <w:r w:rsidR="00B174FF" w:rsidRPr="00A209C9">
        <w:rPr>
          <w:rFonts w:eastAsiaTheme="majorEastAsia"/>
          <w:lang w:eastAsia="en-US"/>
        </w:rPr>
        <w:t xml:space="preserve">.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 xml:space="preserve">ust 1 pkt 5, pkt 7, pkt 8, oraz pkt 10 </w:t>
      </w:r>
      <w:proofErr w:type="spellStart"/>
      <w:r w:rsidR="00A064AB" w:rsidRPr="00A209C9">
        <w:rPr>
          <w:color w:val="000000" w:themeColor="text1"/>
        </w:rPr>
        <w:t>P.z.p</w:t>
      </w:r>
      <w:proofErr w:type="spellEnd"/>
      <w:r w:rsidR="00A064AB" w:rsidRPr="00A209C9">
        <w:rPr>
          <w:color w:val="000000" w:themeColor="text1"/>
        </w:rPr>
        <w:t>.</w:t>
      </w:r>
      <w:r w:rsidR="001D2168">
        <w:rPr>
          <w:color w:val="000000" w:themeColor="text1"/>
        </w:rPr>
        <w:t xml:space="preserve"> 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5E951F6E" w14:textId="7FCC0EE1" w:rsidR="00E90B9E" w:rsidRDefault="00E90B9E" w:rsidP="00A209C9">
      <w:pPr>
        <w:spacing w:after="200" w:line="252" w:lineRule="auto"/>
        <w:contextualSpacing/>
        <w:jc w:val="both"/>
        <w:rPr>
          <w:rFonts w:eastAsiaTheme="majorEastAsia"/>
          <w:lang w:eastAsia="en-US"/>
        </w:rPr>
      </w:pPr>
    </w:p>
    <w:p w14:paraId="5263C1F4" w14:textId="34891EFA" w:rsidR="004C084B" w:rsidRDefault="004C084B" w:rsidP="00A209C9">
      <w:pPr>
        <w:spacing w:after="200" w:line="252" w:lineRule="auto"/>
        <w:contextualSpacing/>
        <w:jc w:val="both"/>
        <w:rPr>
          <w:rFonts w:eastAsiaTheme="majorEastAsia"/>
          <w:lang w:eastAsia="en-US"/>
        </w:rPr>
      </w:pPr>
    </w:p>
    <w:p w14:paraId="0B761DA3" w14:textId="77777777" w:rsidR="004C084B" w:rsidRPr="00A209C9" w:rsidRDefault="004C084B"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lastRenderedPageBreak/>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07C0573F" w14:textId="013025AE" w:rsidR="004C084B" w:rsidRPr="00A209C9" w:rsidRDefault="00D85B08" w:rsidP="004C084B">
      <w:pPr>
        <w:autoSpaceDE w:val="0"/>
        <w:autoSpaceDN w:val="0"/>
        <w:spacing w:before="120"/>
        <w:ind w:firstLine="360"/>
        <w:jc w:val="both"/>
        <w:rPr>
          <w:i/>
          <w:color w:val="000000" w:themeColor="text1"/>
          <w:u w:val="single"/>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4C084B">
        <w:rPr>
          <w:rFonts w:eastAsiaTheme="majorEastAsia"/>
          <w:lang w:eastAsia="en-US"/>
        </w:rPr>
        <w:t xml:space="preserve">, </w:t>
      </w:r>
      <w:r w:rsidR="00A064AB" w:rsidRPr="00A209C9">
        <w:rPr>
          <w:rFonts w:eastAsiaTheme="majorEastAsia"/>
          <w:lang w:eastAsia="en-US"/>
        </w:rPr>
        <w:t xml:space="preserve"> art. 109 </w:t>
      </w:r>
      <w:r w:rsidR="00A064AB" w:rsidRPr="00A209C9">
        <w:rPr>
          <w:color w:val="000000" w:themeColor="text1"/>
        </w:rPr>
        <w:t>ust 1 pkt 5, pkt 7, pkt 8, pkt 10</w:t>
      </w:r>
      <w:r w:rsidR="00F754E9" w:rsidRPr="00A209C9">
        <w:rPr>
          <w:rFonts w:eastAsiaTheme="majorEastAsia"/>
          <w:lang w:eastAsia="en-US"/>
        </w:rPr>
        <w:t xml:space="preserve"> </w:t>
      </w:r>
      <w:proofErr w:type="spellStart"/>
      <w:r w:rsidR="00F754E9" w:rsidRPr="00A209C9">
        <w:rPr>
          <w:rFonts w:eastAsiaTheme="majorEastAsia"/>
          <w:lang w:eastAsia="en-US"/>
        </w:rPr>
        <w:t>Pzp</w:t>
      </w:r>
      <w:proofErr w:type="spellEnd"/>
      <w:r w:rsidR="004C084B">
        <w:rPr>
          <w:rFonts w:eastAsiaTheme="majorEastAsia"/>
          <w:lang w:eastAsia="en-US"/>
        </w:rPr>
        <w:t xml:space="preserve"> oraz </w:t>
      </w:r>
      <w:proofErr w:type="spellStart"/>
      <w:r w:rsidR="004C084B">
        <w:rPr>
          <w:rFonts w:eastAsiaTheme="majorEastAsia"/>
          <w:color w:val="000000" w:themeColor="text1"/>
          <w:lang w:eastAsia="en-US"/>
        </w:rPr>
        <w:t>oraz</w:t>
      </w:r>
      <w:proofErr w:type="spellEnd"/>
      <w:r w:rsidR="004C084B">
        <w:rPr>
          <w:rFonts w:eastAsiaTheme="majorEastAsia"/>
          <w:color w:val="000000" w:themeColor="text1"/>
          <w:lang w:eastAsia="en-US"/>
        </w:rPr>
        <w:t xml:space="preserve"> </w:t>
      </w:r>
      <w:r w:rsidR="004C084B" w:rsidRPr="00095E7F">
        <w:rPr>
          <w:color w:val="000000"/>
          <w:kern w:val="3"/>
        </w:rPr>
        <w:t>z art. 7 ust 1 ustawy z dnia 13 kwietnia 2022 r. o szczególnych rozwiązaniach w zakresie przeciwdziałania wspieraniu agresji na Ukrainę oraz służących ochronie bezpieczeństwa narodowego</w:t>
      </w:r>
    </w:p>
    <w:p w14:paraId="7E460932" w14:textId="2F222688" w:rsidR="00F754E9" w:rsidRPr="00A209C9" w:rsidRDefault="00F754E9" w:rsidP="00A209C9">
      <w:pPr>
        <w:spacing w:after="200" w:line="252" w:lineRule="auto"/>
        <w:contextualSpacing/>
        <w:jc w:val="both"/>
        <w:rPr>
          <w:rFonts w:eastAsiaTheme="majorEastAsia"/>
          <w:i/>
          <w:iCs/>
          <w:lang w:eastAsia="en-US"/>
        </w:rPr>
      </w:pP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0B448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4D73A66E" w14:textId="4C2CEA3A"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1.</w:t>
      </w:r>
      <w:r w:rsidRPr="004C084B">
        <w:rPr>
          <w:rFonts w:eastAsiaTheme="majorEastAsia"/>
          <w:bCs/>
          <w:lang w:eastAsia="en-US"/>
        </w:rPr>
        <w:tab/>
        <w:t>Zamawiający wymaga odbycia przez wykonawcę wizji lokalnej.</w:t>
      </w:r>
    </w:p>
    <w:p w14:paraId="68C4AEE3"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2.</w:t>
      </w:r>
      <w:r w:rsidRPr="004C084B">
        <w:rPr>
          <w:rFonts w:eastAsiaTheme="majorEastAsia"/>
          <w:bCs/>
          <w:lang w:eastAsia="en-US"/>
        </w:rPr>
        <w:tab/>
        <w:t xml:space="preserve">Termin i zasady udziału w wizji lokalnej do ustalenia u pracownika odpowiedzialnego </w:t>
      </w:r>
      <w:r w:rsidRPr="002C2BF1">
        <w:rPr>
          <w:rFonts w:eastAsiaTheme="majorEastAsia"/>
          <w:bCs/>
          <w:lang w:eastAsia="en-US"/>
        </w:rPr>
        <w:t>za przebieg postępowania :</w:t>
      </w:r>
    </w:p>
    <w:p w14:paraId="5C762E01"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xml:space="preserve">– Ewa Ksiądz, </w:t>
      </w:r>
      <w:proofErr w:type="spellStart"/>
      <w:r w:rsidRPr="004C084B">
        <w:rPr>
          <w:rFonts w:eastAsiaTheme="majorEastAsia"/>
          <w:bCs/>
          <w:lang w:eastAsia="en-US"/>
        </w:rPr>
        <w:t>tel</w:t>
      </w:r>
      <w:proofErr w:type="spellEnd"/>
      <w:r w:rsidRPr="004C084B">
        <w:rPr>
          <w:rFonts w:eastAsiaTheme="majorEastAsia"/>
          <w:bCs/>
          <w:lang w:eastAsia="en-US"/>
        </w:rPr>
        <w:t>: 913832793</w:t>
      </w:r>
    </w:p>
    <w:p w14:paraId="3CCFB9A6"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xml:space="preserve">- Czesław </w:t>
      </w:r>
      <w:proofErr w:type="spellStart"/>
      <w:r w:rsidRPr="004C084B">
        <w:rPr>
          <w:rFonts w:eastAsiaTheme="majorEastAsia"/>
          <w:bCs/>
          <w:lang w:eastAsia="en-US"/>
        </w:rPr>
        <w:t>Kędziera</w:t>
      </w:r>
      <w:proofErr w:type="spellEnd"/>
      <w:r w:rsidRPr="004C084B">
        <w:rPr>
          <w:rFonts w:eastAsiaTheme="majorEastAsia"/>
          <w:bCs/>
          <w:lang w:eastAsia="en-US"/>
        </w:rPr>
        <w:t xml:space="preserve">, </w:t>
      </w:r>
      <w:proofErr w:type="spellStart"/>
      <w:r w:rsidRPr="004C084B">
        <w:rPr>
          <w:rFonts w:eastAsiaTheme="majorEastAsia"/>
          <w:bCs/>
          <w:lang w:eastAsia="en-US"/>
        </w:rPr>
        <w:t>tel</w:t>
      </w:r>
      <w:proofErr w:type="spellEnd"/>
      <w:r w:rsidRPr="004C084B">
        <w:rPr>
          <w:rFonts w:eastAsiaTheme="majorEastAsia"/>
          <w:bCs/>
          <w:lang w:eastAsia="en-US"/>
        </w:rPr>
        <w:t>: 913832793</w:t>
      </w:r>
    </w:p>
    <w:p w14:paraId="0811F49E" w14:textId="77777777" w:rsidR="004C084B" w:rsidRPr="004C084B" w:rsidRDefault="004C084B" w:rsidP="004C084B">
      <w:pPr>
        <w:spacing w:after="200" w:line="252" w:lineRule="auto"/>
        <w:contextualSpacing/>
        <w:jc w:val="both"/>
        <w:rPr>
          <w:rFonts w:eastAsiaTheme="majorEastAsia"/>
          <w:bCs/>
          <w:lang w:eastAsia="en-US"/>
        </w:rPr>
      </w:pPr>
    </w:p>
    <w:p w14:paraId="33E206AC" w14:textId="444CC222"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xml:space="preserve">Potwierdzeniem odbycia wizji będzie </w:t>
      </w:r>
      <w:r>
        <w:rPr>
          <w:rFonts w:eastAsiaTheme="majorEastAsia"/>
          <w:bCs/>
          <w:lang w:eastAsia="en-US"/>
        </w:rPr>
        <w:t>protokół</w:t>
      </w:r>
      <w:r w:rsidRPr="004C084B">
        <w:rPr>
          <w:rFonts w:eastAsiaTheme="majorEastAsia"/>
          <w:bCs/>
          <w:lang w:eastAsia="en-US"/>
        </w:rPr>
        <w:t xml:space="preserve"> podpisan</w:t>
      </w:r>
      <w:r>
        <w:rPr>
          <w:rFonts w:eastAsiaTheme="majorEastAsia"/>
          <w:bCs/>
          <w:lang w:eastAsia="en-US"/>
        </w:rPr>
        <w:t>y</w:t>
      </w:r>
      <w:r w:rsidRPr="004C084B">
        <w:rPr>
          <w:rFonts w:eastAsiaTheme="majorEastAsia"/>
          <w:bCs/>
          <w:lang w:eastAsia="en-US"/>
        </w:rPr>
        <w:t xml:space="preserve"> przez przedstawicieli wykonawcy i zamawiającego. Osoby uczestniczące w wizji powinny być uprawnione do reprezentowania wykonawcy, a ich umocowanie zostanie wykazane stosownym dokumentem przed jej przeprowadzeniem.  </w:t>
      </w:r>
    </w:p>
    <w:p w14:paraId="0126D3F2" w14:textId="77777777" w:rsidR="004C084B" w:rsidRPr="004C084B" w:rsidRDefault="004C084B" w:rsidP="004C084B">
      <w:pPr>
        <w:spacing w:after="200" w:line="252" w:lineRule="auto"/>
        <w:contextualSpacing/>
        <w:jc w:val="both"/>
        <w:rPr>
          <w:rFonts w:eastAsiaTheme="majorEastAsia"/>
          <w:bCs/>
          <w:lang w:eastAsia="en-US"/>
        </w:rPr>
      </w:pPr>
    </w:p>
    <w:p w14:paraId="499DAE20"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xml:space="preserve">Wizja lokalna może odbyć się nie później, niż w dniu poprzedzającym dzień składania ofert, a jeżeli ten dzień ten jest dniem wolnym od pracy lub przypada w sobotę, w pierwszym dniu poprzedzającym te dni.  </w:t>
      </w:r>
    </w:p>
    <w:p w14:paraId="412DD8D8" w14:textId="77777777" w:rsidR="004C084B" w:rsidRPr="004C084B" w:rsidRDefault="004C084B" w:rsidP="004C084B">
      <w:pPr>
        <w:spacing w:after="200" w:line="252" w:lineRule="auto"/>
        <w:contextualSpacing/>
        <w:jc w:val="both"/>
        <w:rPr>
          <w:rFonts w:eastAsiaTheme="majorEastAsia"/>
          <w:bCs/>
          <w:lang w:eastAsia="en-US"/>
        </w:rPr>
      </w:pPr>
    </w:p>
    <w:p w14:paraId="4B52B19C" w14:textId="31DF4FB7" w:rsidR="000B4489" w:rsidRPr="00CD3258" w:rsidRDefault="004C084B" w:rsidP="004C084B">
      <w:pPr>
        <w:spacing w:after="200" w:line="252" w:lineRule="auto"/>
        <w:contextualSpacing/>
        <w:jc w:val="both"/>
        <w:rPr>
          <w:rFonts w:eastAsiaTheme="majorEastAsia"/>
          <w:lang w:eastAsia="en-US"/>
        </w:rPr>
      </w:pPr>
      <w:r w:rsidRPr="004C084B">
        <w:rPr>
          <w:rFonts w:eastAsiaTheme="majorEastAsia"/>
          <w:bCs/>
          <w:lang w:eastAsia="en-US"/>
        </w:rPr>
        <w:t xml:space="preserve">Zgodnie z art. 226 ust. 1 pkt 18 ustawy </w:t>
      </w:r>
      <w:proofErr w:type="spellStart"/>
      <w:r w:rsidRPr="004C084B">
        <w:rPr>
          <w:rFonts w:eastAsiaTheme="majorEastAsia"/>
          <w:bCs/>
          <w:lang w:eastAsia="en-US"/>
        </w:rPr>
        <w:t>Pzp</w:t>
      </w:r>
      <w:proofErr w:type="spellEnd"/>
      <w:r w:rsidRPr="004C084B">
        <w:rPr>
          <w:rFonts w:eastAsiaTheme="majorEastAsia"/>
          <w:bCs/>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lastRenderedPageBreak/>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59219A" w:rsidRDefault="00962CBB" w:rsidP="00A209C9">
      <w:pPr>
        <w:spacing w:after="200" w:line="252" w:lineRule="auto"/>
        <w:contextualSpacing/>
        <w:jc w:val="both"/>
        <w:rPr>
          <w:rFonts w:eastAsiaTheme="majorEastAsia"/>
          <w:lang w:eastAsia="en-US"/>
        </w:rPr>
      </w:pPr>
    </w:p>
    <w:p w14:paraId="55D01B4B" w14:textId="388EC497" w:rsidR="00734704" w:rsidRPr="004E420F" w:rsidRDefault="00734704" w:rsidP="008A2831">
      <w:pPr>
        <w:pStyle w:val="Akapitzlist"/>
        <w:numPr>
          <w:ilvl w:val="0"/>
          <w:numId w:val="44"/>
        </w:numPr>
        <w:spacing w:before="120"/>
        <w:ind w:left="709" w:hanging="283"/>
        <w:jc w:val="both"/>
      </w:pPr>
      <w:r w:rsidRPr="004E420F">
        <w:t xml:space="preserve">Wykonawcy, a także innemu podmiotowi, jeżeli ma lub miał interes w uzyskaniu zamówienia oraz poniósł lub może ponieść szkodę w wyniku naruszenia przez Zamawiającego przepisów PZP, przysługują środki ochrony prawnej określone </w:t>
      </w:r>
      <w:r w:rsidRPr="004E420F">
        <w:br/>
        <w:t xml:space="preserve">w dziale IX PZP tj. odwołanie i skarga do sądu. Postępowanie odwoławcze uregulowane zostało w przepisach art. 506-578 PZP, a postępowanie skargowe </w:t>
      </w:r>
      <w:r w:rsidRPr="004E420F">
        <w:br/>
        <w:t>w przepisach art.. 579-590 PZP.</w:t>
      </w:r>
    </w:p>
    <w:p w14:paraId="2BB3F958" w14:textId="77777777" w:rsidR="00734704" w:rsidRPr="004E420F" w:rsidRDefault="00734704" w:rsidP="008A2831">
      <w:pPr>
        <w:pStyle w:val="Akapitzlist"/>
        <w:numPr>
          <w:ilvl w:val="0"/>
          <w:numId w:val="44"/>
        </w:numPr>
        <w:spacing w:before="120"/>
        <w:jc w:val="both"/>
        <w:rPr>
          <w:rFonts w:eastAsia="A"/>
        </w:rPr>
      </w:pPr>
      <w:r w:rsidRPr="004E420F">
        <w:rPr>
          <w:rFonts w:eastAsia="A"/>
        </w:rPr>
        <w:t>Odwołanie przysługuje na:</w:t>
      </w:r>
    </w:p>
    <w:p w14:paraId="32716A6E" w14:textId="77777777" w:rsidR="00734704" w:rsidRPr="004E420F" w:rsidRDefault="00734704" w:rsidP="008A2831">
      <w:pPr>
        <w:numPr>
          <w:ilvl w:val="0"/>
          <w:numId w:val="43"/>
        </w:numPr>
        <w:tabs>
          <w:tab w:val="left" w:pos="1276"/>
        </w:tabs>
        <w:suppressAutoHyphens/>
        <w:spacing w:before="120"/>
        <w:ind w:left="1276" w:hanging="576"/>
        <w:jc w:val="both"/>
        <w:rPr>
          <w:rFonts w:eastAsia="A"/>
        </w:rPr>
      </w:pPr>
      <w:r w:rsidRPr="004E420F">
        <w:rPr>
          <w:rFonts w:eastAsia="A"/>
        </w:rPr>
        <w:t>niezgodną z przepisami PZP czynność Zamawiającego, podjętą w postępowaniu o udzielenie zamówienia, w tym na projektowane postanowienie umowy;</w:t>
      </w:r>
    </w:p>
    <w:p w14:paraId="440CC00C" w14:textId="77777777" w:rsidR="00734704" w:rsidRPr="004E420F" w:rsidRDefault="00734704" w:rsidP="008A2831">
      <w:pPr>
        <w:numPr>
          <w:ilvl w:val="0"/>
          <w:numId w:val="43"/>
        </w:numPr>
        <w:tabs>
          <w:tab w:val="left" w:pos="1276"/>
        </w:tabs>
        <w:suppressAutoHyphens/>
        <w:spacing w:before="120"/>
        <w:ind w:left="1276" w:hanging="576"/>
        <w:jc w:val="both"/>
        <w:rPr>
          <w:rFonts w:eastAsia="A"/>
        </w:rPr>
      </w:pPr>
      <w:r w:rsidRPr="004E420F">
        <w:rPr>
          <w:rFonts w:eastAsia="A"/>
        </w:rPr>
        <w:t>zaniechanie czynności w postępowaniu o udzielenie zamówienia, do której Zamawiający był obowiązany na podstawie PZP;</w:t>
      </w:r>
    </w:p>
    <w:p w14:paraId="38306E24" w14:textId="337D9254" w:rsidR="00734704" w:rsidRPr="004E420F" w:rsidRDefault="00955050" w:rsidP="00734704">
      <w:pPr>
        <w:tabs>
          <w:tab w:val="left" w:pos="1276"/>
        </w:tabs>
        <w:spacing w:before="120"/>
        <w:ind w:left="1276" w:hanging="576"/>
        <w:jc w:val="both"/>
        <w:rPr>
          <w:rFonts w:eastAsia="A"/>
        </w:rPr>
      </w:pPr>
      <w:r w:rsidRPr="004E420F">
        <w:rPr>
          <w:rFonts w:eastAsia="A"/>
        </w:rPr>
        <w:t>c)</w:t>
      </w:r>
      <w:r w:rsidR="00734704" w:rsidRPr="004E420F">
        <w:rPr>
          <w:rFonts w:eastAsia="A"/>
        </w:rPr>
        <w:tab/>
        <w:t>zaniechanie przeprowadzenia postępowania o udzielenie zamówienia, mimo że Zamawiający był do tego obowiązany.</w:t>
      </w:r>
    </w:p>
    <w:p w14:paraId="34FE367E" w14:textId="760AE99E" w:rsidR="00734704" w:rsidRPr="004E420F" w:rsidRDefault="00734704" w:rsidP="008A2831">
      <w:pPr>
        <w:pStyle w:val="Akapitzlist"/>
        <w:numPr>
          <w:ilvl w:val="0"/>
          <w:numId w:val="44"/>
        </w:numPr>
        <w:spacing w:before="120"/>
        <w:jc w:val="both"/>
        <w:rPr>
          <w:rFonts w:eastAsia="A"/>
        </w:rPr>
      </w:pPr>
      <w:r w:rsidRPr="004E420F">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Pr="004E420F" w:rsidRDefault="00734704" w:rsidP="008A2831">
      <w:pPr>
        <w:pStyle w:val="Akapitzlist"/>
        <w:numPr>
          <w:ilvl w:val="0"/>
          <w:numId w:val="44"/>
        </w:numPr>
        <w:spacing w:before="120"/>
        <w:jc w:val="both"/>
        <w:rPr>
          <w:rFonts w:eastAsia="A"/>
        </w:rPr>
      </w:pPr>
      <w:r w:rsidRPr="004E420F">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Pr="004E420F" w:rsidRDefault="00734704" w:rsidP="008A2831">
      <w:pPr>
        <w:pStyle w:val="Akapitzlist"/>
        <w:numPr>
          <w:ilvl w:val="0"/>
          <w:numId w:val="44"/>
        </w:numPr>
        <w:spacing w:before="120"/>
        <w:jc w:val="both"/>
        <w:rPr>
          <w:rFonts w:eastAsia="A"/>
        </w:rPr>
      </w:pPr>
      <w:r w:rsidRPr="004E420F">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Pr="004E420F" w:rsidRDefault="00734704" w:rsidP="008A2831">
      <w:pPr>
        <w:pStyle w:val="Akapitzlist"/>
        <w:numPr>
          <w:ilvl w:val="0"/>
          <w:numId w:val="44"/>
        </w:numPr>
        <w:spacing w:before="120"/>
        <w:jc w:val="both"/>
        <w:rPr>
          <w:rFonts w:eastAsia="A"/>
        </w:rPr>
      </w:pPr>
      <w:r w:rsidRPr="004E420F">
        <w:rPr>
          <w:rFonts w:eastAsia="A"/>
        </w:rPr>
        <w:t xml:space="preserve">Odwołanie w przypadkach innych niż określone w pkt 4) i 5) SWZ wnosi się w terminie 5 dni od dnia, w którym powzięto lub przy zachowaniu należytej staranności można było powziąć wiadomość o okolicznościach stanowiących podstawę jego wniesienia. </w:t>
      </w:r>
    </w:p>
    <w:p w14:paraId="5139BA4D" w14:textId="77777777" w:rsidR="00734704" w:rsidRPr="004E420F" w:rsidRDefault="00734704" w:rsidP="008A2831">
      <w:pPr>
        <w:pStyle w:val="Akapitzlist"/>
        <w:numPr>
          <w:ilvl w:val="0"/>
          <w:numId w:val="44"/>
        </w:numPr>
        <w:spacing w:after="200" w:line="252" w:lineRule="auto"/>
        <w:contextualSpacing/>
        <w:jc w:val="both"/>
        <w:rPr>
          <w:lang w:eastAsia="en-US"/>
        </w:rPr>
      </w:pPr>
      <w:r w:rsidRPr="004E420F">
        <w:rPr>
          <w:rFonts w:eastAsia="A"/>
        </w:rPr>
        <w:t xml:space="preserve">Na orzeczenie Krajowej Izby Odwoławczej oraz postanowienie Prezesa Krajowej Izby Odwoławczej, o którym mowa w art. 519 ust. 1 PZP, stronom oraz uczestnikom </w:t>
      </w:r>
      <w:r w:rsidRPr="004E420F">
        <w:rPr>
          <w:rFonts w:eastAsia="A"/>
        </w:rPr>
        <w:lastRenderedPageBreak/>
        <w:t xml:space="preserve">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4E420F">
        <w:rPr>
          <w:rFonts w:eastAsia="A"/>
        </w:rPr>
        <w:t>późn</w:t>
      </w:r>
      <w:proofErr w:type="spellEnd"/>
      <w:r w:rsidRPr="004E420F">
        <w:rPr>
          <w:rFonts w:eastAsia="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5F01FC51"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59219A">
        <w:rPr>
          <w:rFonts w:eastAsiaTheme="majorEastAsia"/>
          <w:b/>
          <w:bCs/>
          <w:color w:val="000000" w:themeColor="text1"/>
          <w:lang w:eastAsia="en-US"/>
        </w:rPr>
        <w:t xml:space="preserve">Rozbudowa i przebudowa terenu rekreacyjnego w Świerznie na działce o nr  ewidencyjnym 212/3 obr. Świerzno  </w:t>
      </w:r>
      <w:r w:rsidR="00B50DC1" w:rsidRPr="00B50DC1">
        <w:rPr>
          <w:rFonts w:eastAsiaTheme="majorEastAsia"/>
          <w:b/>
          <w:bCs/>
          <w:color w:val="000000" w:themeColor="text1"/>
          <w:lang w:eastAsia="en-US"/>
        </w:rPr>
        <w:t xml:space="preserve"> </w:t>
      </w:r>
      <w:r w:rsidR="00904223" w:rsidRPr="00904223">
        <w:rPr>
          <w:rFonts w:eastAsiaTheme="majorEastAsia"/>
          <w:b/>
          <w:bCs/>
          <w:color w:val="000000" w:themeColor="text1"/>
          <w:lang w:eastAsia="en-US"/>
        </w:rPr>
        <w:t xml:space="preserve"> </w:t>
      </w:r>
    </w:p>
    <w:p w14:paraId="6362001F"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lastRenderedPageBreak/>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6A398B49"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59219A">
        <w:rPr>
          <w:b/>
          <w:highlight w:val="lightGray"/>
          <w:lang w:eastAsia="en-US"/>
        </w:rPr>
        <w:t xml:space="preserve">2022 </w:t>
      </w:r>
      <w:proofErr w:type="spellStart"/>
      <w:r w:rsidR="0059219A">
        <w:rPr>
          <w:b/>
          <w:highlight w:val="lightGray"/>
          <w:lang w:eastAsia="en-US"/>
        </w:rPr>
        <w:t>r</w:t>
      </w:r>
      <w:r w:rsidRPr="00A209C9">
        <w:rPr>
          <w:b/>
          <w:highlight w:val="lightGray"/>
          <w:lang w:eastAsia="en-US"/>
        </w:rPr>
        <w:t>poz</w:t>
      </w:r>
      <w:proofErr w:type="spellEnd"/>
      <w:r w:rsidRPr="00A209C9">
        <w:rPr>
          <w:b/>
          <w:highlight w:val="lightGray"/>
          <w:lang w:eastAsia="en-US"/>
        </w:rPr>
        <w:t xml:space="preserve">. </w:t>
      </w:r>
      <w:r w:rsidR="0059219A">
        <w:rPr>
          <w:b/>
          <w:highlight w:val="lightGray"/>
          <w:lang w:eastAsia="en-US"/>
        </w:rPr>
        <w:t>1710</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60C5A9C1" w:rsidR="00493561" w:rsidRDefault="00493561" w:rsidP="00A209C9">
      <w:pPr>
        <w:spacing w:after="200" w:line="252" w:lineRule="auto"/>
        <w:ind w:left="360"/>
        <w:contextualSpacing/>
        <w:jc w:val="both"/>
        <w:rPr>
          <w:rFonts w:eastAsiaTheme="majorEastAsia"/>
          <w:b/>
          <w:u w:val="single"/>
          <w:lang w:eastAsia="en-US"/>
        </w:rPr>
      </w:pPr>
    </w:p>
    <w:p w14:paraId="1A0E48DA" w14:textId="3E7D6198" w:rsidR="005D00FD" w:rsidRDefault="005D00FD" w:rsidP="00A209C9">
      <w:pPr>
        <w:spacing w:after="200" w:line="252" w:lineRule="auto"/>
        <w:ind w:left="360"/>
        <w:contextualSpacing/>
        <w:jc w:val="both"/>
        <w:rPr>
          <w:rFonts w:eastAsiaTheme="majorEastAsia"/>
          <w:b/>
          <w:u w:val="single"/>
          <w:lang w:eastAsia="en-US"/>
        </w:rPr>
      </w:pPr>
    </w:p>
    <w:p w14:paraId="6B15D3F1" w14:textId="060BFF19" w:rsidR="005D00FD" w:rsidRDefault="005D00FD" w:rsidP="00A209C9">
      <w:pPr>
        <w:spacing w:after="200" w:line="252" w:lineRule="auto"/>
        <w:ind w:left="360"/>
        <w:contextualSpacing/>
        <w:jc w:val="both"/>
        <w:rPr>
          <w:rFonts w:eastAsiaTheme="majorEastAsia"/>
          <w:b/>
          <w:u w:val="single"/>
          <w:lang w:eastAsia="en-US"/>
        </w:rPr>
      </w:pPr>
    </w:p>
    <w:p w14:paraId="15461051" w14:textId="1ABE07B1" w:rsidR="005D00FD" w:rsidRDefault="005D00FD" w:rsidP="00A209C9">
      <w:pPr>
        <w:spacing w:after="200" w:line="252" w:lineRule="auto"/>
        <w:ind w:left="360"/>
        <w:contextualSpacing/>
        <w:jc w:val="both"/>
        <w:rPr>
          <w:rFonts w:eastAsiaTheme="majorEastAsia"/>
          <w:b/>
          <w:u w:val="single"/>
          <w:lang w:eastAsia="en-US"/>
        </w:rPr>
      </w:pPr>
    </w:p>
    <w:p w14:paraId="0739D544" w14:textId="0518747B" w:rsidR="005D00FD" w:rsidRDefault="005D00FD" w:rsidP="00A209C9">
      <w:pPr>
        <w:spacing w:after="200" w:line="252" w:lineRule="auto"/>
        <w:ind w:left="360"/>
        <w:contextualSpacing/>
        <w:jc w:val="both"/>
        <w:rPr>
          <w:rFonts w:eastAsiaTheme="majorEastAsia"/>
          <w:b/>
          <w:u w:val="single"/>
          <w:lang w:eastAsia="en-US"/>
        </w:rPr>
      </w:pPr>
    </w:p>
    <w:p w14:paraId="16395440" w14:textId="77777777" w:rsidR="005D00FD" w:rsidRPr="00A209C9" w:rsidRDefault="005D00FD"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5F40E1" w14:textId="3CA163E2" w:rsidR="00357B72" w:rsidRPr="00904223" w:rsidRDefault="00172880" w:rsidP="00904223">
      <w:pPr>
        <w:numPr>
          <w:ilvl w:val="0"/>
          <w:numId w:val="10"/>
        </w:numPr>
        <w:spacing w:after="200" w:line="252" w:lineRule="auto"/>
        <w:contextualSpacing/>
        <w:jc w:val="both"/>
        <w:rPr>
          <w:rFonts w:eastAsiaTheme="majorEastAsia"/>
          <w:color w:val="000000" w:themeColor="text1"/>
          <w:lang w:eastAsia="en-US"/>
        </w:rPr>
      </w:pPr>
      <w:r w:rsidRPr="00904223">
        <w:rPr>
          <w:rFonts w:eastAsiaTheme="majorEastAsia"/>
          <w:b/>
          <w:color w:val="000000" w:themeColor="text1"/>
          <w:lang w:eastAsia="en-US"/>
        </w:rPr>
        <w:t>Przedmiot zamówienia stanowi:</w:t>
      </w:r>
      <w:r w:rsidRPr="00904223">
        <w:rPr>
          <w:rFonts w:eastAsiaTheme="majorEastAsia"/>
          <w:color w:val="000000" w:themeColor="text1"/>
          <w:lang w:eastAsia="en-US"/>
        </w:rPr>
        <w:t xml:space="preserve"> </w:t>
      </w:r>
      <w:r w:rsidR="0059219A" w:rsidRPr="0059219A">
        <w:rPr>
          <w:rFonts w:eastAsiaTheme="majorEastAsia"/>
          <w:color w:val="000000" w:themeColor="text1"/>
          <w:lang w:eastAsia="en-US"/>
        </w:rPr>
        <w:t xml:space="preserve">Rozbudowa i przebudowa terenu rekreacyjnego w Świerznie na działce o nr </w:t>
      </w:r>
      <w:r w:rsidR="0059219A">
        <w:rPr>
          <w:rFonts w:eastAsiaTheme="majorEastAsia"/>
          <w:color w:val="000000" w:themeColor="text1"/>
          <w:lang w:eastAsia="en-US"/>
        </w:rPr>
        <w:t xml:space="preserve">ewidencyjnym </w:t>
      </w:r>
      <w:r w:rsidR="0059219A" w:rsidRPr="0059219A">
        <w:rPr>
          <w:rFonts w:eastAsiaTheme="majorEastAsia"/>
          <w:color w:val="000000" w:themeColor="text1"/>
          <w:lang w:eastAsia="en-US"/>
        </w:rPr>
        <w:t xml:space="preserve"> 212/3 obr. Świerzno    </w:t>
      </w:r>
      <w:r w:rsidR="00036204">
        <w:rPr>
          <w:rFonts w:eastAsiaTheme="majorEastAsia"/>
          <w:color w:val="000000" w:themeColor="text1"/>
          <w:lang w:eastAsia="en-US"/>
        </w:rPr>
        <w:t xml:space="preserve"> </w:t>
      </w:r>
    </w:p>
    <w:p w14:paraId="46E8CBBA" w14:textId="1681B251" w:rsidR="00172880" w:rsidRPr="009B5903" w:rsidRDefault="00C0484E" w:rsidP="00A209C9">
      <w:pPr>
        <w:widowControl w:val="0"/>
        <w:numPr>
          <w:ilvl w:val="0"/>
          <w:numId w:val="10"/>
        </w:numPr>
        <w:spacing w:after="200" w:line="252" w:lineRule="auto"/>
        <w:contextualSpacing/>
        <w:jc w:val="both"/>
        <w:rPr>
          <w:rFonts w:eastAsiaTheme="majorEastAsia"/>
          <w:b/>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425B22">
        <w:rPr>
          <w:rFonts w:eastAsiaTheme="majorEastAsia"/>
          <w:b/>
          <w:lang w:eastAsia="en-US"/>
        </w:rPr>
        <w:t xml:space="preserve">: </w:t>
      </w:r>
      <w:r w:rsidR="0059219A" w:rsidRPr="0059219A">
        <w:rPr>
          <w:rFonts w:eastAsiaTheme="majorEastAsia"/>
          <w:b/>
          <w:lang w:eastAsia="en-US"/>
        </w:rPr>
        <w:t>45112723-9</w:t>
      </w:r>
      <w:r w:rsidR="0059219A" w:rsidRPr="0059219A" w:rsidDel="0059219A">
        <w:rPr>
          <w:rFonts w:eastAsiaTheme="majorEastAsia"/>
          <w:b/>
          <w:lang w:eastAsia="en-US"/>
        </w:rPr>
        <w:t xml:space="preserve"> </w:t>
      </w:r>
    </w:p>
    <w:p w14:paraId="318420F9" w14:textId="3228F9DE" w:rsidR="00425B22" w:rsidRDefault="00172880" w:rsidP="0059219A">
      <w:pPr>
        <w:widowControl w:val="0"/>
        <w:jc w:val="both"/>
        <w:rPr>
          <w:rFonts w:eastAsiaTheme="majorEastAsia"/>
          <w:color w:val="000000" w:themeColor="text1"/>
          <w:lang w:eastAsia="en-US"/>
        </w:rPr>
      </w:pPr>
      <w:r w:rsidRPr="0060384D">
        <w:rPr>
          <w:rFonts w:eastAsiaTheme="majorEastAsia"/>
          <w:b/>
          <w:color w:val="000000" w:themeColor="text1"/>
          <w:lang w:eastAsia="en-US"/>
        </w:rPr>
        <w:t xml:space="preserve">Zakres przedmiotu zamówienia obejmuje: </w:t>
      </w:r>
      <w:r w:rsidR="0060384D" w:rsidRPr="009B5903">
        <w:rPr>
          <w:rFonts w:eastAsiaTheme="majorEastAsia"/>
          <w:color w:val="000000" w:themeColor="text1"/>
          <w:lang w:eastAsia="en-US"/>
        </w:rPr>
        <w:t xml:space="preserve">Przedmiotem zamówienia </w:t>
      </w:r>
      <w:bookmarkStart w:id="0" w:name="page8"/>
      <w:bookmarkEnd w:id="0"/>
      <w:r w:rsidR="00425B22">
        <w:rPr>
          <w:rFonts w:eastAsiaTheme="majorEastAsia"/>
          <w:color w:val="000000" w:themeColor="text1"/>
          <w:lang w:eastAsia="en-US"/>
        </w:rPr>
        <w:t xml:space="preserve">jest </w:t>
      </w:r>
      <w:r w:rsidR="0059219A">
        <w:rPr>
          <w:rFonts w:eastAsiaTheme="majorEastAsia"/>
          <w:color w:val="000000" w:themeColor="text1"/>
          <w:lang w:eastAsia="en-US"/>
        </w:rPr>
        <w:t xml:space="preserve">budowa innowacyjnego ekologicznego miejsca rekreacji rodzinnej przy ul. Spacerowej na terenie dz. nr. 212/3 w Świerznie. W ramach zadania projektuję się przebudowę i rozbudowę istniejącego placu rekreacyjnego polegającego na montażu </w:t>
      </w:r>
      <w:r w:rsidR="001A4848">
        <w:rPr>
          <w:rFonts w:eastAsiaTheme="majorEastAsia"/>
          <w:color w:val="000000" w:themeColor="text1"/>
          <w:lang w:eastAsia="en-US"/>
        </w:rPr>
        <w:t>małej infrastruktury:</w:t>
      </w:r>
    </w:p>
    <w:p w14:paraId="5F5805FC" w14:textId="3636916E" w:rsidR="001A4848" w:rsidRDefault="001A4848" w:rsidP="0059219A">
      <w:pPr>
        <w:widowControl w:val="0"/>
        <w:jc w:val="both"/>
        <w:rPr>
          <w:rFonts w:eastAsiaTheme="majorEastAsia"/>
          <w:color w:val="000000" w:themeColor="text1"/>
          <w:lang w:eastAsia="en-US"/>
        </w:rPr>
      </w:pPr>
      <w:r>
        <w:rPr>
          <w:rFonts w:eastAsiaTheme="majorEastAsia"/>
          <w:color w:val="000000" w:themeColor="text1"/>
          <w:lang w:eastAsia="en-US"/>
        </w:rPr>
        <w:t xml:space="preserve">- przesunięcie dwóch istniejących maszyn do ćwiczeń </w:t>
      </w:r>
    </w:p>
    <w:p w14:paraId="6675E74D" w14:textId="43A9A520" w:rsidR="001A4848" w:rsidRDefault="001A4848" w:rsidP="0059219A">
      <w:pPr>
        <w:widowControl w:val="0"/>
        <w:jc w:val="both"/>
        <w:rPr>
          <w:rFonts w:eastAsiaTheme="majorEastAsia"/>
          <w:lang w:eastAsia="en-US"/>
        </w:rPr>
      </w:pPr>
      <w:r>
        <w:rPr>
          <w:rFonts w:eastAsiaTheme="majorEastAsia"/>
          <w:color w:val="000000" w:themeColor="text1"/>
          <w:lang w:eastAsia="en-US"/>
        </w:rPr>
        <w:t>- montaż 5 zestawów zabawek dla dzieci (szczegółowy opis urządzeń znajduję się w dokumentacji projektowej),</w:t>
      </w:r>
    </w:p>
    <w:p w14:paraId="5C5B8C98" w14:textId="35B938C3" w:rsidR="00425B22" w:rsidRDefault="001A4848" w:rsidP="00A209C9">
      <w:pPr>
        <w:widowControl w:val="0"/>
        <w:jc w:val="both"/>
        <w:rPr>
          <w:rFonts w:eastAsiaTheme="majorEastAsia"/>
          <w:lang w:eastAsia="en-US"/>
        </w:rPr>
      </w:pPr>
      <w:r>
        <w:rPr>
          <w:rFonts w:eastAsiaTheme="majorEastAsia"/>
          <w:lang w:eastAsia="en-US"/>
        </w:rPr>
        <w:t xml:space="preserve">-  montaż 8 leżaków </w:t>
      </w:r>
      <w:r w:rsidRPr="001A4848">
        <w:rPr>
          <w:rFonts w:eastAsiaTheme="majorEastAsia"/>
          <w:lang w:eastAsia="en-US"/>
        </w:rPr>
        <w:t>(szczegółowy opis urządzeń znajduję się w dokumentacji projektowej)</w:t>
      </w:r>
      <w:r>
        <w:rPr>
          <w:rFonts w:eastAsiaTheme="majorEastAsia"/>
          <w:lang w:eastAsia="en-US"/>
        </w:rPr>
        <w:t>,</w:t>
      </w:r>
    </w:p>
    <w:p w14:paraId="3C24CD48" w14:textId="77777777" w:rsidR="001A4848" w:rsidRDefault="001A4848" w:rsidP="00A209C9">
      <w:pPr>
        <w:widowControl w:val="0"/>
        <w:jc w:val="both"/>
        <w:rPr>
          <w:rFonts w:eastAsiaTheme="majorEastAsia"/>
          <w:lang w:eastAsia="en-US"/>
        </w:rPr>
      </w:pPr>
      <w:r>
        <w:rPr>
          <w:rFonts w:eastAsiaTheme="majorEastAsia"/>
          <w:lang w:eastAsia="en-US"/>
        </w:rPr>
        <w:t xml:space="preserve">- montaż stolika </w:t>
      </w:r>
      <w:r>
        <w:rPr>
          <w:rFonts w:eastAsiaTheme="majorEastAsia"/>
          <w:color w:val="000000" w:themeColor="text1"/>
          <w:lang w:eastAsia="en-US"/>
        </w:rPr>
        <w:t>(szczegółowy opis urządzeń znajduję się w dokumentacji projektowej)</w:t>
      </w:r>
      <w:r>
        <w:rPr>
          <w:rFonts w:eastAsiaTheme="majorEastAsia"/>
          <w:lang w:eastAsia="en-US"/>
        </w:rPr>
        <w:t>,</w:t>
      </w:r>
    </w:p>
    <w:p w14:paraId="700199ED" w14:textId="073D12CE" w:rsidR="001A4848" w:rsidRDefault="001A4848" w:rsidP="00A209C9">
      <w:pPr>
        <w:widowControl w:val="0"/>
        <w:jc w:val="both"/>
        <w:rPr>
          <w:rFonts w:eastAsiaTheme="majorEastAsia"/>
          <w:lang w:eastAsia="en-US"/>
        </w:rPr>
      </w:pPr>
      <w:r>
        <w:rPr>
          <w:rFonts w:eastAsiaTheme="majorEastAsia"/>
          <w:lang w:eastAsia="en-US"/>
        </w:rPr>
        <w:t xml:space="preserve">- montaż ławki, 4 siedzisk </w:t>
      </w:r>
      <w:r>
        <w:rPr>
          <w:rFonts w:eastAsiaTheme="majorEastAsia"/>
          <w:color w:val="000000" w:themeColor="text1"/>
          <w:lang w:eastAsia="en-US"/>
        </w:rPr>
        <w:t>(szczegółowy opis urządzeń znajduję się w dokumentacji projektowej)</w:t>
      </w:r>
      <w:r>
        <w:rPr>
          <w:rFonts w:eastAsiaTheme="majorEastAsia"/>
          <w:lang w:eastAsia="en-US"/>
        </w:rPr>
        <w:t>,</w:t>
      </w:r>
    </w:p>
    <w:p w14:paraId="7F5478D1" w14:textId="3F6B43FF" w:rsidR="001A4848" w:rsidRDefault="001A4848" w:rsidP="00A209C9">
      <w:pPr>
        <w:widowControl w:val="0"/>
        <w:jc w:val="both"/>
        <w:rPr>
          <w:rFonts w:eastAsiaTheme="majorEastAsia"/>
          <w:lang w:eastAsia="en-US"/>
        </w:rPr>
      </w:pPr>
      <w:r>
        <w:rPr>
          <w:rFonts w:eastAsiaTheme="majorEastAsia"/>
          <w:lang w:eastAsia="en-US"/>
        </w:rPr>
        <w:t>- montaż lamp solarnych  oraz pozostałych elementów małej infrastruktury</w:t>
      </w:r>
      <w:r>
        <w:rPr>
          <w:rFonts w:eastAsiaTheme="majorEastAsia"/>
          <w:color w:val="000000" w:themeColor="text1"/>
          <w:lang w:eastAsia="en-US"/>
        </w:rPr>
        <w:t>(szczegółowy opis urządzeń znajduję się w dokumentacji projektowej)</w:t>
      </w:r>
      <w:r>
        <w:rPr>
          <w:rFonts w:eastAsiaTheme="majorEastAsia"/>
          <w:lang w:eastAsia="en-US"/>
        </w:rPr>
        <w:t>,</w:t>
      </w:r>
    </w:p>
    <w:p w14:paraId="111C5366" w14:textId="44E2822F" w:rsidR="001A4848" w:rsidRDefault="001A4848" w:rsidP="00A209C9">
      <w:pPr>
        <w:widowControl w:val="0"/>
        <w:jc w:val="both"/>
        <w:rPr>
          <w:rFonts w:eastAsiaTheme="majorEastAsia"/>
          <w:lang w:eastAsia="en-US"/>
        </w:rPr>
      </w:pPr>
      <w:r>
        <w:rPr>
          <w:rFonts w:eastAsiaTheme="majorEastAsia"/>
          <w:lang w:eastAsia="en-US"/>
        </w:rPr>
        <w:t>- renowacji ogrodzenia placu zabaw</w:t>
      </w:r>
    </w:p>
    <w:p w14:paraId="293E4A97" w14:textId="77777777" w:rsidR="001A4848" w:rsidRPr="00426A94" w:rsidRDefault="001A4848" w:rsidP="00A209C9">
      <w:pPr>
        <w:widowControl w:val="0"/>
        <w:jc w:val="both"/>
        <w:rPr>
          <w:rFonts w:eastAsiaTheme="majorEastAsia"/>
          <w:lang w:eastAsia="en-US"/>
        </w:rPr>
      </w:pPr>
    </w:p>
    <w:p w14:paraId="07B2528A" w14:textId="1036A34D" w:rsidR="001A4848" w:rsidRPr="001A4848" w:rsidRDefault="00172880" w:rsidP="001A4848">
      <w:pPr>
        <w:numPr>
          <w:ilvl w:val="0"/>
          <w:numId w:val="10"/>
        </w:numPr>
        <w:tabs>
          <w:tab w:val="left" w:pos="284"/>
          <w:tab w:val="left" w:pos="426"/>
          <w:tab w:val="left" w:pos="1276"/>
        </w:tabs>
        <w:spacing w:after="200" w:line="252"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7FC0B8FD" w14:textId="2F1B126E" w:rsidR="002C2BF1" w:rsidRDefault="00F63553" w:rsidP="002C2BF1">
      <w:pPr>
        <w:numPr>
          <w:ilvl w:val="0"/>
          <w:numId w:val="4"/>
        </w:numPr>
        <w:spacing w:after="200" w:line="252" w:lineRule="auto"/>
        <w:contextualSpacing/>
        <w:jc w:val="both"/>
        <w:rPr>
          <w:rFonts w:eastAsiaTheme="majorEastAsia"/>
          <w:bCs/>
          <w:lang w:eastAsia="en-US"/>
        </w:rPr>
      </w:pPr>
      <w:r>
        <w:rPr>
          <w:rFonts w:eastAsiaTheme="majorEastAsia"/>
          <w:bCs/>
          <w:lang w:eastAsia="en-US"/>
        </w:rPr>
        <w:t xml:space="preserve">dokumentacja projektowa </w:t>
      </w:r>
      <w:r w:rsidR="001A4848" w:rsidRPr="002C2BF1">
        <w:rPr>
          <w:rFonts w:eastAsiaTheme="majorEastAsia"/>
          <w:bCs/>
          <w:lang w:eastAsia="en-US"/>
        </w:rPr>
        <w:t xml:space="preserve">  </w:t>
      </w:r>
      <w:r w:rsidR="001A4848" w:rsidRPr="002C2BF1">
        <w:rPr>
          <w:rFonts w:eastAsiaTheme="majorEastAsia"/>
          <w:b/>
          <w:lang w:eastAsia="en-US"/>
        </w:rPr>
        <w:t>- załącznik nr</w:t>
      </w:r>
      <w:r>
        <w:rPr>
          <w:rFonts w:eastAsiaTheme="majorEastAsia"/>
          <w:b/>
          <w:lang w:eastAsia="en-US"/>
        </w:rPr>
        <w:t>6</w:t>
      </w:r>
      <w:r w:rsidR="001A4848" w:rsidRPr="002C2BF1">
        <w:rPr>
          <w:rFonts w:eastAsiaTheme="majorEastAsia"/>
          <w:b/>
          <w:lang w:eastAsia="en-US"/>
        </w:rPr>
        <w:t>7 do SWZ</w:t>
      </w:r>
      <w:r w:rsidR="001A4848" w:rsidRPr="002C2BF1">
        <w:rPr>
          <w:rFonts w:eastAsiaTheme="majorEastAsia"/>
          <w:bCs/>
          <w:lang w:eastAsia="en-US"/>
        </w:rPr>
        <w:t xml:space="preserve"> </w:t>
      </w:r>
    </w:p>
    <w:p w14:paraId="450065FA" w14:textId="3C9EE2CC" w:rsidR="00E14300" w:rsidRPr="002C2BF1" w:rsidRDefault="002C2BF1" w:rsidP="002C2BF1">
      <w:pPr>
        <w:numPr>
          <w:ilvl w:val="0"/>
          <w:numId w:val="4"/>
        </w:numPr>
        <w:spacing w:after="200" w:line="252" w:lineRule="auto"/>
        <w:contextualSpacing/>
        <w:jc w:val="both"/>
        <w:rPr>
          <w:rFonts w:eastAsiaTheme="majorEastAsia"/>
          <w:bCs/>
          <w:lang w:eastAsia="en-US"/>
        </w:rPr>
      </w:pPr>
      <w:r w:rsidRPr="002C2BF1">
        <w:rPr>
          <w:rFonts w:eastAsiaTheme="majorEastAsia"/>
          <w:bCs/>
          <w:lang w:eastAsia="en-US"/>
        </w:rPr>
        <w:t xml:space="preserve">Specyfikacja Techniczna Wykonania i Odbioru Robót </w:t>
      </w:r>
      <w:r>
        <w:rPr>
          <w:rFonts w:eastAsiaTheme="majorEastAsia"/>
          <w:bCs/>
          <w:lang w:eastAsia="en-US"/>
        </w:rPr>
        <w:t xml:space="preserve">- </w:t>
      </w:r>
      <w:r w:rsidR="00D77D8F" w:rsidRPr="002C2BF1">
        <w:rPr>
          <w:rFonts w:eastAsiaTheme="majorEastAsia"/>
          <w:bCs/>
          <w:lang w:eastAsia="en-US"/>
        </w:rPr>
        <w:t xml:space="preserve"> </w:t>
      </w:r>
      <w:r w:rsidR="00D27567" w:rsidRPr="002C2BF1">
        <w:rPr>
          <w:rFonts w:eastAsiaTheme="majorEastAsia"/>
          <w:b/>
          <w:bCs/>
          <w:lang w:eastAsia="en-US"/>
        </w:rPr>
        <w:t xml:space="preserve">załącznik nr </w:t>
      </w:r>
      <w:r w:rsidR="00F63553">
        <w:rPr>
          <w:rFonts w:eastAsiaTheme="majorEastAsia"/>
          <w:b/>
          <w:bCs/>
          <w:lang w:eastAsia="en-US"/>
        </w:rPr>
        <w:t>7</w:t>
      </w:r>
      <w:r w:rsidR="008E364C" w:rsidRPr="002C2BF1">
        <w:rPr>
          <w:rFonts w:eastAsiaTheme="majorEastAsia"/>
          <w:b/>
          <w:bCs/>
          <w:lang w:eastAsia="en-US"/>
        </w:rPr>
        <w:t xml:space="preserve"> </w:t>
      </w:r>
      <w:r w:rsidR="00D77D8F" w:rsidRPr="002C2BF1">
        <w:rPr>
          <w:rFonts w:eastAsiaTheme="majorEastAsia"/>
          <w:b/>
          <w:bCs/>
          <w:lang w:eastAsia="en-US"/>
        </w:rPr>
        <w:t>do SWZ</w:t>
      </w:r>
      <w:r w:rsidR="00E14300" w:rsidRPr="002C2BF1">
        <w:rPr>
          <w:rFonts w:eastAsiaTheme="majorEastAsia"/>
          <w:bCs/>
          <w:lang w:eastAsia="en-US"/>
        </w:rPr>
        <w:t xml:space="preserve"> </w:t>
      </w:r>
    </w:p>
    <w:p w14:paraId="6BC0418B" w14:textId="5F5747A0" w:rsidR="00172880" w:rsidRPr="009B5903" w:rsidRDefault="00172880" w:rsidP="00A209C9">
      <w:pPr>
        <w:numPr>
          <w:ilvl w:val="0"/>
          <w:numId w:val="4"/>
        </w:numPr>
        <w:spacing w:after="200" w:line="252"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499F58BF" w14:textId="77777777" w:rsidR="00172880" w:rsidRPr="009B5903" w:rsidRDefault="00172880" w:rsidP="00A209C9">
      <w:pPr>
        <w:jc w:val="both"/>
        <w:rPr>
          <w:rFonts w:eastAsiaTheme="majorEastAsia"/>
          <w:color w:val="00B050"/>
          <w:lang w:eastAsia="en-US"/>
        </w:rPr>
      </w:pPr>
    </w:p>
    <w:p w14:paraId="011C7CEB" w14:textId="77777777" w:rsidR="00172880" w:rsidRPr="00A209C9" w:rsidRDefault="00172880" w:rsidP="00A209C9">
      <w:pPr>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A209C9">
      <w:pPr>
        <w:jc w:val="both"/>
        <w:rPr>
          <w:b/>
          <w:color w:val="00B050"/>
        </w:rPr>
      </w:pPr>
    </w:p>
    <w:p w14:paraId="209B4676" w14:textId="77777777" w:rsidR="009B7133" w:rsidRPr="0002118E" w:rsidRDefault="009B7133" w:rsidP="009B7133">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7FEAF1D5" w14:textId="6AF02DF5"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w:t>
      </w:r>
      <w:r w:rsidR="00746EE3">
        <w:rPr>
          <w:rFonts w:eastAsiaTheme="majorEastAsia"/>
          <w:color w:val="000000" w:themeColor="text1"/>
          <w:lang w:eastAsia="en-US"/>
        </w:rPr>
        <w:t>24</w:t>
      </w:r>
      <w:r w:rsidRPr="0002118E">
        <w:rPr>
          <w:rFonts w:eastAsiaTheme="majorEastAsia"/>
          <w:color w:val="000000" w:themeColor="text1"/>
          <w:lang w:eastAsia="en-US"/>
        </w:rPr>
        <w:t xml:space="preserve"> m-c  do max. </w:t>
      </w:r>
      <w:r w:rsidR="001A4848">
        <w:rPr>
          <w:rFonts w:eastAsiaTheme="majorEastAsia"/>
          <w:color w:val="000000" w:themeColor="text1"/>
          <w:lang w:eastAsia="en-US"/>
        </w:rPr>
        <w:t>36</w:t>
      </w:r>
      <w:r w:rsidRPr="0002118E">
        <w:rPr>
          <w:rFonts w:eastAsiaTheme="majorEastAsia"/>
          <w:color w:val="000000" w:themeColor="text1"/>
          <w:lang w:eastAsia="en-US"/>
        </w:rPr>
        <w:t xml:space="preserve"> –m-c. </w:t>
      </w:r>
    </w:p>
    <w:p w14:paraId="734C77D4" w14:textId="35DE8CAA"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w:t>
      </w:r>
      <w:r w:rsidR="00746EE3">
        <w:rPr>
          <w:rFonts w:eastAsiaTheme="majorEastAsia"/>
          <w:color w:val="000000" w:themeColor="text1"/>
          <w:lang w:eastAsia="en-US"/>
        </w:rPr>
        <w:t>24</w:t>
      </w:r>
      <w:r w:rsidRPr="0002118E">
        <w:rPr>
          <w:rFonts w:eastAsiaTheme="majorEastAsia"/>
          <w:color w:val="000000" w:themeColor="text1"/>
          <w:lang w:eastAsia="en-US"/>
        </w:rPr>
        <w:t xml:space="preserve"> m-c  do max. </w:t>
      </w:r>
      <w:r w:rsidR="001A4848">
        <w:rPr>
          <w:rFonts w:eastAsiaTheme="majorEastAsia"/>
          <w:color w:val="000000" w:themeColor="text1"/>
          <w:lang w:eastAsia="en-US"/>
        </w:rPr>
        <w:t>36</w:t>
      </w:r>
      <w:r w:rsidRPr="0002118E">
        <w:rPr>
          <w:rFonts w:eastAsiaTheme="majorEastAsia"/>
          <w:color w:val="000000" w:themeColor="text1"/>
          <w:lang w:eastAsia="en-US"/>
        </w:rPr>
        <w:t xml:space="preserve"> –m-c. </w:t>
      </w: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1187329" w:rsidR="006979D1"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206C3DD" w14:textId="14CA53BF" w:rsidR="005D00FD" w:rsidRDefault="005D00FD" w:rsidP="00A209C9">
      <w:pPr>
        <w:spacing w:after="200" w:line="252" w:lineRule="auto"/>
        <w:contextualSpacing/>
        <w:jc w:val="both"/>
        <w:rPr>
          <w:rFonts w:eastAsiaTheme="majorEastAsia"/>
          <w:color w:val="000000" w:themeColor="text1"/>
          <w:lang w:eastAsia="en-US"/>
        </w:rPr>
      </w:pPr>
    </w:p>
    <w:p w14:paraId="30FB86C0" w14:textId="77777777" w:rsidR="005D00FD" w:rsidRPr="00A209C9" w:rsidRDefault="005D00FD"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lastRenderedPageBreak/>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0CF8FB4F" w:rsidR="00E83952" w:rsidRPr="00E83952" w:rsidRDefault="00E83952" w:rsidP="00A209C9">
      <w:pPr>
        <w:pStyle w:val="Standard"/>
        <w:jc w:val="both"/>
        <w:rPr>
          <w:sz w:val="24"/>
          <w:szCs w:val="24"/>
        </w:rPr>
      </w:pPr>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robót, czyli tzw. pracowników fizycznych.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 xml:space="preserve">z przepisami Rozporządzenia Parlamentu Europejskiego i Rady ( UE) 2016/679 z dnia 27 kwietnia 2016 w sprawie ochrony osób fizycznych w związku z </w:t>
      </w:r>
      <w:r w:rsidR="00D30AAA" w:rsidRPr="00A209C9">
        <w:rPr>
          <w:rFonts w:eastAsia="Calibri"/>
          <w:i/>
          <w:lang w:eastAsia="en-US"/>
        </w:rPr>
        <w:lastRenderedPageBreak/>
        <w:t>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Default="00F04C1F" w:rsidP="00A209C9">
      <w:pPr>
        <w:jc w:val="both"/>
      </w:pP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6D480912"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CD3258">
        <w:rPr>
          <w:rFonts w:eastAsiaTheme="majorEastAsia"/>
          <w:b/>
          <w:lang w:eastAsia="en-US"/>
        </w:rPr>
        <w:t xml:space="preserve">60 </w:t>
      </w:r>
      <w:r w:rsidRPr="00A209C9">
        <w:rPr>
          <w:rFonts w:eastAsiaTheme="majorEastAsia"/>
          <w:b/>
          <w:color w:val="000000" w:themeColor="text1"/>
          <w:lang w:eastAsia="en-US"/>
        </w:rPr>
        <w:t>dni od dnia podpisania umowy</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520477C0" w14:textId="7FA406F7" w:rsidR="002A0F60" w:rsidRPr="00CF3CAC" w:rsidRDefault="002A0F60" w:rsidP="00CF3CAC">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bookmarkStart w:id="1" w:name="_Hlk124409530"/>
      <w:r w:rsidRPr="00A209C9">
        <w:rPr>
          <w:color w:val="000000" w:themeColor="text1"/>
        </w:rPr>
        <w:t xml:space="preserve">Zamawiający nie precyzuje w tym zakresie szczególnych wymagań </w:t>
      </w:r>
      <w:bookmarkEnd w:id="1"/>
    </w:p>
    <w:p w14:paraId="1072E130" w14:textId="3A9563F5"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w:t>
      </w:r>
      <w:r w:rsidR="00CF3CAC">
        <w:rPr>
          <w:color w:val="000000" w:themeColor="text1"/>
        </w:rPr>
        <w:t xml:space="preserve">Wykonawca musi wykazać zdolność kredytową lub dysponowanie środkami finansowymi w wysokości co najmniej 50 000,00 zł ( słownie pięćdziesiąt tysięcy złotych 00/100) </w:t>
      </w:r>
    </w:p>
    <w:p w14:paraId="39053C92" w14:textId="77777777" w:rsidR="001A4848" w:rsidRPr="00A209C9" w:rsidRDefault="002A0F60" w:rsidP="001A4848">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1A4848" w:rsidRPr="00A209C9">
        <w:rPr>
          <w:color w:val="000000" w:themeColor="text1"/>
        </w:rPr>
        <w:t xml:space="preserve">Zamawiający nie precyzuje w tym zakresie szczególnych wymagań </w:t>
      </w:r>
    </w:p>
    <w:p w14:paraId="5E0F60DB" w14:textId="77777777" w:rsidR="00DB65A7" w:rsidRPr="00A209C9" w:rsidRDefault="00DB65A7" w:rsidP="004E420F">
      <w:pPr>
        <w:ind w:left="218"/>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 xml:space="preserve">a) udziału w zorganizowanej grupie przestępczej albo związku mającym na celu </w:t>
      </w:r>
      <w:r w:rsidRPr="00095E7F">
        <w:rPr>
          <w:kern w:val="3"/>
        </w:rPr>
        <w:lastRenderedPageBreak/>
        <w:t>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47CC079E" w14:textId="6BB07936" w:rsidR="002A20D0" w:rsidRDefault="00095E7F" w:rsidP="008067FE">
      <w:pPr>
        <w:widowControl w:val="0"/>
        <w:numPr>
          <w:ilvl w:val="0"/>
          <w:numId w:val="56"/>
        </w:numPr>
        <w:suppressAutoHyphens/>
        <w:autoSpaceDN w:val="0"/>
        <w:ind w:left="0" w:hanging="284"/>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C10ADB" w14:textId="1842DCAA" w:rsidR="002A20D0" w:rsidRPr="002A20D0" w:rsidRDefault="00095E7F" w:rsidP="008067FE">
      <w:pPr>
        <w:widowControl w:val="0"/>
        <w:numPr>
          <w:ilvl w:val="0"/>
          <w:numId w:val="56"/>
        </w:numPr>
        <w:suppressAutoHyphens/>
        <w:autoSpaceDN w:val="0"/>
        <w:ind w:left="0" w:hanging="284"/>
        <w:jc w:val="both"/>
        <w:textAlignment w:val="baseline"/>
        <w:rPr>
          <w:kern w:val="3"/>
        </w:rPr>
      </w:pPr>
      <w:r w:rsidRPr="002A20D0">
        <w:rPr>
          <w:kern w:val="3"/>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2A20D0">
        <w:rPr>
          <w:kern w:val="3"/>
        </w:rPr>
        <w:br/>
        <w:t xml:space="preserve">porozumienie w sprawie spłaty tych należności; </w:t>
      </w:r>
    </w:p>
    <w:p w14:paraId="068F998E" w14:textId="338676B0" w:rsidR="00095E7F" w:rsidRPr="002A20D0" w:rsidRDefault="00095E7F" w:rsidP="008067FE">
      <w:pPr>
        <w:widowControl w:val="0"/>
        <w:numPr>
          <w:ilvl w:val="0"/>
          <w:numId w:val="56"/>
        </w:numPr>
        <w:suppressAutoHyphens/>
        <w:autoSpaceDN w:val="0"/>
        <w:ind w:left="0" w:hanging="284"/>
        <w:jc w:val="both"/>
        <w:textAlignment w:val="baseline"/>
        <w:rPr>
          <w:kern w:val="3"/>
        </w:rPr>
      </w:pPr>
      <w:r w:rsidRPr="002A20D0">
        <w:rPr>
          <w:kern w:val="3"/>
        </w:rPr>
        <w:t xml:space="preserve">wobec którego prawomocnie orzeczono zakaz ubiegania się o zamówienia publiczne; </w:t>
      </w:r>
    </w:p>
    <w:p w14:paraId="28C396D7"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7BF20DC1"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6BAA5308"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3B9D863C"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4E029947" w14:textId="5EF21257" w:rsidR="00095E7F" w:rsidRPr="008067FE" w:rsidRDefault="00095E7F" w:rsidP="008067FE">
      <w:pPr>
        <w:pStyle w:val="Akapitzlist"/>
        <w:widowControl w:val="0"/>
        <w:numPr>
          <w:ilvl w:val="0"/>
          <w:numId w:val="10"/>
        </w:numPr>
        <w:suppressAutoHyphens/>
        <w:autoSpaceDN w:val="0"/>
        <w:ind w:left="0" w:hanging="284"/>
        <w:jc w:val="both"/>
        <w:textAlignment w:val="baseline"/>
        <w:rPr>
          <w:kern w:val="3"/>
        </w:rPr>
      </w:pPr>
      <w:r w:rsidRPr="008067FE">
        <w:rPr>
          <w:kern w:val="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8067FE">
        <w:rPr>
          <w:kern w:val="3"/>
        </w:rPr>
        <w:lastRenderedPageBreak/>
        <w:t>lub wnioski o dopuszczenie do udziału w postępowaniu, chyba że wykażą, że przygotowali te oferty lub wnioski niezależnie od siebie;</w:t>
      </w:r>
    </w:p>
    <w:p w14:paraId="54BF1794" w14:textId="48841647" w:rsidR="00095E7F" w:rsidRPr="008067FE" w:rsidRDefault="00095E7F" w:rsidP="008067FE">
      <w:pPr>
        <w:pStyle w:val="Akapitzlist"/>
        <w:numPr>
          <w:ilvl w:val="0"/>
          <w:numId w:val="10"/>
        </w:numPr>
        <w:suppressAutoHyphens/>
        <w:autoSpaceDN w:val="0"/>
        <w:ind w:left="0" w:hanging="284"/>
        <w:jc w:val="both"/>
        <w:textAlignment w:val="baseline"/>
        <w:rPr>
          <w:kern w:val="3"/>
        </w:rPr>
      </w:pPr>
      <w:r w:rsidRPr="008067FE">
        <w:rPr>
          <w:kern w:val="3"/>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8067FE">
        <w:rPr>
          <w:kern w:val="3"/>
        </w:rPr>
        <w:br/>
        <w:t>z udziału w postępowaniu o udzielenie zamówienia.</w:t>
      </w:r>
    </w:p>
    <w:p w14:paraId="41F859FD" w14:textId="77777777" w:rsidR="00095E7F" w:rsidRPr="00095E7F" w:rsidRDefault="00095E7F" w:rsidP="003212AE">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6FA114DA" w14:textId="77777777" w:rsidR="00095E7F" w:rsidRPr="00095E7F" w:rsidRDefault="00095E7F" w:rsidP="008067FE">
      <w:pPr>
        <w:widowControl w:val="0"/>
        <w:numPr>
          <w:ilvl w:val="0"/>
          <w:numId w:val="55"/>
        </w:numPr>
        <w:suppressAutoHyphens/>
        <w:autoSpaceDN w:val="0"/>
        <w:spacing w:before="120" w:after="120"/>
        <w:ind w:left="0"/>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067FE">
      <w:pPr>
        <w:widowControl w:val="0"/>
        <w:numPr>
          <w:ilvl w:val="0"/>
          <w:numId w:val="48"/>
        </w:numPr>
        <w:suppressAutoHyphens/>
        <w:autoSpaceDN w:val="0"/>
        <w:ind w:left="567"/>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67DAF8" w14:textId="77777777" w:rsidR="00095E7F" w:rsidRPr="00095E7F" w:rsidRDefault="00095E7F" w:rsidP="00095E7F">
      <w:pPr>
        <w:suppressAutoHyphens/>
        <w:autoSpaceDN w:val="0"/>
        <w:ind w:left="708"/>
        <w:textAlignment w:val="baseline"/>
        <w:rPr>
          <w:kern w:val="3"/>
        </w:rPr>
      </w:pP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0E57818E" w:rsidR="00095E7F" w:rsidRPr="00095E7F" w:rsidRDefault="00D03F35" w:rsidP="008A2831">
      <w:pPr>
        <w:widowControl w:val="0"/>
        <w:numPr>
          <w:ilvl w:val="0"/>
          <w:numId w:val="50"/>
        </w:numPr>
        <w:suppressAutoHyphens/>
        <w:autoSpaceDN w:val="0"/>
        <w:ind w:left="567"/>
        <w:jc w:val="both"/>
        <w:textAlignment w:val="baseline"/>
        <w:rPr>
          <w:color w:val="000000"/>
          <w:kern w:val="3"/>
        </w:rPr>
      </w:pPr>
      <w:r w:rsidRPr="00D03F35">
        <w:rPr>
          <w:color w:val="000000"/>
          <w:kern w:val="3"/>
        </w:rPr>
        <w:t>Ponadto Zamawiający wykluczy wykonawcę, co do którego wystąpiły podstaw</w:t>
      </w:r>
      <w:r>
        <w:rPr>
          <w:color w:val="000000"/>
          <w:kern w:val="3"/>
        </w:rPr>
        <w:t xml:space="preserve">y </w:t>
      </w:r>
      <w:bookmarkStart w:id="2" w:name="_Hlk124410181"/>
      <w:r w:rsidR="00095E7F" w:rsidRPr="00095E7F">
        <w:rPr>
          <w:color w:val="000000"/>
          <w:kern w:val="3"/>
        </w:rPr>
        <w:t>z art. 7 ust 1 ustawy z dnia 13 kwietnia 2022 r. o szczególnych rozwiązaniach w zakresie przeciwdziałania wspieraniu agresji na Ukrainę oraz służących ochronie bezpieczeństwa narodowego.</w:t>
      </w:r>
    </w:p>
    <w:bookmarkEnd w:id="2"/>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wymienionego w wykazach określonych w rozporządzeniu 765/2006 i rozporządzeniu 269/2014 albo wpisanego w listę na podstawię decyzji w sprawie </w:t>
      </w:r>
      <w:r w:rsidRPr="00095E7F">
        <w:rPr>
          <w:rFonts w:eastAsia="Calibri"/>
          <w:bCs/>
          <w:lang w:eastAsia="en-US"/>
        </w:rPr>
        <w:lastRenderedPageBreak/>
        <w:t>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138E6157"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83901F3" w14:textId="77777777" w:rsidR="00095E7F" w:rsidRPr="00095E7F" w:rsidRDefault="00095E7F" w:rsidP="00095E7F">
      <w:pPr>
        <w:suppressAutoHyphens/>
        <w:autoSpaceDN w:val="0"/>
        <w:ind w:left="708"/>
        <w:textAlignment w:val="baseline"/>
        <w:rPr>
          <w:bCs/>
          <w:kern w:val="3"/>
        </w:rPr>
      </w:pP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08466B4E" w14:textId="77777777" w:rsidR="00095E7F" w:rsidRPr="00095E7F" w:rsidRDefault="00095E7F" w:rsidP="00095E7F">
      <w:pPr>
        <w:suppressAutoHyphens/>
        <w:autoSpaceDN w:val="0"/>
        <w:ind w:left="1440"/>
        <w:jc w:val="both"/>
        <w:textAlignment w:val="baseline"/>
        <w:rPr>
          <w:color w:val="000000"/>
          <w:kern w:val="3"/>
        </w:rPr>
      </w:pP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2401A073" w:rsidR="002A0F60" w:rsidRPr="00A209C9" w:rsidRDefault="002A0F60" w:rsidP="00B14D4C">
      <w:pPr>
        <w:autoSpaceDE w:val="0"/>
        <w:autoSpaceDN w:val="0"/>
        <w:spacing w:before="120" w:after="120"/>
        <w:ind w:left="36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57C78203" w14:textId="77777777" w:rsidR="00C86586" w:rsidRDefault="00C86586" w:rsidP="00A209C9">
      <w:pPr>
        <w:pStyle w:val="Tekstpodstawowy"/>
        <w:spacing w:after="0"/>
        <w:ind w:right="20"/>
        <w:jc w:val="both"/>
        <w:rPr>
          <w:b/>
          <w:color w:val="000000" w:themeColor="text1"/>
        </w:rPr>
      </w:pPr>
    </w:p>
    <w:p w14:paraId="70444247" w14:textId="77777777" w:rsidR="00C86586" w:rsidRDefault="00C86586" w:rsidP="00A209C9">
      <w:pPr>
        <w:pStyle w:val="Tekstpodstawowy"/>
        <w:spacing w:after="0"/>
        <w:ind w:right="20"/>
        <w:jc w:val="both"/>
        <w:rPr>
          <w:b/>
          <w:color w:val="000000" w:themeColor="text1"/>
        </w:rPr>
      </w:pPr>
    </w:p>
    <w:p w14:paraId="09D06845" w14:textId="1EE27236"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lastRenderedPageBreak/>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542E5765"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702C387"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3B0483F8"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4DCB1A21"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02DBCF44"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1A1DA7E"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AC08BAF"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9ED27E9" w14:textId="0EC878B6" w:rsidR="00AD7F5C" w:rsidRPr="00AD7F5C" w:rsidRDefault="00AD7F5C" w:rsidP="00AD7F5C">
      <w:pPr>
        <w:widowControl w:val="0"/>
        <w:numPr>
          <w:ilvl w:val="0"/>
          <w:numId w:val="71"/>
        </w:numPr>
        <w:suppressAutoHyphens/>
        <w:autoSpaceDN w:val="0"/>
        <w:ind w:left="142" w:right="20" w:firstLine="426"/>
        <w:jc w:val="both"/>
        <w:textAlignment w:val="baseline"/>
        <w:rPr>
          <w:kern w:val="3"/>
          <w:lang w:eastAsia="ar-SA"/>
        </w:rPr>
      </w:pPr>
      <w:r w:rsidRPr="00AD7F5C">
        <w:rPr>
          <w:b/>
          <w:kern w:val="3"/>
          <w:u w:val="thick"/>
          <w:lang w:eastAsia="ar-SA"/>
        </w:rPr>
        <w:t>Wszyscy Wykonawcy</w:t>
      </w:r>
      <w:r w:rsidRPr="00AD7F5C">
        <w:rPr>
          <w:b/>
          <w:kern w:val="3"/>
          <w:lang w:eastAsia="ar-SA"/>
        </w:rPr>
        <w:t xml:space="preserve"> </w:t>
      </w:r>
      <w:r w:rsidRPr="00AD7F5C">
        <w:rPr>
          <w:kern w:val="3"/>
          <w:lang w:eastAsia="ar-SA"/>
        </w:rPr>
        <w:t xml:space="preserve">muszą załączyć do oferty kosztorys ofertowy. Kosztorys ofertowy i uwzględniać wszystkie koszty niezbędne do realizacji zamówienia. Wykonawca </w:t>
      </w:r>
      <w:r w:rsidRPr="00AD7F5C">
        <w:rPr>
          <w:kern w:val="3"/>
          <w:lang w:eastAsia="ar-SA"/>
        </w:rPr>
        <w:lastRenderedPageBreak/>
        <w:t>określa ceny na wszystkie elementy zamówienia wymienione</w:t>
      </w:r>
      <w:r w:rsidR="00456544">
        <w:rPr>
          <w:kern w:val="3"/>
          <w:lang w:eastAsia="ar-SA"/>
        </w:rPr>
        <w:t xml:space="preserve"> w</w:t>
      </w:r>
      <w:r w:rsidRPr="00AD7F5C">
        <w:rPr>
          <w:kern w:val="3"/>
          <w:lang w:eastAsia="ar-SA"/>
        </w:rPr>
        <w:t xml:space="preserve"> </w:t>
      </w:r>
      <w:r w:rsidR="003A5B71">
        <w:rPr>
          <w:kern w:val="3"/>
          <w:lang w:eastAsia="ar-SA"/>
        </w:rPr>
        <w:t>dokumentacji projektowej</w:t>
      </w:r>
      <w:r w:rsidRPr="00AD7F5C">
        <w:rPr>
          <w:kern w:val="3"/>
          <w:lang w:eastAsia="ar-SA"/>
        </w:rPr>
        <w:t>, które po wypełnieniu przez Wykonawcę stanowić będą kosztorys ofertowy jako załącznik do oferty.</w:t>
      </w:r>
      <w:r w:rsidR="005D00FD" w:rsidRPr="005D00FD">
        <w:t xml:space="preserve"> </w:t>
      </w:r>
      <w:r w:rsidR="005D00FD" w:rsidRPr="005D00FD">
        <w:rPr>
          <w:kern w:val="3"/>
          <w:lang w:eastAsia="ar-SA"/>
        </w:rPr>
        <w:t>Zamawiający rozumie przez to  wykaz wszystkich robót oraz cen jednostkowych, kosztorys ofertowy ma mieć charakter pomocniczy</w:t>
      </w:r>
    </w:p>
    <w:p w14:paraId="4A210C68" w14:textId="77777777" w:rsidR="00AD7F5C" w:rsidRPr="00AD7F5C" w:rsidRDefault="00AD7F5C" w:rsidP="00AD7F5C">
      <w:pPr>
        <w:suppressAutoHyphens/>
        <w:autoSpaceDN w:val="0"/>
        <w:ind w:right="20"/>
        <w:jc w:val="both"/>
        <w:textAlignment w:val="baseline"/>
        <w:rPr>
          <w:kern w:val="3"/>
          <w:lang w:eastAsia="ar-SA"/>
        </w:rPr>
      </w:pPr>
    </w:p>
    <w:p w14:paraId="70E5C7CC" w14:textId="77777777" w:rsidR="00AD7F5C" w:rsidRPr="00AD7F5C" w:rsidRDefault="00AD7F5C" w:rsidP="00AD7F5C">
      <w:pPr>
        <w:suppressAutoHyphens/>
        <w:autoSpaceDN w:val="0"/>
        <w:ind w:right="20"/>
        <w:jc w:val="both"/>
        <w:textAlignment w:val="baseline"/>
        <w:rPr>
          <w:b/>
          <w:kern w:val="3"/>
          <w:lang w:eastAsia="ar-SA"/>
        </w:rPr>
      </w:pPr>
      <w:r w:rsidRPr="00AD7F5C">
        <w:rPr>
          <w:b/>
          <w:kern w:val="3"/>
          <w:lang w:eastAsia="ar-SA"/>
        </w:rPr>
        <w:t>Wymagana forma:</w:t>
      </w:r>
    </w:p>
    <w:p w14:paraId="3A2ECB08" w14:textId="77777777"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4E2DA842" w14:textId="5240E8B6" w:rsidR="009E2217" w:rsidRPr="00CF3CAC" w:rsidRDefault="009E2217" w:rsidP="004E420F">
      <w:pPr>
        <w:pStyle w:val="Akapitzlist"/>
        <w:numPr>
          <w:ilvl w:val="1"/>
          <w:numId w:val="1"/>
        </w:numPr>
        <w:jc w:val="both"/>
        <w:rPr>
          <w:b/>
          <w:bCs/>
        </w:rPr>
      </w:pPr>
      <w:r w:rsidRPr="00A209C9">
        <w:t xml:space="preserve">art. 108 ust. </w:t>
      </w:r>
      <w:r w:rsidR="003A5B71" w:rsidRPr="003A5B71">
        <w:rPr>
          <w:color w:val="000000" w:themeColor="text1"/>
        </w:rPr>
        <w:t>pkt 1 i pkt 2</w:t>
      </w:r>
      <w:r w:rsidR="00F2460B">
        <w:t xml:space="preserve">, </w:t>
      </w:r>
      <w:r w:rsidRPr="00A209C9">
        <w:t xml:space="preserve">pkt 3, </w:t>
      </w:r>
      <w:r w:rsidRPr="003A5B71">
        <w:rPr>
          <w:color w:val="000000" w:themeColor="text1"/>
        </w:rPr>
        <w:t>pkt 4, pkt 5, pkt 6</w:t>
      </w:r>
      <w:r w:rsidR="003A5B71" w:rsidRPr="003A5B71">
        <w:rPr>
          <w:color w:val="000000" w:themeColor="text1"/>
        </w:rPr>
        <w:t xml:space="preserve">; </w:t>
      </w:r>
      <w:r w:rsidR="003A5B71" w:rsidRPr="00A209C9">
        <w:t xml:space="preserve">art. 109 ust. 1 pkt 5, pkt 7, pkt 8 i pkt 10 </w:t>
      </w:r>
      <w:proofErr w:type="spellStart"/>
      <w:r w:rsidR="003A5B71" w:rsidRPr="00A209C9">
        <w:t>P.z.p</w:t>
      </w:r>
      <w:proofErr w:type="spellEnd"/>
      <w:r w:rsidR="003A5B71" w:rsidRPr="00A209C9">
        <w:t>.</w:t>
      </w:r>
      <w:r w:rsidR="003A5B71">
        <w:t xml:space="preserve"> oraz </w:t>
      </w:r>
      <w:r w:rsidR="003A5B71" w:rsidRPr="003A5B71">
        <w:t>z art. 7 ust 1 ustawy z dnia 13 kwietnia 2022 r. o szczególnych rozwiązaniach w zakresie przeciwdziałania wspieraniu agresji na Ukrainę oraz służących ochronie bezpieczeństwa narodowego.</w:t>
      </w:r>
      <w:r w:rsidR="003A5B71">
        <w:t xml:space="preserve"> - </w:t>
      </w:r>
      <w:r w:rsidRPr="004E420F">
        <w:rPr>
          <w:b/>
          <w:bCs/>
          <w:color w:val="000000" w:themeColor="text1"/>
        </w:rPr>
        <w:t xml:space="preserve">oświadczenie wykonawcy </w:t>
      </w:r>
      <w:r w:rsidR="003A5B71" w:rsidRPr="004E420F">
        <w:rPr>
          <w:b/>
          <w:bCs/>
          <w:color w:val="000000" w:themeColor="text1"/>
        </w:rPr>
        <w:t xml:space="preserve"> </w:t>
      </w:r>
      <w:r w:rsidRPr="004E420F">
        <w:rPr>
          <w:b/>
          <w:bCs/>
          <w:color w:val="000000" w:themeColor="text1"/>
        </w:rPr>
        <w:t xml:space="preserve">o aktualności informacji zawartych w oświadczeniu, o którym mowa w art. 125 ust. 1 ustawy </w:t>
      </w:r>
      <w:r w:rsidRPr="004E420F">
        <w:rPr>
          <w:b/>
          <w:bCs/>
        </w:rPr>
        <w:t xml:space="preserve">stanowiącym załącznik nr </w:t>
      </w:r>
      <w:r w:rsidR="00F63553">
        <w:rPr>
          <w:b/>
          <w:bCs/>
        </w:rPr>
        <w:t>8</w:t>
      </w:r>
      <w:r w:rsidRPr="004E420F">
        <w:rPr>
          <w:b/>
          <w:bCs/>
        </w:rPr>
        <w:t xml:space="preserve"> do SWZ;</w:t>
      </w:r>
      <w:r w:rsidRPr="004E420F">
        <w:rPr>
          <w:b/>
          <w:bCs/>
          <w:color w:val="000000" w:themeColor="text1"/>
        </w:rPr>
        <w:t xml:space="preserve"> </w:t>
      </w:r>
    </w:p>
    <w:p w14:paraId="1BE1E148" w14:textId="77777777" w:rsidR="00CF3CAC" w:rsidRPr="00CF3CAC" w:rsidRDefault="00CF3CAC" w:rsidP="00CF3CAC">
      <w:pPr>
        <w:jc w:val="both"/>
        <w:rPr>
          <w:b/>
          <w:bCs/>
        </w:rPr>
      </w:pPr>
    </w:p>
    <w:p w14:paraId="45539B87" w14:textId="10288227" w:rsidR="00E42ED3" w:rsidRDefault="00CF3CAC" w:rsidP="00CF3CAC">
      <w:pPr>
        <w:pStyle w:val="Akapitzlist"/>
        <w:numPr>
          <w:ilvl w:val="0"/>
          <w:numId w:val="39"/>
        </w:numPr>
        <w:jc w:val="both"/>
      </w:pPr>
      <w:r>
        <w:t>w zakresie spełnienia warunków  udziału:</w:t>
      </w:r>
    </w:p>
    <w:p w14:paraId="18A07B31" w14:textId="68BA1719" w:rsidR="00CF3CAC" w:rsidRPr="00CF3CAC" w:rsidRDefault="00CF3CAC" w:rsidP="00CF3CAC">
      <w:pPr>
        <w:pStyle w:val="Akapitzlist"/>
        <w:numPr>
          <w:ilvl w:val="0"/>
          <w:numId w:val="73"/>
        </w:numPr>
        <w:jc w:val="both"/>
      </w:pPr>
      <w:r>
        <w:t>informacji banku lub spółdzielczej kasy oszczędnościowo-kredytowej potwierdzającej wysokość posiadanych środków finansowych lub zdolność kredytową wykonawcy, w okresie nie wcześniejszym niż 3 miesiące przed jej złożeniem;</w:t>
      </w:r>
    </w:p>
    <w:p w14:paraId="3BD4839B" w14:textId="77777777" w:rsidR="002A0F60" w:rsidRPr="00A209C9" w:rsidRDefault="002A0F60" w:rsidP="00A209C9">
      <w:pPr>
        <w:pStyle w:val="Tekstpodstawowy"/>
        <w:spacing w:after="0"/>
        <w:ind w:right="20"/>
        <w:jc w:val="both"/>
      </w:pPr>
    </w:p>
    <w:p w14:paraId="49C6B4C4" w14:textId="77777777" w:rsidR="00D66BAF" w:rsidRPr="00E21DF6" w:rsidRDefault="00D66BAF" w:rsidP="004E420F">
      <w:pPr>
        <w:rPr>
          <w:color w:val="000000" w:themeColor="text1"/>
        </w:rPr>
      </w:pPr>
    </w:p>
    <w:p w14:paraId="35610BA6" w14:textId="5997CA3F" w:rsidR="003A18B3" w:rsidRPr="00A209C9"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4C666964"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15026">
        <w:rPr>
          <w:b/>
          <w:color w:val="000000" w:themeColor="text1"/>
        </w:rPr>
        <w:t>1</w:t>
      </w:r>
      <w:r w:rsidRPr="00A209C9">
        <w:rPr>
          <w:b/>
          <w:color w:val="000000" w:themeColor="text1"/>
        </w:rPr>
        <w:t>.000,00</w:t>
      </w:r>
      <w:r w:rsidRPr="00A209C9">
        <w:rPr>
          <w:bCs/>
          <w:color w:val="000000" w:themeColor="text1"/>
        </w:rPr>
        <w:t xml:space="preserve">. (słownie: </w:t>
      </w:r>
      <w:r w:rsidR="00415026">
        <w:rPr>
          <w:bCs/>
          <w:color w:val="000000" w:themeColor="text1"/>
        </w:rPr>
        <w:t>tysiąc</w:t>
      </w:r>
      <w:r w:rsidR="00415026" w:rsidRPr="00A209C9">
        <w:rPr>
          <w:bCs/>
          <w:color w:val="000000" w:themeColor="text1"/>
        </w:rPr>
        <w:t xml:space="preserve"> </w:t>
      </w:r>
      <w:r w:rsidRPr="00A209C9">
        <w:rPr>
          <w:bCs/>
          <w:color w:val="000000" w:themeColor="text1"/>
        </w:rPr>
        <w:t xml:space="preserve"> zł.  00/00).</w:t>
      </w:r>
    </w:p>
    <w:p w14:paraId="7500178F" w14:textId="49CA7DDF"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3A5B71">
        <w:rPr>
          <w:b/>
        </w:rPr>
        <w:t>02</w:t>
      </w:r>
      <w:r w:rsidR="00A13F11">
        <w:rPr>
          <w:b/>
        </w:rPr>
        <w:t>.</w:t>
      </w:r>
      <w:r w:rsidR="003A5B71">
        <w:rPr>
          <w:b/>
        </w:rPr>
        <w:t>03</w:t>
      </w:r>
      <w:r w:rsidR="00A13F11">
        <w:rPr>
          <w:b/>
        </w:rPr>
        <w:t>.</w:t>
      </w:r>
      <w:r w:rsidR="00045388" w:rsidRPr="0017395A">
        <w:rPr>
          <w:b/>
        </w:rPr>
        <w:t>202</w:t>
      </w:r>
      <w:r w:rsidR="003A5B71">
        <w:rPr>
          <w:b/>
        </w:rPr>
        <w:t>3</w:t>
      </w:r>
      <w:r w:rsidR="006D19FC" w:rsidRPr="0017395A">
        <w:t xml:space="preserve"> </w:t>
      </w:r>
      <w:r w:rsidR="006D19FC" w:rsidRPr="00A209C9">
        <w:rPr>
          <w:color w:val="000000" w:themeColor="text1"/>
        </w:rPr>
        <w:t>roku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lastRenderedPageBreak/>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29A35654"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3A5B71">
        <w:rPr>
          <w:b/>
          <w:color w:val="000000" w:themeColor="text1"/>
        </w:rPr>
        <w:t>02</w:t>
      </w:r>
      <w:r w:rsidR="001D2168">
        <w:rPr>
          <w:b/>
          <w:color w:val="000000" w:themeColor="text1"/>
        </w:rPr>
        <w:t>.</w:t>
      </w:r>
      <w:r w:rsidR="003A5B71">
        <w:rPr>
          <w:b/>
          <w:color w:val="000000" w:themeColor="text1"/>
        </w:rPr>
        <w:t>03</w:t>
      </w:r>
      <w:r w:rsidR="00A13F11">
        <w:rPr>
          <w:b/>
          <w:color w:val="000000" w:themeColor="text1"/>
        </w:rPr>
        <w:t>.</w:t>
      </w:r>
      <w:r w:rsidR="00F14BC2" w:rsidRPr="009B5903">
        <w:rPr>
          <w:b/>
          <w:color w:val="000000" w:themeColor="text1"/>
        </w:rPr>
        <w:t>202</w:t>
      </w:r>
      <w:r w:rsidR="003A5B71">
        <w:rPr>
          <w:b/>
          <w:color w:val="000000" w:themeColor="text1"/>
        </w:rPr>
        <w:t>3</w:t>
      </w:r>
      <w:r w:rsidR="00F14BC2" w:rsidRPr="00F14BC2">
        <w:rPr>
          <w:color w:val="000000" w:themeColor="text1"/>
        </w:rPr>
        <w:t xml:space="preserve">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3"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4" w:name="_Toc42045496"/>
      <w:bookmarkEnd w:id="3"/>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4"/>
    </w:p>
    <w:p w14:paraId="6FA21082" w14:textId="77777777" w:rsidR="002A0F60" w:rsidRPr="00A209C9" w:rsidRDefault="002A0F60" w:rsidP="008A2831">
      <w:pPr>
        <w:numPr>
          <w:ilvl w:val="0"/>
          <w:numId w:val="12"/>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5538730" w14:textId="7CA8EB5E" w:rsidR="00970482" w:rsidRPr="00A209C9" w:rsidRDefault="00DA5BE2" w:rsidP="00B62981">
      <w:pPr>
        <w:keepLines/>
        <w:numPr>
          <w:ilvl w:val="0"/>
          <w:numId w:val="36"/>
        </w:numPr>
        <w:spacing w:line="276" w:lineRule="auto"/>
        <w:jc w:val="both"/>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w:t>
      </w:r>
      <w:proofErr w:type="spellStart"/>
      <w:r w:rsidR="00970482" w:rsidRPr="00A209C9">
        <w:t>systemu.</w:t>
      </w:r>
      <w:bookmarkStart w:id="5" w:name="_21eeoojwb3nb" w:colFirst="0" w:colLast="0"/>
      <w:bookmarkEnd w:id="5"/>
      <w:r w:rsidR="00970482" w:rsidRPr="00A209C9">
        <w:t>Poświadczenia</w:t>
      </w:r>
      <w:proofErr w:type="spellEnd"/>
      <w:r w:rsidR="00970482" w:rsidRPr="00A209C9">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970482" w:rsidRPr="00B62981">
        <w:t>kwalifikowanym podpisem elektronicznym</w:t>
      </w:r>
      <w:r w:rsidR="00970482" w:rsidRPr="00A209C9">
        <w:t xml:space="preserve"> lub </w:t>
      </w:r>
      <w:r w:rsidR="00970482" w:rsidRPr="00B62981">
        <w:t>podpisem zaufanym</w:t>
      </w:r>
      <w:r w:rsidR="00970482" w:rsidRPr="00A209C9">
        <w:t xml:space="preserve"> lub </w:t>
      </w:r>
      <w:r w:rsidR="00970482" w:rsidRPr="00B62981">
        <w:t>podpisem osobistym</w:t>
      </w:r>
      <w:r w:rsidR="00970482"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lastRenderedPageBreak/>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8A2831">
      <w:pPr>
        <w:numPr>
          <w:ilvl w:val="0"/>
          <w:numId w:val="36"/>
        </w:numPr>
        <w:jc w:val="both"/>
      </w:pPr>
      <w:r w:rsidRPr="00A209C9">
        <w:lastRenderedPageBreak/>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7678E13E"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lastRenderedPageBreak/>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 xml:space="preserve">Zgodnie z art. 225 ustawy </w:t>
      </w:r>
      <w:proofErr w:type="spellStart"/>
      <w:r w:rsidRPr="008A2831">
        <w:rPr>
          <w:b/>
          <w:color w:val="000000"/>
          <w:kern w:val="3"/>
          <w:lang w:eastAsia="en-US"/>
        </w:rPr>
        <w:t>Pzp</w:t>
      </w:r>
      <w:proofErr w:type="spellEnd"/>
      <w:r w:rsidRPr="008A2831">
        <w:rPr>
          <w:b/>
          <w:color w:val="000000"/>
          <w:kern w:val="3"/>
          <w:lang w:eastAsia="en-US"/>
        </w:rPr>
        <w:t xml:space="preserve">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lastRenderedPageBreak/>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t>5) Informację w powyższym zakresie wykonawca składa w załączniku nr 3 do SWZ - Informacja o wykonawcy. Brak złożenia ww. informacji będzie postrzegany jako brak powstania obowiązku podatkowego u zamawiającego.</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6" w:name="bookmark28"/>
    </w:p>
    <w:bookmarkEnd w:id="6"/>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77777777" w:rsidR="00970482" w:rsidRPr="00A209C9" w:rsidRDefault="00970482" w:rsidP="008A2831">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lastRenderedPageBreak/>
        <w:t xml:space="preserve">zainstalowany program Adobe </w:t>
      </w:r>
      <w:proofErr w:type="spellStart"/>
      <w:r w:rsidRPr="00A209C9">
        <w:t>Acrobat</w:t>
      </w:r>
      <w:proofErr w:type="spellEnd"/>
      <w:r w:rsidRPr="00A209C9">
        <w:t xml:space="preserve">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00E9676A" w:rsidRPr="00A209C9">
        <w:t>P.z.p</w:t>
      </w:r>
      <w:proofErr w:type="spellEnd"/>
      <w:r w:rsidR="00E9676A" w:rsidRPr="00A209C9">
        <w:t>.</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t>w zakresie dotyczącym przedmiotu zamówienia:</w:t>
      </w:r>
    </w:p>
    <w:p w14:paraId="0EF8DA5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Czesław </w:t>
      </w:r>
      <w:proofErr w:type="spellStart"/>
      <w:r w:rsidRPr="00A209C9">
        <w:rPr>
          <w:color w:val="000000" w:themeColor="text1"/>
        </w:rPr>
        <w:t>Kędziera</w:t>
      </w:r>
      <w:proofErr w:type="spellEnd"/>
      <w:r w:rsidRPr="00A209C9">
        <w:rPr>
          <w:color w:val="000000" w:themeColor="text1"/>
        </w:rPr>
        <w:t xml:space="preserve"> </w:t>
      </w:r>
    </w:p>
    <w:p w14:paraId="7BDCB60F"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5D414CB7" w14:textId="77777777"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2406EC0"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CE59EA8" w14:textId="77777777" w:rsidR="00B62981" w:rsidRPr="00A209C9" w:rsidRDefault="00B62981"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7E109E33" w:rsidR="00970482" w:rsidRPr="00A209C9" w:rsidRDefault="00970482" w:rsidP="008A2831">
      <w:pPr>
        <w:numPr>
          <w:ilvl w:val="1"/>
          <w:numId w:val="16"/>
        </w:numPr>
        <w:ind w:left="431" w:right="-108"/>
        <w:jc w:val="both"/>
      </w:pPr>
      <w:r w:rsidRPr="00A209C9">
        <w:t>Ofertę należy z</w:t>
      </w:r>
      <w:r w:rsidR="0063334B" w:rsidRPr="00A209C9">
        <w:t xml:space="preserve">łożyć w terminie do dnia  </w:t>
      </w:r>
      <w:r w:rsidR="0010255D">
        <w:rPr>
          <w:b/>
        </w:rPr>
        <w:t>31</w:t>
      </w:r>
      <w:r w:rsidR="0017395A" w:rsidRPr="0017395A">
        <w:rPr>
          <w:b/>
        </w:rPr>
        <w:t xml:space="preserve"> </w:t>
      </w:r>
      <w:r w:rsidR="0010255D">
        <w:rPr>
          <w:b/>
        </w:rPr>
        <w:t>stycznia</w:t>
      </w:r>
      <w:r w:rsidR="0063334B" w:rsidRPr="0017395A">
        <w:rPr>
          <w:b/>
        </w:rPr>
        <w:t xml:space="preserve"> </w:t>
      </w:r>
      <w:r w:rsidR="006760D8" w:rsidRPr="0017395A">
        <w:rPr>
          <w:b/>
        </w:rPr>
        <w:t>202</w:t>
      </w:r>
      <w:r w:rsidR="0010255D">
        <w:rPr>
          <w:b/>
        </w:rPr>
        <w:t>3</w:t>
      </w:r>
      <w:r w:rsidR="006760D8" w:rsidRPr="0017395A">
        <w:t xml:space="preserve"> </w:t>
      </w:r>
      <w:r w:rsidR="00A13F11" w:rsidRPr="008E364C">
        <w:rPr>
          <w:b/>
        </w:rPr>
        <w:t>roku</w:t>
      </w:r>
      <w:r w:rsidR="00A13F11" w:rsidRPr="00A209C9">
        <w:t xml:space="preserve"> </w:t>
      </w:r>
      <w:r w:rsidRPr="00A209C9">
        <w:t xml:space="preserve">do godz. </w:t>
      </w:r>
      <w:r w:rsidR="00EC3E55">
        <w:rPr>
          <w:b/>
        </w:rPr>
        <w:t>1</w:t>
      </w:r>
      <w:r w:rsidR="00676E61">
        <w:rPr>
          <w:b/>
        </w:rPr>
        <w:t>3</w:t>
      </w:r>
      <w:r w:rsidR="00A13F11" w:rsidRPr="008E364C">
        <w:rPr>
          <w:b/>
        </w:rPr>
        <w:t>:</w:t>
      </w:r>
      <w:r w:rsidR="00676E61">
        <w:rPr>
          <w:b/>
        </w:rPr>
        <w:t>00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02D99AA0"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10255D" w:rsidRPr="004E420F">
        <w:rPr>
          <w:b/>
          <w:bCs/>
        </w:rPr>
        <w:t>31 stycznia 2023</w:t>
      </w:r>
      <w:r w:rsidR="0010255D" w:rsidRPr="0010255D">
        <w:t xml:space="preserve"> </w:t>
      </w:r>
      <w:r w:rsidR="0063334B" w:rsidRPr="00A209C9">
        <w:t xml:space="preserve">o godz. </w:t>
      </w:r>
      <w:r w:rsidR="00EC3E55">
        <w:rPr>
          <w:b/>
        </w:rPr>
        <w:t>1</w:t>
      </w:r>
      <w:r w:rsidR="00676E61">
        <w:rPr>
          <w:b/>
        </w:rPr>
        <w:t>3</w:t>
      </w:r>
      <w:r w:rsidRPr="008E364C">
        <w:rPr>
          <w:b/>
        </w:rPr>
        <w:t>:</w:t>
      </w:r>
      <w:r w:rsidR="00676E61">
        <w:rPr>
          <w:b/>
        </w:rPr>
        <w:t>0</w:t>
      </w:r>
      <w:r w:rsidR="00EC3E55">
        <w:rPr>
          <w:b/>
        </w:rPr>
        <w:t>5</w:t>
      </w:r>
      <w:r w:rsidRPr="00A209C9">
        <w:t xml:space="preserve"> poprzez odszyfrowanie wczytanych na Platformie ofert.</w:t>
      </w:r>
    </w:p>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lastRenderedPageBreak/>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247447F0" w:rsidR="00970482" w:rsidRPr="00A209C9" w:rsidRDefault="00970482" w:rsidP="00A209C9">
      <w:pPr>
        <w:ind w:right="-108"/>
        <w:jc w:val="both"/>
        <w:rPr>
          <w:b/>
          <w:bCs/>
        </w:rPr>
      </w:pPr>
      <w:r w:rsidRPr="00A209C9">
        <w:t xml:space="preserve">Wykonawca pozostaje związany ofertą </w:t>
      </w:r>
      <w:r w:rsidR="0063334B" w:rsidRPr="00A209C9">
        <w:rPr>
          <w:b/>
          <w:bCs/>
        </w:rPr>
        <w:t>do dnia</w:t>
      </w:r>
      <w:r w:rsidR="0010255D">
        <w:rPr>
          <w:b/>
          <w:bCs/>
        </w:rPr>
        <w:t xml:space="preserve"> </w:t>
      </w:r>
      <w:r w:rsidR="007462A9">
        <w:rPr>
          <w:b/>
          <w:bCs/>
        </w:rPr>
        <w:t>2</w:t>
      </w:r>
      <w:r w:rsidR="00A13F11" w:rsidRPr="0017395A">
        <w:rPr>
          <w:b/>
          <w:bCs/>
        </w:rPr>
        <w:t xml:space="preserve"> </w:t>
      </w:r>
      <w:r w:rsidR="0010255D">
        <w:rPr>
          <w:b/>
          <w:bCs/>
        </w:rPr>
        <w:t xml:space="preserve">marca  </w:t>
      </w:r>
      <w:r w:rsidR="006760D8" w:rsidRPr="0017395A">
        <w:rPr>
          <w:b/>
          <w:bCs/>
        </w:rPr>
        <w:t>202</w:t>
      </w:r>
      <w:r w:rsidR="0010255D">
        <w:rPr>
          <w:b/>
          <w:bCs/>
        </w:rPr>
        <w:t>3</w:t>
      </w:r>
      <w:r w:rsidR="006760D8" w:rsidRPr="0017395A">
        <w:rPr>
          <w:b/>
          <w:bCs/>
        </w:rPr>
        <w:t xml:space="preserve">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4F82B86D" w14:textId="77777777" w:rsidR="009B7133" w:rsidRPr="00A209C9" w:rsidRDefault="009B7133" w:rsidP="009B7133">
      <w:pPr>
        <w:pStyle w:val="Tekstpodstawowy"/>
        <w:spacing w:before="2"/>
        <w:jc w:val="both"/>
      </w:pPr>
    </w:p>
    <w:p w14:paraId="64EA0111" w14:textId="77777777" w:rsidR="009B7133" w:rsidRPr="00A209C9" w:rsidRDefault="009B7133" w:rsidP="009B7133">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0037D05B" w14:textId="77777777" w:rsidR="009B7133" w:rsidRPr="00A209C9" w:rsidRDefault="009B7133" w:rsidP="009B7133">
      <w:pPr>
        <w:pStyle w:val="Tekstpodstawowy"/>
        <w:spacing w:before="1"/>
        <w:jc w:val="both"/>
        <w:rPr>
          <w:b/>
        </w:rPr>
      </w:pPr>
    </w:p>
    <w:p w14:paraId="7840EB1A" w14:textId="77777777" w:rsidR="009B7133" w:rsidRPr="00A209C9" w:rsidRDefault="009B7133" w:rsidP="009B7133">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6D883F8D" w14:textId="77777777" w:rsidR="009B7133" w:rsidRPr="00A209C9" w:rsidRDefault="009B7133" w:rsidP="009B7133">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1EFAFD3C" w14:textId="77777777" w:rsidR="009B7133" w:rsidRPr="00A209C9" w:rsidRDefault="009B7133" w:rsidP="009B7133">
      <w:pPr>
        <w:pStyle w:val="Tekstpodstawowy"/>
        <w:spacing w:before="10"/>
        <w:jc w:val="both"/>
        <w:rPr>
          <w:b/>
        </w:rPr>
      </w:pPr>
    </w:p>
    <w:p w14:paraId="1DD1A7C3" w14:textId="77777777" w:rsidR="009B7133" w:rsidRPr="00A209C9" w:rsidRDefault="009B7133" w:rsidP="009B7133">
      <w:pPr>
        <w:spacing w:before="94"/>
        <w:ind w:left="356"/>
        <w:jc w:val="both"/>
        <w:rPr>
          <w:b/>
        </w:rPr>
      </w:pPr>
      <w:r w:rsidRPr="00A209C9">
        <w:t xml:space="preserve">W kryterium cena oferty (C) </w:t>
      </w:r>
      <w:r w:rsidRPr="00A209C9">
        <w:rPr>
          <w:b/>
        </w:rPr>
        <w:t>największą liczbę punktów uzyska oferta z najniższą ceną (brutto).</w:t>
      </w:r>
    </w:p>
    <w:p w14:paraId="0F1DA9D4" w14:textId="77777777" w:rsidR="009B7133" w:rsidRDefault="009B7133" w:rsidP="009B7133">
      <w:pPr>
        <w:pStyle w:val="Tekstpodstawowy"/>
        <w:spacing w:before="31" w:line="538" w:lineRule="exact"/>
        <w:ind w:left="3969" w:hanging="3733"/>
        <w:jc w:val="both"/>
      </w:pPr>
      <w:r w:rsidRPr="00A209C9">
        <w:t>Ocena ofert w tym kryterium zostanie przeprowadzona w oparciu o poniższy wzór:</w:t>
      </w:r>
    </w:p>
    <w:p w14:paraId="0008D029" w14:textId="77777777" w:rsidR="009B7133" w:rsidRDefault="009B7133" w:rsidP="009B7133">
      <w:pPr>
        <w:pStyle w:val="Tekstpodstawowy"/>
        <w:spacing w:before="31" w:line="538" w:lineRule="exact"/>
        <w:ind w:left="3969" w:hanging="567"/>
        <w:jc w:val="both"/>
      </w:pPr>
      <w:proofErr w:type="spellStart"/>
      <w:r>
        <w:t>C</w:t>
      </w:r>
      <w:r w:rsidRPr="00A209C9">
        <w:rPr>
          <w:vertAlign w:val="subscript"/>
        </w:rPr>
        <w:t>min</w:t>
      </w:r>
      <w:proofErr w:type="spellEnd"/>
    </w:p>
    <w:p w14:paraId="6D265376" w14:textId="77777777" w:rsidR="009B7133" w:rsidRDefault="009B7133" w:rsidP="009B7133">
      <w:pPr>
        <w:pStyle w:val="Tekstpodstawowy"/>
        <w:spacing w:before="31" w:line="538" w:lineRule="exact"/>
        <w:ind w:left="3969" w:hanging="3733"/>
        <w:jc w:val="both"/>
      </w:pPr>
      <w:r>
        <w:t>Wartość punktowa = ---------------------------------------- x Max (C)</w:t>
      </w:r>
      <w:r w:rsidRPr="00A209C9">
        <w:t xml:space="preserve"> </w:t>
      </w:r>
    </w:p>
    <w:p w14:paraId="725CDA44" w14:textId="77777777" w:rsidR="009B7133" w:rsidRDefault="009B7133" w:rsidP="009B7133">
      <w:pPr>
        <w:pStyle w:val="Tekstpodstawowy"/>
        <w:spacing w:before="31" w:line="538" w:lineRule="exact"/>
        <w:ind w:left="3969" w:hanging="567"/>
        <w:jc w:val="both"/>
      </w:pPr>
      <w:proofErr w:type="spellStart"/>
      <w:r>
        <w:t>C</w:t>
      </w:r>
      <w:r w:rsidRPr="00A209C9">
        <w:rPr>
          <w:vertAlign w:val="subscript"/>
        </w:rPr>
        <w:t>bad</w:t>
      </w:r>
      <w:proofErr w:type="spellEnd"/>
    </w:p>
    <w:p w14:paraId="6F2E48AE" w14:textId="77777777" w:rsidR="009B7133" w:rsidRPr="00A209C9" w:rsidRDefault="009B7133" w:rsidP="009B7133">
      <w:pPr>
        <w:pStyle w:val="Tekstpodstawowy"/>
        <w:spacing w:line="247" w:lineRule="exact"/>
        <w:ind w:left="356"/>
        <w:jc w:val="both"/>
      </w:pPr>
      <w:r w:rsidRPr="00A209C9">
        <w:lastRenderedPageBreak/>
        <w:t>gdzie:</w:t>
      </w:r>
    </w:p>
    <w:p w14:paraId="5DA71D4A" w14:textId="77777777" w:rsidR="009B7133" w:rsidRPr="00A209C9" w:rsidRDefault="009B7133" w:rsidP="009B7133">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6F1B973E" w14:textId="77777777" w:rsidR="009B7133" w:rsidRPr="00A209C9" w:rsidRDefault="009B7133" w:rsidP="009B7133">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10860CED" w14:textId="77777777" w:rsidR="009B7133" w:rsidRPr="00A209C9" w:rsidRDefault="009B7133" w:rsidP="009B7133">
      <w:pPr>
        <w:pStyle w:val="Tekstpodstawowy"/>
        <w:spacing w:before="8"/>
        <w:jc w:val="both"/>
      </w:pPr>
    </w:p>
    <w:p w14:paraId="01AAAD0E" w14:textId="77777777" w:rsidR="009B7133" w:rsidRPr="00A209C9" w:rsidRDefault="009B7133" w:rsidP="009B7133">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0BBD941B" w14:textId="77777777" w:rsidR="009B7133" w:rsidRPr="00A209C9" w:rsidRDefault="009B7133" w:rsidP="009B7133">
      <w:pPr>
        <w:pStyle w:val="Tekstpodstawowy"/>
        <w:jc w:val="both"/>
        <w:rPr>
          <w:b/>
        </w:rPr>
      </w:pPr>
    </w:p>
    <w:p w14:paraId="02E79520" w14:textId="77777777" w:rsidR="009B7133" w:rsidRPr="00A209C9" w:rsidRDefault="009B7133" w:rsidP="009B7133">
      <w:pPr>
        <w:pStyle w:val="Tekstpodstawowy"/>
        <w:spacing w:before="93"/>
        <w:ind w:left="356" w:right="905"/>
        <w:jc w:val="both"/>
      </w:pPr>
      <w:r w:rsidRPr="00A209C9">
        <w:t>W kryterium wydłużenie okresu gwarancji i rękojmi zostanie zastosowana następująca punktacja:</w:t>
      </w:r>
    </w:p>
    <w:p w14:paraId="09509169" w14:textId="77777777" w:rsidR="009B7133" w:rsidRPr="00A209C9" w:rsidRDefault="009B7133" w:rsidP="009B7133">
      <w:pPr>
        <w:pStyle w:val="Tekstpodstawowy"/>
        <w:spacing w:before="8"/>
        <w:jc w:val="both"/>
      </w:pPr>
    </w:p>
    <w:p w14:paraId="4CB32E94" w14:textId="77777777" w:rsidR="0010255D" w:rsidRPr="0010255D" w:rsidRDefault="0010255D" w:rsidP="0010255D">
      <w:pPr>
        <w:widowControl w:val="0"/>
        <w:numPr>
          <w:ilvl w:val="3"/>
          <w:numId w:val="72"/>
        </w:numPr>
        <w:tabs>
          <w:tab w:val="left" w:pos="1785"/>
        </w:tabs>
        <w:suppressAutoHyphens/>
        <w:autoSpaceDN w:val="0"/>
        <w:spacing w:before="1"/>
        <w:ind w:left="708" w:right="233" w:firstLine="0"/>
        <w:jc w:val="both"/>
        <w:textAlignment w:val="baseline"/>
        <w:rPr>
          <w:kern w:val="3"/>
        </w:rPr>
      </w:pPr>
      <w:r w:rsidRPr="0010255D">
        <w:rPr>
          <w:b/>
          <w:kern w:val="3"/>
        </w:rPr>
        <w:t xml:space="preserve">100 podpunktów </w:t>
      </w:r>
      <w:r w:rsidRPr="0010255D">
        <w:rPr>
          <w:kern w:val="3"/>
        </w:rPr>
        <w:t xml:space="preserve">otrzyma Wykonawca, który zaoferuje wydłużenie podstawowego okresu gwarancji i rękojmi (24 miesięcy), o </w:t>
      </w:r>
      <w:r w:rsidRPr="0010255D">
        <w:rPr>
          <w:kern w:val="3"/>
          <w:u w:val="single"/>
        </w:rPr>
        <w:t>12 miesiące ,</w:t>
      </w:r>
    </w:p>
    <w:p w14:paraId="110ED2BD" w14:textId="77777777" w:rsidR="0010255D" w:rsidRPr="0010255D" w:rsidRDefault="0010255D" w:rsidP="0010255D">
      <w:pPr>
        <w:suppressAutoHyphens/>
        <w:autoSpaceDN w:val="0"/>
        <w:spacing w:before="5" w:after="120"/>
        <w:jc w:val="both"/>
        <w:textAlignment w:val="baseline"/>
        <w:rPr>
          <w:kern w:val="3"/>
          <w:lang w:eastAsia="ar-SA"/>
        </w:rPr>
      </w:pPr>
    </w:p>
    <w:p w14:paraId="00B75084" w14:textId="77777777" w:rsidR="0010255D" w:rsidRPr="0010255D" w:rsidRDefault="0010255D" w:rsidP="0010255D">
      <w:pPr>
        <w:widowControl w:val="0"/>
        <w:numPr>
          <w:ilvl w:val="3"/>
          <w:numId w:val="72"/>
        </w:numPr>
        <w:tabs>
          <w:tab w:val="left" w:pos="1785"/>
        </w:tabs>
        <w:suppressAutoHyphens/>
        <w:autoSpaceDN w:val="0"/>
        <w:spacing w:before="1"/>
        <w:ind w:left="708" w:right="238" w:firstLine="0"/>
        <w:jc w:val="both"/>
        <w:textAlignment w:val="baseline"/>
        <w:rPr>
          <w:kern w:val="3"/>
        </w:rPr>
      </w:pPr>
      <w:r w:rsidRPr="0010255D">
        <w:rPr>
          <w:b/>
          <w:kern w:val="3"/>
        </w:rPr>
        <w:t xml:space="preserve">50 podpunktów </w:t>
      </w:r>
      <w:r w:rsidRPr="0010255D">
        <w:rPr>
          <w:kern w:val="3"/>
        </w:rPr>
        <w:t xml:space="preserve">otrzyma Wykonawca, który zaoferuje wydłużenie podstawowego okresu gwarancji i rękojmi (24 miesięcy), </w:t>
      </w:r>
      <w:r w:rsidRPr="0010255D">
        <w:rPr>
          <w:kern w:val="3"/>
          <w:u w:val="single"/>
        </w:rPr>
        <w:t xml:space="preserve">o 6 miesięcy </w:t>
      </w:r>
    </w:p>
    <w:p w14:paraId="13987FBE" w14:textId="77777777" w:rsidR="0010255D" w:rsidRPr="0010255D" w:rsidRDefault="0010255D" w:rsidP="0010255D">
      <w:pPr>
        <w:suppressAutoHyphens/>
        <w:autoSpaceDN w:val="0"/>
        <w:spacing w:before="8" w:after="120"/>
        <w:jc w:val="both"/>
        <w:textAlignment w:val="baseline"/>
        <w:rPr>
          <w:kern w:val="3"/>
          <w:lang w:eastAsia="ar-SA"/>
        </w:rPr>
      </w:pPr>
    </w:p>
    <w:p w14:paraId="5C6960CF" w14:textId="77777777" w:rsidR="0010255D" w:rsidRPr="0010255D" w:rsidRDefault="0010255D" w:rsidP="0010255D">
      <w:pPr>
        <w:widowControl w:val="0"/>
        <w:numPr>
          <w:ilvl w:val="3"/>
          <w:numId w:val="72"/>
        </w:numPr>
        <w:tabs>
          <w:tab w:val="left" w:pos="1785"/>
        </w:tabs>
        <w:suppressAutoHyphens/>
        <w:autoSpaceDN w:val="0"/>
        <w:ind w:left="708" w:right="237" w:firstLine="0"/>
        <w:jc w:val="both"/>
        <w:textAlignment w:val="baseline"/>
        <w:rPr>
          <w:kern w:val="3"/>
        </w:rPr>
      </w:pPr>
      <w:r w:rsidRPr="0010255D">
        <w:rPr>
          <w:b/>
          <w:kern w:val="3"/>
        </w:rPr>
        <w:t xml:space="preserve">0 podpunktów </w:t>
      </w:r>
      <w:r w:rsidRPr="0010255D">
        <w:rPr>
          <w:kern w:val="3"/>
        </w:rPr>
        <w:t xml:space="preserve">otrzyma Wykonawca, który nie przedłuży okresu gwarancji i rękojmi, czyli zaoferuje  </w:t>
      </w:r>
      <w:r w:rsidRPr="0010255D">
        <w:rPr>
          <w:spacing w:val="-4"/>
          <w:kern w:val="3"/>
        </w:rPr>
        <w:t xml:space="preserve">minimalny,  </w:t>
      </w:r>
      <w:r w:rsidRPr="0010255D">
        <w:rPr>
          <w:kern w:val="3"/>
        </w:rPr>
        <w:t xml:space="preserve">podstawowy  okres  gwarancji  i  rękojmi  tj.  24  </w:t>
      </w:r>
      <w:r w:rsidRPr="0010255D">
        <w:rPr>
          <w:spacing w:val="-4"/>
          <w:kern w:val="3"/>
        </w:rPr>
        <w:t>miesięcy</w:t>
      </w:r>
    </w:p>
    <w:p w14:paraId="23E553E8" w14:textId="77777777" w:rsidR="009B7133" w:rsidRPr="00A209C9" w:rsidRDefault="009B7133" w:rsidP="009B7133">
      <w:pPr>
        <w:pStyle w:val="Tekstpodstawowy"/>
        <w:spacing w:after="0"/>
        <w:jc w:val="both"/>
      </w:pPr>
    </w:p>
    <w:p w14:paraId="2FD0A4C1" w14:textId="77777777" w:rsidR="009B7133" w:rsidRDefault="009B7133" w:rsidP="009B7133">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724D3FCD" w14:textId="77777777" w:rsidR="009B7133" w:rsidRPr="00A209C9" w:rsidRDefault="009B7133" w:rsidP="009B7133">
      <w:pPr>
        <w:pStyle w:val="Tekstpodstawowy"/>
        <w:spacing w:after="0"/>
        <w:ind w:left="356"/>
        <w:jc w:val="both"/>
      </w:pPr>
    </w:p>
    <w:p w14:paraId="18958473" w14:textId="77777777" w:rsidR="009B7133" w:rsidRPr="00A209C9" w:rsidRDefault="009B7133" w:rsidP="009B7133">
      <w:pPr>
        <w:spacing w:before="61" w:line="275" w:lineRule="exact"/>
        <w:ind w:left="4253" w:right="1473"/>
        <w:jc w:val="both"/>
      </w:pPr>
      <w:r w:rsidRPr="00A209C9">
        <w:rPr>
          <w:position w:val="4"/>
        </w:rPr>
        <w:t>G</w:t>
      </w:r>
      <w:proofErr w:type="spellStart"/>
      <w:r w:rsidRPr="00A209C9">
        <w:t>ppkt</w:t>
      </w:r>
      <w:proofErr w:type="spellEnd"/>
    </w:p>
    <w:p w14:paraId="3B06F5B0" w14:textId="77777777" w:rsidR="009B7133" w:rsidRPr="00A209C9" w:rsidRDefault="009B7133" w:rsidP="009B7133">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150C2679" w14:textId="77777777" w:rsidR="009B7133" w:rsidRPr="00A209C9" w:rsidRDefault="009B7133" w:rsidP="009B7133">
      <w:pPr>
        <w:spacing w:before="57" w:line="272" w:lineRule="exact"/>
        <w:ind w:left="4253" w:right="1472"/>
        <w:jc w:val="both"/>
      </w:pPr>
      <w:r w:rsidRPr="00A209C9">
        <w:rPr>
          <w:position w:val="4"/>
        </w:rPr>
        <w:t>G</w:t>
      </w:r>
      <w:r w:rsidRPr="00A209C9">
        <w:t>max</w:t>
      </w:r>
    </w:p>
    <w:p w14:paraId="0E2CB904" w14:textId="77777777" w:rsidR="009B7133" w:rsidRPr="00A209C9" w:rsidRDefault="009B7133" w:rsidP="009B7133">
      <w:pPr>
        <w:pStyle w:val="Tekstpodstawowy"/>
        <w:spacing w:line="247" w:lineRule="exact"/>
        <w:ind w:left="356"/>
        <w:jc w:val="both"/>
      </w:pPr>
      <w:r w:rsidRPr="00A209C9">
        <w:t>gdzie:</w:t>
      </w:r>
    </w:p>
    <w:p w14:paraId="64C285C0" w14:textId="77777777" w:rsidR="009B7133" w:rsidRPr="00A209C9" w:rsidRDefault="009B7133" w:rsidP="009B7133">
      <w:pPr>
        <w:pStyle w:val="Tekstpodstawowy"/>
        <w:spacing w:before="54"/>
        <w:ind w:left="356"/>
        <w:jc w:val="both"/>
      </w:pPr>
      <w:r w:rsidRPr="00A209C9">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1591F28A" w14:textId="77777777" w:rsidR="009B7133" w:rsidRPr="00A209C9" w:rsidRDefault="009B7133" w:rsidP="009B7133">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1B125F2B" w14:textId="77777777" w:rsidR="009B7133" w:rsidRPr="00A209C9" w:rsidRDefault="009B7133" w:rsidP="009B7133">
      <w:pPr>
        <w:pStyle w:val="Tekstpodstawowy"/>
        <w:spacing w:before="3"/>
        <w:ind w:left="356" w:right="236"/>
        <w:jc w:val="both"/>
      </w:pPr>
      <w:r w:rsidRPr="00A209C9">
        <w:t>Max(G) - maksymalna ilość punktów, jakie może otrzymać oferta za kryterium wydłużenie okresu gwarancji i rękojmi (tj. 40 pkt)</w:t>
      </w:r>
    </w:p>
    <w:p w14:paraId="2AD9AF97" w14:textId="77777777" w:rsidR="009B7133" w:rsidRPr="00A209C9" w:rsidRDefault="009B7133" w:rsidP="009B7133">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7C320BD1" w14:textId="77777777" w:rsidR="009B7133" w:rsidRPr="00A209C9" w:rsidRDefault="009B7133" w:rsidP="009B7133">
      <w:pPr>
        <w:pStyle w:val="Tekstpodstawowy"/>
        <w:spacing w:before="2"/>
        <w:jc w:val="both"/>
        <w:rPr>
          <w:b/>
        </w:rPr>
      </w:pPr>
    </w:p>
    <w:p w14:paraId="26FC5A92" w14:textId="77777777" w:rsidR="009B7133" w:rsidRPr="00A209C9" w:rsidRDefault="009B7133" w:rsidP="008A2831">
      <w:pPr>
        <w:pStyle w:val="Akapitzlist"/>
        <w:widowControl w:val="0"/>
        <w:numPr>
          <w:ilvl w:val="0"/>
          <w:numId w:val="40"/>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3A2B6071" w14:textId="37906528" w:rsidR="009B7133" w:rsidRPr="00A209C9" w:rsidRDefault="009B7133" w:rsidP="008A2831">
      <w:pPr>
        <w:pStyle w:val="Akapitzlist"/>
        <w:widowControl w:val="0"/>
        <w:numPr>
          <w:ilvl w:val="0"/>
          <w:numId w:val="40"/>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r>
      <w:r w:rsidRPr="00A209C9">
        <w:lastRenderedPageBreak/>
        <w:t xml:space="preserve">z zaoferowaniem przez Wykonawcę minimalnego okresu gwarancji na roboty budowlane tj. </w:t>
      </w:r>
      <w:r w:rsidR="008067FE">
        <w:t>24</w:t>
      </w:r>
      <w:r w:rsidRPr="00A209C9">
        <w:t xml:space="preserve"> miesięcy. W takiej sytuacji Wykonawca w przedmiotowym kryterium otrzyma 0</w:t>
      </w:r>
      <w:r w:rsidRPr="00A209C9">
        <w:rPr>
          <w:spacing w:val="-11"/>
        </w:rPr>
        <w:t xml:space="preserve"> </w:t>
      </w:r>
      <w:r w:rsidRPr="00A209C9">
        <w:t>punktów.</w:t>
      </w:r>
    </w:p>
    <w:p w14:paraId="00911241" w14:textId="2D63F508" w:rsidR="00694B50" w:rsidRPr="00A209C9" w:rsidRDefault="009B7133" w:rsidP="008A2831">
      <w:pPr>
        <w:pStyle w:val="Akapitzlist"/>
        <w:widowControl w:val="0"/>
        <w:numPr>
          <w:ilvl w:val="0"/>
          <w:numId w:val="40"/>
        </w:numPr>
        <w:tabs>
          <w:tab w:val="left" w:pos="630"/>
        </w:tabs>
        <w:autoSpaceDE w:val="0"/>
        <w:autoSpaceDN w:val="0"/>
        <w:ind w:right="-108" w:firstLine="0"/>
        <w:jc w:val="both"/>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748584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 xml:space="preserve">go wykonania zadania nr </w:t>
      </w:r>
      <w:r w:rsidR="001D2168">
        <w:rPr>
          <w:color w:val="000000" w:themeColor="text1"/>
        </w:rPr>
        <w:t>ZP.271.</w:t>
      </w:r>
      <w:r w:rsidR="004E420F">
        <w:rPr>
          <w:color w:val="000000" w:themeColor="text1"/>
        </w:rPr>
        <w:t>1</w:t>
      </w:r>
      <w:r w:rsidR="001D2168">
        <w:rPr>
          <w:color w:val="000000" w:themeColor="text1"/>
        </w:rPr>
        <w:t>.202</w:t>
      </w:r>
      <w:r w:rsidR="004E420F">
        <w:rPr>
          <w:color w:val="000000" w:themeColor="text1"/>
        </w:rPr>
        <w:t>3</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lastRenderedPageBreak/>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w:t>
      </w:r>
      <w:proofErr w:type="spellStart"/>
      <w:r w:rsidR="00F6307D" w:rsidRPr="00F6307D">
        <w:rPr>
          <w:rFonts w:ascii="TimesNewRomanPSMT" w:hAnsi="TimesNewRomanPSMT" w:cs="TimesNewRomanPSMT"/>
          <w:sz w:val="22"/>
          <w:szCs w:val="22"/>
          <w:lang w:eastAsia="zh-CN"/>
        </w:rPr>
        <w:t>że</w:t>
      </w:r>
      <w:proofErr w:type="spellEnd"/>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123437A" w14:textId="49DEF420" w:rsidR="00F6307D" w:rsidRPr="00F6307D" w:rsidRDefault="00177071" w:rsidP="00B14D4C">
      <w:pPr>
        <w:shd w:val="clear" w:color="auto" w:fill="FFFFFF"/>
        <w:spacing w:before="100" w:beforeAutospacing="1" w:after="100" w:afterAutospacing="1"/>
        <w:jc w:val="both"/>
        <w:rPr>
          <w:lang w:eastAsia="zh-CN"/>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 </w:t>
      </w:r>
    </w:p>
    <w:p w14:paraId="23A6DBB7" w14:textId="77777777" w:rsidR="00F6307D" w:rsidRPr="00A209C9" w:rsidRDefault="00F6307D" w:rsidP="00B14D4C">
      <w:pPr>
        <w:ind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7"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lastRenderedPageBreak/>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13B15865" w14:textId="6A5B02A5" w:rsidR="00D4155E" w:rsidRDefault="00D4155E" w:rsidP="00A209C9">
      <w:pPr>
        <w:ind w:right="-108"/>
        <w:jc w:val="both"/>
        <w:rPr>
          <w:b/>
        </w:rPr>
      </w:pPr>
    </w:p>
    <w:p w14:paraId="408151E7" w14:textId="77777777" w:rsidR="004E420F" w:rsidRPr="00A209C9" w:rsidRDefault="004E420F"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E7BDE8D" w14:textId="6F0D2754" w:rsidR="00A13F11" w:rsidRPr="00A13F11" w:rsidRDefault="00A13F11" w:rsidP="00A13F11">
      <w:pPr>
        <w:widowControl w:val="0"/>
        <w:snapToGrid w:val="0"/>
        <w:jc w:val="both"/>
        <w:rPr>
          <w:b/>
        </w:rPr>
      </w:pPr>
      <w:r w:rsidRPr="00A13F11">
        <w:rPr>
          <w:b/>
        </w:rPr>
        <w:t xml:space="preserve">- załącznik nr </w:t>
      </w:r>
      <w:r w:rsidR="006E1B9D">
        <w:rPr>
          <w:b/>
        </w:rPr>
        <w:t>6</w:t>
      </w:r>
      <w:r w:rsidRPr="00A13F11">
        <w:rPr>
          <w:b/>
        </w:rPr>
        <w:t xml:space="preserve"> do SWZ – </w:t>
      </w:r>
      <w:r w:rsidR="00F63553">
        <w:rPr>
          <w:b/>
        </w:rPr>
        <w:t xml:space="preserve">dokumentacja projektowa </w:t>
      </w:r>
      <w:r w:rsidR="0010255D">
        <w:rPr>
          <w:b/>
        </w:rPr>
        <w:t xml:space="preserve"> </w:t>
      </w:r>
      <w:r w:rsidRPr="00A13F11">
        <w:rPr>
          <w:b/>
        </w:rPr>
        <w:t xml:space="preserve"> </w:t>
      </w:r>
    </w:p>
    <w:p w14:paraId="0115A4AA" w14:textId="7B037FCA" w:rsidR="00A13F11" w:rsidRPr="00A13F11" w:rsidRDefault="00A13F11" w:rsidP="00A13F11">
      <w:pPr>
        <w:widowControl w:val="0"/>
        <w:snapToGrid w:val="0"/>
        <w:jc w:val="both"/>
        <w:rPr>
          <w:b/>
        </w:rPr>
      </w:pPr>
      <w:r w:rsidRPr="00A13F11">
        <w:rPr>
          <w:b/>
        </w:rPr>
        <w:t xml:space="preserve">- załącznik nr </w:t>
      </w:r>
      <w:r w:rsidR="006E1B9D">
        <w:rPr>
          <w:b/>
        </w:rPr>
        <w:t>7</w:t>
      </w:r>
      <w:r w:rsidRPr="00A13F11">
        <w:rPr>
          <w:b/>
        </w:rPr>
        <w:t xml:space="preserve"> do SWZ – Specyfikacja Techniczna Wykonania i Odbioru Robót </w:t>
      </w:r>
    </w:p>
    <w:p w14:paraId="5FECF61C" w14:textId="504A4FDC" w:rsidR="00A13F11" w:rsidRPr="00A13F11" w:rsidRDefault="00A13F11" w:rsidP="00A13F11">
      <w:pPr>
        <w:widowControl w:val="0"/>
        <w:snapToGrid w:val="0"/>
        <w:jc w:val="both"/>
        <w:rPr>
          <w:b/>
        </w:rPr>
      </w:pPr>
      <w:r w:rsidRPr="00A13F11">
        <w:rPr>
          <w:b/>
        </w:rPr>
        <w:t xml:space="preserve">- załącznik nr </w:t>
      </w:r>
      <w:r w:rsidR="006E1B9D">
        <w:rPr>
          <w:b/>
        </w:rPr>
        <w:t>8</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1CBBAB94" w14:textId="77777777" w:rsidR="009B5903" w:rsidRDefault="009B5903" w:rsidP="00A209C9">
      <w:pPr>
        <w:pStyle w:val="pkt"/>
        <w:spacing w:before="0" w:after="0" w:line="240" w:lineRule="auto"/>
        <w:ind w:left="0" w:firstLine="0"/>
        <w:rPr>
          <w:szCs w:val="24"/>
        </w:rPr>
      </w:pPr>
    </w:p>
    <w:p w14:paraId="66B21837" w14:textId="77777777" w:rsidR="009B5903" w:rsidRDefault="009B5903" w:rsidP="00A209C9">
      <w:pPr>
        <w:pStyle w:val="pkt"/>
        <w:spacing w:before="0" w:after="0" w:line="240" w:lineRule="auto"/>
        <w:ind w:left="0" w:firstLine="0"/>
        <w:rPr>
          <w:szCs w:val="24"/>
        </w:rPr>
      </w:pPr>
    </w:p>
    <w:p w14:paraId="5957F2CF" w14:textId="77777777" w:rsidR="009B5903" w:rsidRDefault="009B5903" w:rsidP="00A209C9">
      <w:pPr>
        <w:pStyle w:val="pkt"/>
        <w:spacing w:before="0" w:after="0" w:line="240" w:lineRule="auto"/>
        <w:ind w:left="0" w:firstLine="0"/>
        <w:rPr>
          <w:szCs w:val="24"/>
        </w:rPr>
      </w:pPr>
    </w:p>
    <w:p w14:paraId="1E0AE091" w14:textId="77777777" w:rsidR="009B5903" w:rsidRDefault="009B5903" w:rsidP="00A209C9">
      <w:pPr>
        <w:pStyle w:val="pkt"/>
        <w:spacing w:before="0" w:after="0" w:line="240" w:lineRule="auto"/>
        <w:ind w:left="0" w:firstLine="0"/>
        <w:rPr>
          <w:szCs w:val="24"/>
        </w:rPr>
      </w:pPr>
    </w:p>
    <w:p w14:paraId="2255EDB3" w14:textId="77777777" w:rsidR="009B5903" w:rsidRDefault="009B5903" w:rsidP="00A209C9">
      <w:pPr>
        <w:pStyle w:val="pkt"/>
        <w:spacing w:before="0" w:after="0" w:line="240" w:lineRule="auto"/>
        <w:ind w:left="0" w:firstLine="0"/>
        <w:rPr>
          <w:szCs w:val="24"/>
        </w:rPr>
      </w:pPr>
    </w:p>
    <w:p w14:paraId="558CA965" w14:textId="77777777" w:rsidR="009B5903" w:rsidRDefault="009B5903" w:rsidP="00A209C9">
      <w:pPr>
        <w:pStyle w:val="pkt"/>
        <w:spacing w:before="0" w:after="0" w:line="240" w:lineRule="auto"/>
        <w:ind w:left="0" w:firstLine="0"/>
        <w:rPr>
          <w:szCs w:val="24"/>
        </w:rPr>
      </w:pPr>
    </w:p>
    <w:p w14:paraId="104B5878" w14:textId="77777777" w:rsidR="009B5903" w:rsidRDefault="009B5903" w:rsidP="00A209C9">
      <w:pPr>
        <w:pStyle w:val="pkt"/>
        <w:spacing w:before="0" w:after="0" w:line="240" w:lineRule="auto"/>
        <w:ind w:left="0" w:firstLine="0"/>
        <w:rPr>
          <w:szCs w:val="24"/>
        </w:rPr>
      </w:pPr>
    </w:p>
    <w:p w14:paraId="1869842B" w14:textId="77777777" w:rsidR="000B0AC8" w:rsidRDefault="000B0AC8" w:rsidP="00A209C9">
      <w:pPr>
        <w:pStyle w:val="pkt"/>
        <w:spacing w:before="0" w:after="0" w:line="240" w:lineRule="auto"/>
        <w:ind w:left="0" w:firstLine="0"/>
        <w:rPr>
          <w:szCs w:val="24"/>
        </w:rPr>
      </w:pPr>
    </w:p>
    <w:p w14:paraId="23002F0E" w14:textId="77777777" w:rsidR="000B0AC8" w:rsidRDefault="000B0AC8" w:rsidP="00A209C9">
      <w:pPr>
        <w:pStyle w:val="pkt"/>
        <w:spacing w:before="0" w:after="0" w:line="240" w:lineRule="auto"/>
        <w:ind w:left="0" w:firstLine="0"/>
        <w:rPr>
          <w:szCs w:val="24"/>
        </w:rPr>
      </w:pPr>
    </w:p>
    <w:p w14:paraId="79DD77E1" w14:textId="381EAEFE" w:rsidR="00412BC8" w:rsidRPr="00A209C9" w:rsidRDefault="00412BC8" w:rsidP="00F56B7E">
      <w:pPr>
        <w:spacing w:line="276" w:lineRule="auto"/>
        <w:rPr>
          <w:snapToGrid w:val="0"/>
        </w:rPr>
      </w:pPr>
      <w:r w:rsidRPr="00A209C9">
        <w:rPr>
          <w:snapToGrid w:val="0"/>
        </w:rPr>
        <w:t>………</w:t>
      </w:r>
      <w:r w:rsidR="00A209C9" w:rsidRPr="00A209C9">
        <w:rPr>
          <w:snapToGrid w:val="0"/>
        </w:rPr>
        <w:t>……………….…………</w:t>
      </w:r>
      <w:r w:rsidR="00A209C9">
        <w:rPr>
          <w:snapToGrid w:val="0"/>
        </w:rPr>
        <w:t>…………………………..………………..</w:t>
      </w:r>
    </w:p>
    <w:sectPr w:rsidR="00412BC8" w:rsidRPr="00A209C9" w:rsidSect="008E364C">
      <w:footerReference w:type="default" r:id="rId2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3983" w14:textId="77777777" w:rsidR="0087211D" w:rsidRDefault="0087211D" w:rsidP="000F1DCF">
      <w:r>
        <w:separator/>
      </w:r>
    </w:p>
  </w:endnote>
  <w:endnote w:type="continuationSeparator" w:id="0">
    <w:p w14:paraId="24D5B54D" w14:textId="77777777" w:rsidR="0087211D" w:rsidRDefault="0087211D" w:rsidP="000F1DCF">
      <w:r>
        <w:continuationSeparator/>
      </w:r>
    </w:p>
  </w:endnote>
  <w:endnote w:type="continuationNotice" w:id="1">
    <w:p w14:paraId="4D1DC8A4" w14:textId="77777777" w:rsidR="0087211D" w:rsidRDefault="0087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015419"/>
      <w:docPartObj>
        <w:docPartGallery w:val="Page Numbers (Bottom of Page)"/>
        <w:docPartUnique/>
      </w:docPartObj>
    </w:sdtPr>
    <w:sdtContent>
      <w:p w14:paraId="3C7DAD32" w14:textId="591929C8" w:rsidR="004C084B" w:rsidRDefault="004C084B">
        <w:pPr>
          <w:pStyle w:val="Stopka"/>
          <w:jc w:val="right"/>
        </w:pPr>
        <w:r>
          <w:fldChar w:fldCharType="begin"/>
        </w:r>
        <w:r>
          <w:instrText>PAGE   \* MERGEFORMAT</w:instrText>
        </w:r>
        <w:r>
          <w:fldChar w:fldCharType="separate"/>
        </w:r>
        <w:r>
          <w:t>2</w:t>
        </w:r>
        <w:r>
          <w:fldChar w:fldCharType="end"/>
        </w:r>
      </w:p>
    </w:sdtContent>
  </w:sdt>
  <w:p w14:paraId="32B70272" w14:textId="77777777" w:rsidR="004C084B" w:rsidRDefault="004C08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153B" w14:textId="77777777" w:rsidR="0087211D" w:rsidRDefault="0087211D" w:rsidP="000F1DCF">
      <w:r>
        <w:separator/>
      </w:r>
    </w:p>
  </w:footnote>
  <w:footnote w:type="continuationSeparator" w:id="0">
    <w:p w14:paraId="6E8AC520" w14:textId="77777777" w:rsidR="0087211D" w:rsidRDefault="0087211D" w:rsidP="000F1DCF">
      <w:r>
        <w:continuationSeparator/>
      </w:r>
    </w:p>
  </w:footnote>
  <w:footnote w:type="continuationNotice" w:id="1">
    <w:p w14:paraId="4E0B641C" w14:textId="77777777" w:rsidR="0087211D" w:rsidRDefault="0087211D"/>
  </w:footnote>
  <w:footnote w:id="2">
    <w:p w14:paraId="2CA2EB3B" w14:textId="77777777" w:rsidR="008A2831" w:rsidRDefault="008A2831"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8A2831" w:rsidRPr="008E04C6" w:rsidRDefault="008A2831" w:rsidP="00D30AAA">
      <w:pPr>
        <w:pStyle w:val="Tekstprzypisudolnego"/>
      </w:pPr>
    </w:p>
    <w:p w14:paraId="4F6F2438" w14:textId="77777777" w:rsidR="008A2831" w:rsidRPr="003D7185" w:rsidRDefault="008A2831"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1"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4B414692"/>
    <w:multiLevelType w:val="hybridMultilevel"/>
    <w:tmpl w:val="E75C53F4"/>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A500AD"/>
    <w:multiLevelType w:val="hybridMultilevel"/>
    <w:tmpl w:val="071AAF60"/>
    <w:lvl w:ilvl="0" w:tplc="8200AF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5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7980855">
    <w:abstractNumId w:val="19"/>
  </w:num>
  <w:num w:numId="2" w16cid:durableId="1686202783">
    <w:abstractNumId w:val="40"/>
  </w:num>
  <w:num w:numId="3" w16cid:durableId="1301501884">
    <w:abstractNumId w:val="54"/>
  </w:num>
  <w:num w:numId="4" w16cid:durableId="60101276">
    <w:abstractNumId w:val="59"/>
  </w:num>
  <w:num w:numId="5" w16cid:durableId="498037613">
    <w:abstractNumId w:val="32"/>
  </w:num>
  <w:num w:numId="6" w16cid:durableId="182398704">
    <w:abstractNumId w:val="56"/>
  </w:num>
  <w:num w:numId="7" w16cid:durableId="1854224574">
    <w:abstractNumId w:val="6"/>
  </w:num>
  <w:num w:numId="8" w16cid:durableId="1015309523">
    <w:abstractNumId w:val="20"/>
  </w:num>
  <w:num w:numId="9" w16cid:durableId="519784573">
    <w:abstractNumId w:val="35"/>
  </w:num>
  <w:num w:numId="10" w16cid:durableId="1272667956">
    <w:abstractNumId w:val="38"/>
  </w:num>
  <w:num w:numId="11" w16cid:durableId="1820727006">
    <w:abstractNumId w:val="17"/>
  </w:num>
  <w:num w:numId="12" w16cid:durableId="2137023907">
    <w:abstractNumId w:val="34"/>
  </w:num>
  <w:num w:numId="13" w16cid:durableId="715664666">
    <w:abstractNumId w:val="25"/>
  </w:num>
  <w:num w:numId="14" w16cid:durableId="1264461242">
    <w:abstractNumId w:val="52"/>
  </w:num>
  <w:num w:numId="15" w16cid:durableId="523785426">
    <w:abstractNumId w:val="41"/>
  </w:num>
  <w:num w:numId="16" w16cid:durableId="1337464005">
    <w:abstractNumId w:val="43"/>
  </w:num>
  <w:num w:numId="17" w16cid:durableId="1008486594">
    <w:abstractNumId w:val="24"/>
  </w:num>
  <w:num w:numId="18" w16cid:durableId="783891267">
    <w:abstractNumId w:val="36"/>
  </w:num>
  <w:num w:numId="19" w16cid:durableId="212469387">
    <w:abstractNumId w:val="39"/>
  </w:num>
  <w:num w:numId="20" w16cid:durableId="471869049">
    <w:abstractNumId w:val="15"/>
  </w:num>
  <w:num w:numId="21" w16cid:durableId="1655447545">
    <w:abstractNumId w:val="48"/>
  </w:num>
  <w:num w:numId="22" w16cid:durableId="1923561997">
    <w:abstractNumId w:val="22"/>
  </w:num>
  <w:num w:numId="23" w16cid:durableId="67307982">
    <w:abstractNumId w:val="9"/>
  </w:num>
  <w:num w:numId="24" w16cid:durableId="45758800">
    <w:abstractNumId w:val="10"/>
  </w:num>
  <w:num w:numId="25" w16cid:durableId="1362510059">
    <w:abstractNumId w:val="29"/>
  </w:num>
  <w:num w:numId="26" w16cid:durableId="1420522034">
    <w:abstractNumId w:val="47"/>
  </w:num>
  <w:num w:numId="27" w16cid:durableId="1573661540">
    <w:abstractNumId w:val="16"/>
  </w:num>
  <w:num w:numId="28" w16cid:durableId="1383871429">
    <w:abstractNumId w:val="28"/>
  </w:num>
  <w:num w:numId="29" w16cid:durableId="538055958">
    <w:abstractNumId w:val="7"/>
  </w:num>
  <w:num w:numId="30" w16cid:durableId="1827866562">
    <w:abstractNumId w:val="26"/>
  </w:num>
  <w:num w:numId="31" w16cid:durableId="896209551">
    <w:abstractNumId w:val="27"/>
  </w:num>
  <w:num w:numId="32" w16cid:durableId="1561287008">
    <w:abstractNumId w:val="11"/>
  </w:num>
  <w:num w:numId="33" w16cid:durableId="650519073">
    <w:abstractNumId w:val="37"/>
  </w:num>
  <w:num w:numId="34" w16cid:durableId="8459553">
    <w:abstractNumId w:val="12"/>
  </w:num>
  <w:num w:numId="35" w16cid:durableId="437139379">
    <w:abstractNumId w:val="57"/>
  </w:num>
  <w:num w:numId="36" w16cid:durableId="559485248">
    <w:abstractNumId w:val="14"/>
  </w:num>
  <w:num w:numId="37" w16cid:durableId="868176903">
    <w:abstractNumId w:val="3"/>
  </w:num>
  <w:num w:numId="38" w16cid:durableId="1525903750">
    <w:abstractNumId w:val="49"/>
  </w:num>
  <w:num w:numId="39" w16cid:durableId="1360282679">
    <w:abstractNumId w:val="51"/>
  </w:num>
  <w:num w:numId="40" w16cid:durableId="70085386">
    <w:abstractNumId w:val="5"/>
  </w:num>
  <w:num w:numId="41" w16cid:durableId="69430440">
    <w:abstractNumId w:val="30"/>
  </w:num>
  <w:num w:numId="42" w16cid:durableId="1237478388">
    <w:abstractNumId w:val="60"/>
  </w:num>
  <w:num w:numId="43" w16cid:durableId="1306661670">
    <w:abstractNumId w:val="0"/>
  </w:num>
  <w:num w:numId="44" w16cid:durableId="277303474">
    <w:abstractNumId w:val="8"/>
  </w:num>
  <w:num w:numId="45" w16cid:durableId="1346440141">
    <w:abstractNumId w:val="2"/>
  </w:num>
  <w:num w:numId="46" w16cid:durableId="170607617">
    <w:abstractNumId w:val="58"/>
  </w:num>
  <w:num w:numId="47" w16cid:durableId="1618102718">
    <w:abstractNumId w:val="4"/>
  </w:num>
  <w:num w:numId="48" w16cid:durableId="2123066238">
    <w:abstractNumId w:val="58"/>
    <w:lvlOverride w:ilvl="0">
      <w:startOverride w:val="1"/>
      <w:lvl w:ilvl="0">
        <w:start w:val="1"/>
        <w:numFmt w:val="decimal"/>
        <w:lvlText w:val="%1)"/>
        <w:lvlJc w:val="left"/>
        <w:pPr>
          <w:ind w:left="360" w:hanging="360"/>
        </w:pPr>
        <w:rPr>
          <w:b w:val="0"/>
          <w:sz w:val="24"/>
        </w:rPr>
      </w:lvl>
    </w:lvlOverride>
  </w:num>
  <w:num w:numId="49" w16cid:durableId="573202468">
    <w:abstractNumId w:val="4"/>
    <w:lvlOverride w:ilvl="0">
      <w:startOverride w:val="1"/>
    </w:lvlOverride>
  </w:num>
  <w:num w:numId="50" w16cid:durableId="1017316444">
    <w:abstractNumId w:val="55"/>
  </w:num>
  <w:num w:numId="51" w16cid:durableId="1839223127">
    <w:abstractNumId w:val="23"/>
  </w:num>
  <w:num w:numId="52" w16cid:durableId="1223567347">
    <w:abstractNumId w:val="53"/>
  </w:num>
  <w:num w:numId="53" w16cid:durableId="1057775561">
    <w:abstractNumId w:val="1"/>
  </w:num>
  <w:num w:numId="54" w16cid:durableId="1219167547">
    <w:abstractNumId w:val="2"/>
    <w:lvlOverride w:ilvl="0">
      <w:lvl w:ilvl="0">
        <w:start w:val="1"/>
        <w:numFmt w:val="decimal"/>
        <w:lvlText w:val="%1)"/>
        <w:lvlJc w:val="left"/>
        <w:pPr>
          <w:ind w:left="218" w:hanging="360"/>
        </w:pPr>
      </w:lvl>
    </w:lvlOverride>
    <w:lvlOverride w:ilvl="1">
      <w:lvl w:ilvl="1">
        <w:start w:val="1"/>
        <w:numFmt w:val="lowerLetter"/>
        <w:lvlText w:val="%2."/>
        <w:lvlJc w:val="left"/>
        <w:pPr>
          <w:ind w:left="938" w:hanging="360"/>
        </w:pPr>
      </w:lvl>
    </w:lvlOverride>
    <w:lvlOverride w:ilvl="2">
      <w:lvl w:ilvl="2">
        <w:start w:val="1"/>
        <w:numFmt w:val="lowerRoman"/>
        <w:lvlText w:val="%1.%2.%3."/>
        <w:lvlJc w:val="right"/>
        <w:pPr>
          <w:ind w:left="1658" w:hanging="180"/>
        </w:pPr>
      </w:lvl>
    </w:lvlOverride>
    <w:lvlOverride w:ilvl="3">
      <w:lvl w:ilvl="3">
        <w:start w:val="1"/>
        <w:numFmt w:val="decimal"/>
        <w:lvlText w:val="%1.%2.%3.%4."/>
        <w:lvlJc w:val="left"/>
        <w:pPr>
          <w:ind w:left="2378" w:hanging="360"/>
        </w:pPr>
      </w:lvl>
    </w:lvlOverride>
    <w:lvlOverride w:ilvl="4">
      <w:lvl w:ilvl="4">
        <w:start w:val="1"/>
        <w:numFmt w:val="lowerLetter"/>
        <w:lvlText w:val="%1.%2.%3.%4.%5."/>
        <w:lvlJc w:val="left"/>
        <w:pPr>
          <w:ind w:left="3098" w:hanging="360"/>
        </w:pPr>
      </w:lvl>
    </w:lvlOverride>
    <w:lvlOverride w:ilvl="5">
      <w:lvl w:ilvl="5">
        <w:start w:val="1"/>
        <w:numFmt w:val="lowerRoman"/>
        <w:lvlText w:val="%1.%2.%3.%4.%5.%6."/>
        <w:lvlJc w:val="right"/>
        <w:pPr>
          <w:ind w:left="3818" w:hanging="180"/>
        </w:pPr>
      </w:lvl>
    </w:lvlOverride>
    <w:lvlOverride w:ilvl="6">
      <w:lvl w:ilvl="6">
        <w:start w:val="1"/>
        <w:numFmt w:val="decimal"/>
        <w:lvlText w:val="%1.%2.%3.%4.%5.%6.%7."/>
        <w:lvlJc w:val="left"/>
        <w:pPr>
          <w:ind w:left="4538" w:hanging="360"/>
        </w:pPr>
      </w:lvl>
    </w:lvlOverride>
    <w:lvlOverride w:ilvl="7">
      <w:lvl w:ilvl="7">
        <w:start w:val="1"/>
        <w:numFmt w:val="lowerLetter"/>
        <w:lvlText w:val="%1.%2.%3.%4.%5.%6.%7.%8."/>
        <w:lvlJc w:val="left"/>
        <w:pPr>
          <w:ind w:left="5258" w:hanging="360"/>
        </w:pPr>
      </w:lvl>
    </w:lvlOverride>
    <w:lvlOverride w:ilvl="8">
      <w:lvl w:ilvl="8">
        <w:start w:val="1"/>
        <w:numFmt w:val="lowerRoman"/>
        <w:lvlText w:val="%1.%2.%3.%4.%5.%6.%7.%8.%9."/>
        <w:lvlJc w:val="right"/>
        <w:pPr>
          <w:ind w:left="5978" w:hanging="180"/>
        </w:pPr>
      </w:lvl>
    </w:lvlOverride>
  </w:num>
  <w:num w:numId="55" w16cid:durableId="1254511432">
    <w:abstractNumId w:val="31"/>
  </w:num>
  <w:num w:numId="56" w16cid:durableId="1854800636">
    <w:abstractNumId w:val="46"/>
  </w:num>
  <w:num w:numId="57" w16cid:durableId="1935016748">
    <w:abstractNumId w:val="42"/>
  </w:num>
  <w:num w:numId="58" w16cid:durableId="1674107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6332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8908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92424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177756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8883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59584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061929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04038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2401275">
    <w:abstractNumId w:val="21"/>
  </w:num>
  <w:num w:numId="68" w16cid:durableId="100997582">
    <w:abstractNumId w:val="45"/>
  </w:num>
  <w:num w:numId="69" w16cid:durableId="635061169">
    <w:abstractNumId w:val="13"/>
  </w:num>
  <w:num w:numId="70" w16cid:durableId="1993831217">
    <w:abstractNumId w:val="50"/>
  </w:num>
  <w:num w:numId="71" w16cid:durableId="314189065">
    <w:abstractNumId w:val="33"/>
  </w:num>
  <w:num w:numId="72" w16cid:durableId="2076708188">
    <w:abstractNumId w:val="18"/>
  </w:num>
  <w:num w:numId="73" w16cid:durableId="1635525605">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373F"/>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55D"/>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395A"/>
    <w:rsid w:val="00177071"/>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4848"/>
    <w:rsid w:val="001A50A7"/>
    <w:rsid w:val="001A5B3C"/>
    <w:rsid w:val="001A641E"/>
    <w:rsid w:val="001A6F87"/>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168"/>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79A"/>
    <w:rsid w:val="001E5801"/>
    <w:rsid w:val="001E5CB9"/>
    <w:rsid w:val="001E5F51"/>
    <w:rsid w:val="001E72B7"/>
    <w:rsid w:val="001E7A13"/>
    <w:rsid w:val="001F03FF"/>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342C"/>
    <w:rsid w:val="00263B56"/>
    <w:rsid w:val="00266790"/>
    <w:rsid w:val="00270DB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20D0"/>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BF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67C"/>
    <w:rsid w:val="00315798"/>
    <w:rsid w:val="00317A25"/>
    <w:rsid w:val="00317C1A"/>
    <w:rsid w:val="00317F79"/>
    <w:rsid w:val="00320320"/>
    <w:rsid w:val="00320F91"/>
    <w:rsid w:val="003212AE"/>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7B72"/>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5B71"/>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3DD0"/>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CB9"/>
    <w:rsid w:val="00402D76"/>
    <w:rsid w:val="00403C90"/>
    <w:rsid w:val="00403EDD"/>
    <w:rsid w:val="00404028"/>
    <w:rsid w:val="00404C5E"/>
    <w:rsid w:val="004057F8"/>
    <w:rsid w:val="0040601A"/>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B22"/>
    <w:rsid w:val="00425DAA"/>
    <w:rsid w:val="00425E63"/>
    <w:rsid w:val="0042664D"/>
    <w:rsid w:val="00426A94"/>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46B5"/>
    <w:rsid w:val="00456544"/>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084B"/>
    <w:rsid w:val="004C3078"/>
    <w:rsid w:val="004C3E03"/>
    <w:rsid w:val="004C4B45"/>
    <w:rsid w:val="004C4FA9"/>
    <w:rsid w:val="004C5145"/>
    <w:rsid w:val="004C6342"/>
    <w:rsid w:val="004C7C56"/>
    <w:rsid w:val="004D18E8"/>
    <w:rsid w:val="004D2628"/>
    <w:rsid w:val="004D31B2"/>
    <w:rsid w:val="004D441C"/>
    <w:rsid w:val="004D4CF6"/>
    <w:rsid w:val="004D5854"/>
    <w:rsid w:val="004E14A1"/>
    <w:rsid w:val="004E234C"/>
    <w:rsid w:val="004E35BF"/>
    <w:rsid w:val="004E3B96"/>
    <w:rsid w:val="004E4168"/>
    <w:rsid w:val="004E420F"/>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E74"/>
    <w:rsid w:val="00547C0C"/>
    <w:rsid w:val="0055085B"/>
    <w:rsid w:val="00551622"/>
    <w:rsid w:val="00551C33"/>
    <w:rsid w:val="00552834"/>
    <w:rsid w:val="005530A3"/>
    <w:rsid w:val="00554047"/>
    <w:rsid w:val="00554306"/>
    <w:rsid w:val="00557025"/>
    <w:rsid w:val="005570CA"/>
    <w:rsid w:val="0055742C"/>
    <w:rsid w:val="005647AD"/>
    <w:rsid w:val="00565529"/>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19A"/>
    <w:rsid w:val="00592F37"/>
    <w:rsid w:val="00594BC1"/>
    <w:rsid w:val="00594F01"/>
    <w:rsid w:val="00595317"/>
    <w:rsid w:val="00595907"/>
    <w:rsid w:val="0059613E"/>
    <w:rsid w:val="005961F5"/>
    <w:rsid w:val="005969E5"/>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43EE"/>
    <w:rsid w:val="005C676A"/>
    <w:rsid w:val="005C68C0"/>
    <w:rsid w:val="005C6E73"/>
    <w:rsid w:val="005C7357"/>
    <w:rsid w:val="005C799E"/>
    <w:rsid w:val="005D00FD"/>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6E61"/>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F6"/>
    <w:rsid w:val="006A4F2A"/>
    <w:rsid w:val="006A6D6E"/>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9D"/>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2B65"/>
    <w:rsid w:val="007244E6"/>
    <w:rsid w:val="00724A0F"/>
    <w:rsid w:val="007260C5"/>
    <w:rsid w:val="00726574"/>
    <w:rsid w:val="00727B78"/>
    <w:rsid w:val="00727DD7"/>
    <w:rsid w:val="00730839"/>
    <w:rsid w:val="00732163"/>
    <w:rsid w:val="00733794"/>
    <w:rsid w:val="007338C9"/>
    <w:rsid w:val="00733A6A"/>
    <w:rsid w:val="007345CA"/>
    <w:rsid w:val="00734704"/>
    <w:rsid w:val="00734D3E"/>
    <w:rsid w:val="00735855"/>
    <w:rsid w:val="00744AEA"/>
    <w:rsid w:val="0074543F"/>
    <w:rsid w:val="00745DA7"/>
    <w:rsid w:val="00745F2F"/>
    <w:rsid w:val="007462A9"/>
    <w:rsid w:val="00746EE3"/>
    <w:rsid w:val="00747543"/>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7F7AEB"/>
    <w:rsid w:val="0080158C"/>
    <w:rsid w:val="008034FB"/>
    <w:rsid w:val="00804111"/>
    <w:rsid w:val="008041F5"/>
    <w:rsid w:val="00804ACA"/>
    <w:rsid w:val="00804EF6"/>
    <w:rsid w:val="008050EE"/>
    <w:rsid w:val="00805A04"/>
    <w:rsid w:val="008067FE"/>
    <w:rsid w:val="0081096A"/>
    <w:rsid w:val="008135FB"/>
    <w:rsid w:val="00813913"/>
    <w:rsid w:val="00814ACA"/>
    <w:rsid w:val="00814EB5"/>
    <w:rsid w:val="00814F56"/>
    <w:rsid w:val="0081543D"/>
    <w:rsid w:val="00816456"/>
    <w:rsid w:val="008204FC"/>
    <w:rsid w:val="0082105F"/>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034"/>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11D"/>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B15"/>
    <w:rsid w:val="00957160"/>
    <w:rsid w:val="00960489"/>
    <w:rsid w:val="00960E59"/>
    <w:rsid w:val="0096132D"/>
    <w:rsid w:val="009613F2"/>
    <w:rsid w:val="009615B1"/>
    <w:rsid w:val="00962CBB"/>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E88"/>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63E"/>
    <w:rsid w:val="00A21726"/>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2981"/>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8FE"/>
    <w:rsid w:val="00C15A87"/>
    <w:rsid w:val="00C16473"/>
    <w:rsid w:val="00C16546"/>
    <w:rsid w:val="00C20446"/>
    <w:rsid w:val="00C23F7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C16"/>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586"/>
    <w:rsid w:val="00C8667D"/>
    <w:rsid w:val="00C92170"/>
    <w:rsid w:val="00C92A33"/>
    <w:rsid w:val="00C93666"/>
    <w:rsid w:val="00C938B8"/>
    <w:rsid w:val="00C9532A"/>
    <w:rsid w:val="00C95BE9"/>
    <w:rsid w:val="00C968E1"/>
    <w:rsid w:val="00CA029C"/>
    <w:rsid w:val="00CA159F"/>
    <w:rsid w:val="00CA19BD"/>
    <w:rsid w:val="00CA1C3F"/>
    <w:rsid w:val="00CA2CC7"/>
    <w:rsid w:val="00CA31F2"/>
    <w:rsid w:val="00CA46FA"/>
    <w:rsid w:val="00CA5975"/>
    <w:rsid w:val="00CA6AF2"/>
    <w:rsid w:val="00CA70C6"/>
    <w:rsid w:val="00CA7A91"/>
    <w:rsid w:val="00CB02D9"/>
    <w:rsid w:val="00CB032F"/>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258"/>
    <w:rsid w:val="00CD345D"/>
    <w:rsid w:val="00CD5113"/>
    <w:rsid w:val="00CD5E0B"/>
    <w:rsid w:val="00CE0FDC"/>
    <w:rsid w:val="00CE245C"/>
    <w:rsid w:val="00CE4334"/>
    <w:rsid w:val="00CE5112"/>
    <w:rsid w:val="00CE54E0"/>
    <w:rsid w:val="00CE5693"/>
    <w:rsid w:val="00CE5944"/>
    <w:rsid w:val="00CE66F3"/>
    <w:rsid w:val="00CF07EC"/>
    <w:rsid w:val="00CF2987"/>
    <w:rsid w:val="00CF3CAC"/>
    <w:rsid w:val="00CF3FB9"/>
    <w:rsid w:val="00CF47B6"/>
    <w:rsid w:val="00CF52FF"/>
    <w:rsid w:val="00CF5944"/>
    <w:rsid w:val="00CF5EF6"/>
    <w:rsid w:val="00D0214A"/>
    <w:rsid w:val="00D03131"/>
    <w:rsid w:val="00D03518"/>
    <w:rsid w:val="00D03EED"/>
    <w:rsid w:val="00D03F35"/>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A5EC1"/>
    <w:rsid w:val="00DB181E"/>
    <w:rsid w:val="00DB1923"/>
    <w:rsid w:val="00DB1A25"/>
    <w:rsid w:val="00DB22BC"/>
    <w:rsid w:val="00DB2E00"/>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2ED3"/>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3952"/>
    <w:rsid w:val="00E8422A"/>
    <w:rsid w:val="00E84AB8"/>
    <w:rsid w:val="00E85D10"/>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4E"/>
    <w:rsid w:val="00F15A6F"/>
    <w:rsid w:val="00F15DE4"/>
    <w:rsid w:val="00F173A6"/>
    <w:rsid w:val="00F22DDF"/>
    <w:rsid w:val="00F23E7B"/>
    <w:rsid w:val="00F2460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307D"/>
    <w:rsid w:val="00F63553"/>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 w:type="numbering" w:customStyle="1" w:styleId="WWNum44">
    <w:name w:val="WWNum44"/>
    <w:basedOn w:val="Bezlisty"/>
    <w:rsid w:val="0010255D"/>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6DCB-53A0-544B-9211-3D3BE4D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10764</Words>
  <Characters>64588</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75202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20</cp:revision>
  <cp:lastPrinted>2022-03-16T09:38:00Z</cp:lastPrinted>
  <dcterms:created xsi:type="dcterms:W3CDTF">2022-08-05T10:37:00Z</dcterms:created>
  <dcterms:modified xsi:type="dcterms:W3CDTF">2023-01-17T10:34:00Z</dcterms:modified>
</cp:coreProperties>
</file>