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795" w:rsidRDefault="007F6527">
      <w:pPr>
        <w:rPr>
          <w:rFonts w:ascii="Calibri" w:hAnsi="Calibri"/>
          <w:sz w:val="22"/>
          <w:szCs w:val="22"/>
        </w:rPr>
      </w:pPr>
      <w:r>
        <w:rPr>
          <w:rFonts w:ascii="Calibri" w:hAnsi="Calibri"/>
          <w:sz w:val="22"/>
          <w:szCs w:val="22"/>
        </w:rPr>
        <w:tab/>
      </w:r>
      <w:r>
        <w:rPr>
          <w:rFonts w:ascii="Calibri" w:hAnsi="Calibri"/>
          <w:sz w:val="22"/>
          <w:szCs w:val="22"/>
        </w:rPr>
        <w:tab/>
      </w:r>
    </w:p>
    <w:p w:rsidR="00441795" w:rsidRDefault="007F6527">
      <w:pPr>
        <w:jc w:val="center"/>
        <w:rPr>
          <w:rFonts w:ascii="Calibri" w:hAnsi="Calibri"/>
          <w:b/>
          <w:bCs/>
          <w:sz w:val="22"/>
          <w:szCs w:val="22"/>
        </w:rPr>
      </w:pPr>
      <w:r>
        <w:rPr>
          <w:rFonts w:ascii="Calibri" w:hAnsi="Calibri"/>
          <w:b/>
          <w:bCs/>
          <w:sz w:val="22"/>
          <w:szCs w:val="22"/>
        </w:rPr>
        <w:t xml:space="preserve">  O Ś W I A D C Z E N I E   W Y K O N A W C Y  Z A M Ó W I E N I A   P U B L I C Z N E G O</w:t>
      </w:r>
    </w:p>
    <w:p w:rsidR="00441795" w:rsidRDefault="00441795">
      <w:pPr>
        <w:rPr>
          <w:rFonts w:ascii="Calibri" w:hAnsi="Calibri"/>
          <w:sz w:val="22"/>
          <w:szCs w:val="22"/>
        </w:rPr>
      </w:pPr>
    </w:p>
    <w:p w:rsidR="00441795" w:rsidRDefault="007F6527">
      <w:pPr>
        <w:jc w:val="both"/>
        <w:rPr>
          <w:rFonts w:ascii="Calibri" w:hAnsi="Calibri"/>
          <w:sz w:val="22"/>
          <w:szCs w:val="22"/>
        </w:rPr>
      </w:pPr>
      <w:r>
        <w:rPr>
          <w:rFonts w:ascii="Calibri" w:hAnsi="Calibri"/>
          <w:sz w:val="22"/>
          <w:szCs w:val="22"/>
        </w:rPr>
        <w:tab/>
        <w:t xml:space="preserve">Nie podlegam wykluczeniu na podstawie art. 7  </w:t>
      </w:r>
      <w:r>
        <w:rPr>
          <w:rFonts w:ascii="Calibri" w:hAnsi="Calibri"/>
          <w:b/>
          <w:sz w:val="22"/>
          <w:szCs w:val="22"/>
        </w:rPr>
        <w:t xml:space="preserve">USTAWY </w:t>
      </w:r>
      <w:r>
        <w:rPr>
          <w:rFonts w:ascii="Calibri" w:hAnsi="Calibri"/>
          <w:sz w:val="22"/>
          <w:szCs w:val="22"/>
        </w:rPr>
        <w:t xml:space="preserve">z dnia 13 kwietnia 2022 r. </w:t>
      </w:r>
      <w:r>
        <w:rPr>
          <w:rFonts w:ascii="Calibri" w:hAnsi="Calibri"/>
          <w:b/>
          <w:sz w:val="22"/>
          <w:szCs w:val="22"/>
        </w:rPr>
        <w:t xml:space="preserve">o szczególnych rozwiązaniach w zakresie przeciwdziałania wspieraniu </w:t>
      </w:r>
      <w:r>
        <w:rPr>
          <w:rFonts w:ascii="Calibri" w:hAnsi="Calibri"/>
          <w:b/>
          <w:sz w:val="22"/>
          <w:szCs w:val="22"/>
        </w:rPr>
        <w:t>agresji na Ukrainę oraz służących ochronie bezpieczeństwa narodowego.</w:t>
      </w:r>
    </w:p>
    <w:p w:rsidR="00441795" w:rsidRDefault="00441795">
      <w:pPr>
        <w:jc w:val="both"/>
        <w:rPr>
          <w:rFonts w:ascii="Calibri" w:hAnsi="Calibri"/>
          <w:b/>
          <w:sz w:val="22"/>
          <w:szCs w:val="22"/>
        </w:rPr>
      </w:pPr>
    </w:p>
    <w:p w:rsidR="00441795" w:rsidRDefault="00441795">
      <w:pPr>
        <w:pStyle w:val="Default"/>
        <w:jc w:val="both"/>
        <w:rPr>
          <w:rFonts w:ascii="Calibri" w:hAnsi="Calibri"/>
          <w:b/>
          <w:sz w:val="22"/>
          <w:szCs w:val="22"/>
        </w:rPr>
      </w:pPr>
    </w:p>
    <w:p w:rsidR="00441795" w:rsidRDefault="007F6527">
      <w:pPr>
        <w:pStyle w:val="Default"/>
        <w:keepLines/>
        <w:jc w:val="both"/>
        <w:rPr>
          <w:rFonts w:ascii="Calibri" w:hAnsi="Calibri"/>
          <w:sz w:val="20"/>
          <w:szCs w:val="20"/>
        </w:rPr>
      </w:pPr>
      <w:r>
        <w:rPr>
          <w:rFonts w:ascii="Calibri" w:hAnsi="Calibri"/>
          <w:b/>
          <w:sz w:val="20"/>
          <w:szCs w:val="20"/>
        </w:rPr>
        <w:t xml:space="preserve">Art. 7. </w:t>
      </w:r>
      <w:r>
        <w:rPr>
          <w:rFonts w:ascii="Calibri" w:hAnsi="Calibri"/>
          <w:sz w:val="20"/>
          <w:szCs w:val="20"/>
        </w:rPr>
        <w:t xml:space="preserve">1. Z postępowania o udzielenie zamówienia publicznego lub konkursu prowadzonego na podstawie ustawy </w:t>
      </w:r>
      <w:r>
        <w:rPr>
          <w:rFonts w:ascii="Calibri" w:hAnsi="Calibri"/>
          <w:sz w:val="20"/>
          <w:szCs w:val="20"/>
        </w:rPr>
        <w:br/>
        <w:t xml:space="preserve">z dnia 11 września 2019 r. – Prawo zamówień publicznych wyklucza się: </w:t>
      </w:r>
    </w:p>
    <w:p w:rsidR="00441795" w:rsidRDefault="007F6527">
      <w:pPr>
        <w:pStyle w:val="Default"/>
        <w:keepLines/>
        <w:jc w:val="both"/>
        <w:rPr>
          <w:rFonts w:ascii="Calibri" w:hAnsi="Calibri"/>
          <w:sz w:val="20"/>
          <w:szCs w:val="20"/>
        </w:rPr>
      </w:pPr>
      <w:r>
        <w:rPr>
          <w:rFonts w:ascii="Calibri" w:hAnsi="Calibri"/>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441795" w:rsidRDefault="007F6527">
      <w:pPr>
        <w:pStyle w:val="Default"/>
        <w:keepLines/>
        <w:jc w:val="both"/>
        <w:rPr>
          <w:rFonts w:ascii="Calibri" w:hAnsi="Calibri"/>
          <w:sz w:val="20"/>
          <w:szCs w:val="20"/>
        </w:rPr>
      </w:pPr>
      <w:r>
        <w:rPr>
          <w:rFonts w:ascii="Calibri" w:hAnsi="Calibri"/>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w:t>
      </w:r>
      <w:r>
        <w:rPr>
          <w:rFonts w:ascii="Calibri" w:hAnsi="Calibri"/>
          <w:sz w:val="20"/>
          <w:szCs w:val="20"/>
        </w:rPr>
        <w:t xml:space="preserve">u środka, o którym mowa w art. 1 pkt 3; </w:t>
      </w:r>
    </w:p>
    <w:p w:rsidR="00441795" w:rsidRDefault="007F6527">
      <w:pPr>
        <w:pStyle w:val="Default"/>
        <w:keepLines/>
        <w:jc w:val="both"/>
        <w:rPr>
          <w:rFonts w:ascii="Calibri" w:hAnsi="Calibri"/>
          <w:sz w:val="20"/>
          <w:szCs w:val="20"/>
        </w:rPr>
      </w:pPr>
      <w:r>
        <w:rPr>
          <w:rFonts w:ascii="Calibri" w:hAnsi="Calibri"/>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w:t>
      </w:r>
      <w:r>
        <w:rPr>
          <w:rFonts w:ascii="Calibri" w:hAnsi="Calibri"/>
          <w:sz w:val="20"/>
          <w:szCs w:val="20"/>
        </w:rPr>
        <w:t xml:space="preserve">tórym mowa w art. 1 pkt 3. </w:t>
      </w:r>
    </w:p>
    <w:p w:rsidR="00441795" w:rsidRDefault="007F6527">
      <w:pPr>
        <w:keepLines/>
        <w:jc w:val="both"/>
        <w:rPr>
          <w:rFonts w:ascii="Calibri" w:hAnsi="Calibri"/>
          <w:sz w:val="20"/>
          <w:szCs w:val="20"/>
        </w:rPr>
      </w:pPr>
      <w:r>
        <w:rPr>
          <w:rFonts w:ascii="Calibri" w:hAnsi="Calibri"/>
          <w:sz w:val="20"/>
          <w:szCs w:val="20"/>
        </w:rPr>
        <w:t>2. Wykluczenie następuje na okres trwania okoliczności określonych w ust. 1.</w:t>
      </w:r>
    </w:p>
    <w:p w:rsidR="00441795" w:rsidRDefault="007F6527">
      <w:pPr>
        <w:pStyle w:val="Default"/>
        <w:keepLines/>
        <w:jc w:val="both"/>
        <w:rPr>
          <w:rFonts w:ascii="Calibri" w:hAnsi="Calibri"/>
          <w:sz w:val="20"/>
          <w:szCs w:val="20"/>
        </w:rPr>
      </w:pPr>
      <w:r>
        <w:rPr>
          <w:rFonts w:ascii="Calibri" w:hAnsi="Calibri"/>
          <w:sz w:val="20"/>
          <w:szCs w:val="20"/>
        </w:rPr>
        <w:t xml:space="preserve">3. W przypadku wykonawcy lub uczestnika konkursu wykluczonego na podstawie ust. </w:t>
      </w:r>
      <w:r>
        <w:rPr>
          <w:rFonts w:ascii="Calibri" w:hAnsi="Calibri"/>
          <w:sz w:val="20"/>
          <w:szCs w:val="20"/>
        </w:rPr>
        <w:t>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w:t>
      </w:r>
      <w:r>
        <w:rPr>
          <w:rFonts w:ascii="Calibri" w:hAnsi="Calibri"/>
          <w:sz w:val="20"/>
          <w:szCs w:val="20"/>
        </w:rPr>
        <w:t xml:space="preserve"> nie przeprowadza oceny pracy konkursowej, odpowiednio do trybu stosowanego do udzielenia zamówienia publicznego oraz etapu prowadzonego postępowania o udzielenie zamówienia publicznego. </w:t>
      </w:r>
    </w:p>
    <w:p w:rsidR="00441795" w:rsidRDefault="007F6527">
      <w:pPr>
        <w:pStyle w:val="Default"/>
        <w:keepLines/>
        <w:jc w:val="both"/>
        <w:rPr>
          <w:rFonts w:ascii="Calibri" w:hAnsi="Calibri"/>
          <w:sz w:val="20"/>
          <w:szCs w:val="20"/>
        </w:rPr>
      </w:pPr>
      <w:r>
        <w:rPr>
          <w:rFonts w:ascii="Calibri" w:hAnsi="Calibri"/>
          <w:sz w:val="20"/>
          <w:szCs w:val="20"/>
        </w:rPr>
        <w:t xml:space="preserve">4. Kontrola udzielania zamówień publicznych w zakresie zgodności z ust. 1 jest wykonywana zgodnie z art. 596 ustawy z dnia 11 września 2019 r. – Prawo zamówień publicznych. </w:t>
      </w:r>
    </w:p>
    <w:p w:rsidR="00441795" w:rsidRDefault="007F6527">
      <w:pPr>
        <w:keepLines/>
        <w:jc w:val="both"/>
        <w:rPr>
          <w:rFonts w:ascii="Calibri" w:hAnsi="Calibri"/>
          <w:sz w:val="20"/>
          <w:szCs w:val="20"/>
        </w:rPr>
      </w:pPr>
      <w:r>
        <w:rPr>
          <w:rFonts w:ascii="Calibri" w:hAnsi="Calibri"/>
          <w:sz w:val="20"/>
          <w:szCs w:val="20"/>
        </w:rPr>
        <w:t xml:space="preserve">5. Przez ubieganie się o udzielenie zamówienia publicznego lub dopuszczenie do udziału w konkursie rozumie się </w:t>
      </w:r>
      <w:r>
        <w:rPr>
          <w:rFonts w:ascii="Calibri" w:hAnsi="Calibri"/>
          <w:sz w:val="20"/>
          <w:szCs w:val="20"/>
        </w:rPr>
        <w:t>odpowiednio złożenie wniosku o dopuszczenie do udziału w postępowaniu o udzielenie zamówienia publicznego lub konkursie, złożenie oferty, przystąpienie do negocjacji lub złożenie pracy konkursowej.</w:t>
      </w:r>
    </w:p>
    <w:p w:rsidR="00441795" w:rsidRDefault="007F6527">
      <w:pPr>
        <w:keepLines/>
        <w:jc w:val="both"/>
        <w:rPr>
          <w:rFonts w:ascii="Calibri" w:hAnsi="Calibri"/>
          <w:sz w:val="20"/>
          <w:szCs w:val="20"/>
        </w:rPr>
      </w:pPr>
      <w:r>
        <w:rPr>
          <w:rFonts w:ascii="Calibri" w:hAnsi="Calibri"/>
          <w:sz w:val="20"/>
          <w:szCs w:val="20"/>
        </w:rPr>
        <w:t>6. Osoba lub podmiot podl</w:t>
      </w:r>
      <w:r>
        <w:rPr>
          <w:rFonts w:ascii="Calibri" w:hAnsi="Calibri"/>
          <w:sz w:val="20"/>
          <w:szCs w:val="20"/>
        </w:rPr>
        <w:t xml:space="preserve">egające wykluczeniu na podstawie ust. 1, które w okresie tego wykluczenia ubiegają się </w:t>
      </w:r>
      <w:r>
        <w:rPr>
          <w:rFonts w:ascii="Calibri" w:hAnsi="Calibri"/>
          <w:sz w:val="20"/>
          <w:szCs w:val="20"/>
        </w:rPr>
        <w:br/>
        <w:t xml:space="preserve">o udzielenie zamówienia publicznego lub dopuszczenie do udziału w konkursie lub biorą udział w postępowaniu </w:t>
      </w:r>
      <w:r>
        <w:rPr>
          <w:rFonts w:ascii="Calibri" w:hAnsi="Calibri"/>
          <w:sz w:val="20"/>
          <w:szCs w:val="20"/>
        </w:rPr>
        <w:br/>
        <w:t>o udzielenie zamówienia publicznego lub w konkursie, podlegają karze pieniężnej.</w:t>
      </w:r>
    </w:p>
    <w:p w:rsidR="00441795" w:rsidRDefault="007F6527">
      <w:pPr>
        <w:pStyle w:val="Default"/>
        <w:keepLines/>
        <w:jc w:val="both"/>
        <w:rPr>
          <w:rFonts w:ascii="Calibri" w:hAnsi="Calibri"/>
          <w:sz w:val="20"/>
          <w:szCs w:val="20"/>
        </w:rPr>
      </w:pPr>
      <w:r>
        <w:rPr>
          <w:rFonts w:ascii="Calibri" w:hAnsi="Calibri"/>
          <w:b/>
          <w:sz w:val="20"/>
          <w:szCs w:val="20"/>
        </w:rPr>
        <w:t xml:space="preserve">7. </w:t>
      </w:r>
      <w:r>
        <w:rPr>
          <w:rFonts w:ascii="Calibri" w:hAnsi="Calibri"/>
          <w:sz w:val="20"/>
          <w:szCs w:val="20"/>
        </w:rPr>
        <w:t xml:space="preserve">Karę pieniężną, o której mowa w ust. 6, nakłada Prezes Urzędu Zamówień Publicznych, w drodze decyzji,                         w </w:t>
      </w:r>
      <w:r>
        <w:rPr>
          <w:rFonts w:ascii="Calibri" w:hAnsi="Calibri"/>
          <w:sz w:val="20"/>
          <w:szCs w:val="20"/>
        </w:rPr>
        <w:t xml:space="preserve">wysokości do 20 000 000 zł. </w:t>
      </w:r>
    </w:p>
    <w:p w:rsidR="00441795" w:rsidRDefault="007F6527">
      <w:pPr>
        <w:pStyle w:val="Default"/>
        <w:keepLines/>
        <w:jc w:val="both"/>
        <w:rPr>
          <w:rFonts w:ascii="Calibri" w:hAnsi="Calibri"/>
          <w:sz w:val="20"/>
          <w:szCs w:val="20"/>
        </w:rPr>
      </w:pPr>
      <w:r>
        <w:rPr>
          <w:rFonts w:ascii="Calibri" w:hAnsi="Calibri"/>
          <w:sz w:val="20"/>
          <w:szCs w:val="20"/>
        </w:rPr>
        <w:t xml:space="preserve">8. Wpływy z kar pieniężnych, o których mowa w ust. 6, stanowią dochód budżetu państwa. </w:t>
      </w:r>
    </w:p>
    <w:p w:rsidR="00441795" w:rsidRDefault="007F6527">
      <w:pPr>
        <w:keepLines/>
        <w:jc w:val="both"/>
        <w:rPr>
          <w:rFonts w:ascii="Calibri" w:hAnsi="Calibri"/>
          <w:b/>
          <w:bCs/>
          <w:sz w:val="20"/>
          <w:szCs w:val="20"/>
          <w:u w:val="single"/>
        </w:rPr>
      </w:pPr>
      <w:r>
        <w:rPr>
          <w:rFonts w:ascii="Calibri" w:hAnsi="Calibri"/>
          <w:b/>
          <w:bCs/>
          <w:sz w:val="20"/>
          <w:szCs w:val="20"/>
          <w:u w:val="single"/>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rsidR="00441795" w:rsidRDefault="00441795">
      <w:pPr>
        <w:keepLines/>
        <w:rPr>
          <w:rFonts w:ascii="Calibri" w:hAnsi="Calibri"/>
          <w:b/>
          <w:sz w:val="22"/>
          <w:szCs w:val="22"/>
        </w:rPr>
      </w:pPr>
    </w:p>
    <w:p w:rsidR="00441795" w:rsidRDefault="00441795">
      <w:pPr>
        <w:keepLines/>
        <w:rPr>
          <w:rFonts w:ascii="Calibri" w:hAnsi="Calibri"/>
          <w:b/>
          <w:sz w:val="22"/>
          <w:szCs w:val="22"/>
        </w:rPr>
      </w:pPr>
    </w:p>
    <w:p w:rsidR="00441795" w:rsidRDefault="00441795">
      <w:pPr>
        <w:rPr>
          <w:rFonts w:ascii="Calibri" w:hAnsi="Calibri"/>
          <w:b/>
          <w:sz w:val="22"/>
          <w:szCs w:val="22"/>
        </w:rPr>
      </w:pPr>
    </w:p>
    <w:p w:rsidR="00441795" w:rsidRDefault="007F6527">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w:t>
      </w:r>
    </w:p>
    <w:p w:rsidR="00441795" w:rsidRDefault="00441795">
      <w:pPr>
        <w:rPr>
          <w:rFonts w:ascii="Calibri" w:hAnsi="Calibri"/>
          <w:sz w:val="22"/>
          <w:szCs w:val="22"/>
        </w:rPr>
      </w:pPr>
    </w:p>
    <w:p w:rsidR="00441795" w:rsidRDefault="007F6527">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Podpis osoby upoważnionej</w:t>
      </w:r>
    </w:p>
    <w:sectPr w:rsidR="00441795">
      <w:headerReference w:type="default" r:id="rId6"/>
      <w:footerReference w:type="default" r:id="rId7"/>
      <w:pgSz w:w="11906" w:h="16838"/>
      <w:pgMar w:top="1723" w:right="1134" w:bottom="1693" w:left="1134" w:header="1134" w:footer="1134"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527" w:rsidRDefault="007F6527">
      <w:r>
        <w:separator/>
      </w:r>
    </w:p>
  </w:endnote>
  <w:endnote w:type="continuationSeparator" w:id="0">
    <w:p w:rsidR="007F6527" w:rsidRDefault="007F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795" w:rsidRDefault="007F6527">
    <w:pPr>
      <w:pStyle w:val="Stopka"/>
    </w:pPr>
    <w:r>
      <w:rPr>
        <w:noProof/>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760720" cy="45720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76072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527" w:rsidRDefault="007F6527">
      <w:r>
        <w:separator/>
      </w:r>
    </w:p>
  </w:footnote>
  <w:footnote w:type="continuationSeparator" w:id="0">
    <w:p w:rsidR="007F6527" w:rsidRDefault="007F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795" w:rsidRDefault="007F6527">
    <w:pPr>
      <w:spacing w:line="276" w:lineRule="auto"/>
      <w:rPr>
        <w:rFonts w:ascii="Calibri" w:hAnsi="Calibri"/>
        <w:sz w:val="22"/>
        <w:szCs w:val="22"/>
      </w:rPr>
    </w:pPr>
    <w:r>
      <w:rPr>
        <w:rFonts w:ascii="Calibri" w:hAnsi="Calibri" w:cs="Times New Roman"/>
        <w:b/>
        <w:bCs/>
        <w:sz w:val="22"/>
        <w:szCs w:val="22"/>
      </w:rPr>
      <w:t xml:space="preserve">Nr ref. </w:t>
    </w:r>
    <w:r>
      <w:rPr>
        <w:rFonts w:ascii="Calibri" w:hAnsi="Calibri" w:cs="Times New Roman"/>
        <w:b/>
        <w:bCs/>
        <w:color w:val="auto"/>
        <w:sz w:val="22"/>
        <w:szCs w:val="22"/>
      </w:rPr>
      <w:t>sprawy: TR.265.15.2023</w:t>
    </w:r>
    <w:r>
      <w:rPr>
        <w:rFonts w:ascii="Calibri" w:hAnsi="Calibri" w:cs="Times New Roman"/>
        <w:b/>
        <w:bCs/>
        <w:color w:val="auto"/>
        <w:sz w:val="22"/>
        <w:szCs w:val="22"/>
      </w:rPr>
      <w:tab/>
    </w:r>
    <w:r>
      <w:rPr>
        <w:rFonts w:ascii="Calibri" w:hAnsi="Calibri" w:cs="Times New Roman"/>
        <w:b/>
        <w:bCs/>
        <w:color w:val="auto"/>
        <w:sz w:val="22"/>
        <w:szCs w:val="22"/>
      </w:rPr>
      <w:tab/>
    </w:r>
    <w:r>
      <w:rPr>
        <w:rFonts w:ascii="Calibri" w:hAnsi="Calibri" w:cs="Times New Roman"/>
        <w:b/>
        <w:bCs/>
        <w:color w:val="auto"/>
        <w:sz w:val="22"/>
        <w:szCs w:val="22"/>
      </w:rPr>
      <w:tab/>
    </w:r>
    <w:r>
      <w:rPr>
        <w:rFonts w:ascii="Calibri" w:hAnsi="Calibri" w:cs="Times New Roman"/>
        <w:b/>
        <w:bCs/>
        <w:sz w:val="22"/>
        <w:szCs w:val="22"/>
      </w:rPr>
      <w:t>Załącznik nr 2 do zapytania ofertowego</w:t>
    </w:r>
    <w:bookmarkStart w:id="0" w:name="__DdeLink__214_1974431155"/>
    <w:bookmarkStart w:id="1" w:name="__DdeLink__214_19744311554"/>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95"/>
    <w:rsid w:val="00441795"/>
    <w:rsid w:val="007F6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AB24"/>
  <w15:docId w15:val="{503A21D0-CDC6-4F08-9DF0-83C95A3A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pPr>
      <w:widowControl w:val="0"/>
    </w:pPr>
    <w:rPr>
      <w:rFonts w:ascii="Times New Roman" w:hAnsi="Times New Roman"/>
    </w:rPr>
  </w:style>
  <w:style w:type="paragraph" w:customStyle="1" w:styleId="Gwkaistopka">
    <w:name w:val="Główka i stopka"/>
    <w:basedOn w:val="Normalny"/>
    <w:qFormat/>
    <w:pPr>
      <w:suppressLineNumbers/>
      <w:tabs>
        <w:tab w:val="center" w:pos="4819"/>
        <w:tab w:val="right" w:pos="9638"/>
      </w:tabs>
    </w:pPr>
  </w:style>
  <w:style w:type="paragraph" w:styleId="Nagwek">
    <w:name w:val="header"/>
    <w:basedOn w:val="Gwkaistopka"/>
  </w:style>
  <w:style w:type="paragraph" w:styleId="Akapitzlist">
    <w:name w:val="List Paragraph"/>
    <w:basedOn w:val="Normalny"/>
    <w:qFormat/>
    <w:pPr>
      <w:ind w:left="720"/>
      <w:contextualSpacing/>
    </w:pPr>
  </w:style>
  <w:style w:type="paragraph" w:styleId="Stopka">
    <w:name w:val="footer"/>
    <w:basedOn w:val="Gwkaistopka"/>
  </w:style>
  <w:style w:type="paragraph" w:customStyle="1" w:styleId="Standardowy1">
    <w:name w:val="Standardowy1"/>
    <w:qFormat/>
    <w:rPr>
      <w:rFonts w:ascii="Calibri" w:eastAsia="Calibri" w:hAnsi="Calibri" w:cs="Calibri"/>
      <w:sz w:val="2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589</Words>
  <Characters>3537</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13 kwietnia 2022 r. o szczególnych rozwiązaniach w zakresie przeciwdziałania wspieraniu agresji na Ukrainę oraz służących ochronie bezpieczeństwa narodowego</dc:title>
  <dc:subject/>
  <dc:creator>RCL</dc:creator>
  <dc:description/>
  <cp:lastModifiedBy>Zamówienia Publiczne</cp:lastModifiedBy>
  <cp:revision>18</cp:revision>
  <cp:lastPrinted>2023-09-20T08:40:00Z</cp:lastPrinted>
  <dcterms:created xsi:type="dcterms:W3CDTF">2023-09-20T08:40:00Z</dcterms:created>
  <dcterms:modified xsi:type="dcterms:W3CDTF">2023-09-20T08:40:00Z</dcterms:modified>
  <dc:language>pl-PL</dc:language>
</cp:coreProperties>
</file>