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041E2" w14:textId="03105FB0" w:rsidR="00C110BD" w:rsidRPr="00925D6E" w:rsidRDefault="00CC75E7" w:rsidP="00707A21">
      <w:pPr>
        <w:spacing w:line="264" w:lineRule="auto"/>
        <w:ind w:left="284"/>
        <w:jc w:val="right"/>
        <w:rPr>
          <w:rFonts w:asciiTheme="majorHAnsi" w:hAnsiTheme="majorHAnsi"/>
          <w:b/>
          <w:sz w:val="22"/>
          <w:szCs w:val="22"/>
        </w:rPr>
      </w:pPr>
      <w:r w:rsidRPr="00925D6E">
        <w:rPr>
          <w:rFonts w:asciiTheme="majorHAnsi" w:hAnsiTheme="majorHAnsi"/>
          <w:b/>
          <w:sz w:val="22"/>
          <w:szCs w:val="22"/>
        </w:rPr>
        <w:t xml:space="preserve">Załącznik nr </w:t>
      </w:r>
      <w:r w:rsidR="00834182">
        <w:rPr>
          <w:rFonts w:asciiTheme="majorHAnsi" w:hAnsiTheme="majorHAnsi"/>
          <w:b/>
          <w:sz w:val="22"/>
          <w:szCs w:val="22"/>
        </w:rPr>
        <w:t>5</w:t>
      </w:r>
      <w:r w:rsidRPr="00925D6E">
        <w:rPr>
          <w:rFonts w:asciiTheme="majorHAnsi" w:hAnsiTheme="majorHAnsi"/>
          <w:b/>
          <w:sz w:val="22"/>
          <w:szCs w:val="22"/>
        </w:rPr>
        <w:t xml:space="preserve"> do SWZ – opis przedmiotu zamówienia</w:t>
      </w:r>
    </w:p>
    <w:p w14:paraId="2BB5779E" w14:textId="77777777" w:rsidR="00CC75E7" w:rsidRPr="00925D6E" w:rsidRDefault="00CC75E7" w:rsidP="00707A21">
      <w:pPr>
        <w:spacing w:line="264" w:lineRule="auto"/>
        <w:ind w:left="284"/>
        <w:rPr>
          <w:rFonts w:asciiTheme="majorHAnsi" w:hAnsiTheme="majorHAnsi"/>
          <w:b/>
          <w:sz w:val="20"/>
          <w:szCs w:val="20"/>
        </w:rPr>
      </w:pPr>
    </w:p>
    <w:p w14:paraId="0B5AA794" w14:textId="77777777" w:rsidR="00C0768C" w:rsidRPr="005E3AD2" w:rsidRDefault="00C0768C" w:rsidP="00C0768C">
      <w:pPr>
        <w:numPr>
          <w:ilvl w:val="0"/>
          <w:numId w:val="18"/>
        </w:numPr>
        <w:tabs>
          <w:tab w:val="left" w:pos="851"/>
        </w:tabs>
        <w:spacing w:line="264" w:lineRule="auto"/>
        <w:jc w:val="both"/>
        <w:rPr>
          <w:rFonts w:ascii="Cambria" w:hAnsi="Cambria"/>
          <w:sz w:val="22"/>
        </w:rPr>
      </w:pPr>
      <w:r w:rsidRPr="005E3AD2">
        <w:rPr>
          <w:rFonts w:ascii="Cambria" w:hAnsi="Cambria"/>
          <w:sz w:val="22"/>
        </w:rPr>
        <w:t xml:space="preserve">Przedmiotem zamówienia jest </w:t>
      </w:r>
      <w:r w:rsidRPr="00C0768C">
        <w:rPr>
          <w:rFonts w:ascii="Cambria" w:hAnsi="Cambria"/>
          <w:sz w:val="22"/>
        </w:rPr>
        <w:t xml:space="preserve">dostawa </w:t>
      </w:r>
      <w:r w:rsidRPr="00C0768C">
        <w:rPr>
          <w:rFonts w:ascii="Cambria" w:hAnsi="Cambria"/>
          <w:b/>
          <w:bCs/>
          <w:sz w:val="22"/>
        </w:rPr>
        <w:t>Samochodu specjalnego do wywozu nieczystości i obsługi sieci kanalizacyjnej</w:t>
      </w:r>
      <w:r w:rsidRPr="005E3AD2">
        <w:rPr>
          <w:rFonts w:ascii="Cambria" w:hAnsi="Cambria"/>
          <w:sz w:val="22"/>
        </w:rPr>
        <w:t xml:space="preserve"> na podwoziu ciężarowym </w:t>
      </w:r>
      <w:r>
        <w:rPr>
          <w:rFonts w:ascii="Cambria" w:hAnsi="Cambria"/>
          <w:sz w:val="22"/>
        </w:rPr>
        <w:t>o parametrach przedstawionych w opisie -</w:t>
      </w:r>
      <w:r w:rsidRPr="005E3AD2">
        <w:rPr>
          <w:rFonts w:ascii="Cambria" w:hAnsi="Cambria"/>
          <w:sz w:val="22"/>
        </w:rPr>
        <w:t xml:space="preserve"> sztuk 1.</w:t>
      </w:r>
    </w:p>
    <w:p w14:paraId="2FDB9EFA" w14:textId="77777777" w:rsidR="00C0768C" w:rsidRDefault="00C0768C" w:rsidP="00C0768C">
      <w:pPr>
        <w:pStyle w:val="Akapitzlist"/>
        <w:numPr>
          <w:ilvl w:val="0"/>
          <w:numId w:val="18"/>
        </w:numPr>
        <w:tabs>
          <w:tab w:val="left" w:pos="851"/>
        </w:tabs>
        <w:spacing w:line="264" w:lineRule="auto"/>
        <w:contextualSpacing/>
        <w:jc w:val="both"/>
        <w:rPr>
          <w:rFonts w:ascii="Cambria" w:hAnsi="Cambria"/>
          <w:b/>
          <w:sz w:val="22"/>
        </w:rPr>
      </w:pPr>
      <w:r w:rsidRPr="005E3AD2">
        <w:rPr>
          <w:rFonts w:ascii="Cambria" w:hAnsi="Cambria"/>
          <w:b/>
          <w:sz w:val="22"/>
        </w:rPr>
        <w:t>Pojazd powinien spełniać wymagania polskich przepisów o ruchu drogowym zgodnie z Ustawą „Prawo o ruchu drogowym”</w:t>
      </w:r>
      <w:r>
        <w:rPr>
          <w:rFonts w:ascii="Cambria" w:hAnsi="Cambria"/>
          <w:b/>
          <w:sz w:val="22"/>
        </w:rPr>
        <w:t xml:space="preserve"> oraz </w:t>
      </w:r>
      <w:r w:rsidRPr="005E3AD2">
        <w:rPr>
          <w:rFonts w:ascii="Cambria" w:hAnsi="Cambria"/>
          <w:b/>
          <w:sz w:val="22"/>
        </w:rPr>
        <w:t>spełniać wymagania</w:t>
      </w:r>
      <w:r>
        <w:rPr>
          <w:rFonts w:ascii="Cambria" w:hAnsi="Cambria"/>
          <w:b/>
          <w:sz w:val="22"/>
        </w:rPr>
        <w:t xml:space="preserve"> Rozporządzenia Ministra Infrastruktury z dnia 12 listopada 2002 r. w sprawie wymagań dla wozów asenizacyjnych. </w:t>
      </w:r>
      <w:r w:rsidRPr="0010330D">
        <w:rPr>
          <w:rFonts w:ascii="Cambria" w:hAnsi="Cambria"/>
          <w:b/>
          <w:sz w:val="22"/>
        </w:rPr>
        <w:t>Dz.U.2002.193.1617 z dnia 2002.11.22</w:t>
      </w:r>
    </w:p>
    <w:p w14:paraId="176E97DE" w14:textId="5721B0DA" w:rsidR="00C0768C" w:rsidRDefault="00C0768C" w:rsidP="00C0768C">
      <w:pPr>
        <w:pStyle w:val="Akapitzlist"/>
        <w:numPr>
          <w:ilvl w:val="0"/>
          <w:numId w:val="18"/>
        </w:numPr>
        <w:tabs>
          <w:tab w:val="left" w:pos="851"/>
        </w:tabs>
        <w:spacing w:line="264" w:lineRule="auto"/>
        <w:contextualSpacing/>
        <w:rPr>
          <w:rFonts w:ascii="Cambria" w:hAnsi="Cambria"/>
          <w:b/>
          <w:sz w:val="22"/>
        </w:rPr>
      </w:pPr>
      <w:r w:rsidRPr="00C0768C">
        <w:rPr>
          <w:rFonts w:ascii="Cambria" w:hAnsi="Cambria"/>
          <w:bCs/>
          <w:sz w:val="22"/>
        </w:rPr>
        <w:t>Czas realizacji:</w:t>
      </w:r>
      <w:r>
        <w:rPr>
          <w:rFonts w:ascii="Cambria" w:hAnsi="Cambria"/>
          <w:b/>
          <w:sz w:val="22"/>
        </w:rPr>
        <w:t xml:space="preserve"> 30 dni </w:t>
      </w:r>
    </w:p>
    <w:p w14:paraId="08C4D839" w14:textId="77777777" w:rsidR="00C0768C" w:rsidRDefault="00C0768C" w:rsidP="00C0768C">
      <w:pPr>
        <w:tabs>
          <w:tab w:val="left" w:pos="851"/>
        </w:tabs>
      </w:pPr>
    </w:p>
    <w:p w14:paraId="02A7BB82" w14:textId="77777777" w:rsidR="00C0768C" w:rsidRPr="00374841" w:rsidRDefault="00C0768C" w:rsidP="00C0768C">
      <w:pPr>
        <w:pStyle w:val="Akapitzlist"/>
        <w:numPr>
          <w:ilvl w:val="0"/>
          <w:numId w:val="18"/>
        </w:numPr>
        <w:tabs>
          <w:tab w:val="left" w:pos="851"/>
        </w:tabs>
        <w:spacing w:after="160" w:line="259" w:lineRule="auto"/>
        <w:contextualSpacing/>
        <w:rPr>
          <w:b/>
          <w:bCs/>
        </w:rPr>
      </w:pPr>
      <w:r w:rsidRPr="00374841">
        <w:rPr>
          <w:b/>
          <w:bCs/>
        </w:rPr>
        <w:t>Minimalne parametry pojazdu:</w:t>
      </w:r>
    </w:p>
    <w:p w14:paraId="77D11190" w14:textId="77777777" w:rsidR="00C0768C" w:rsidRDefault="00C0768C" w:rsidP="00C0768C">
      <w:pPr>
        <w:pStyle w:val="Akapitzlist"/>
        <w:tabs>
          <w:tab w:val="left" w:pos="851"/>
        </w:tabs>
      </w:pPr>
    </w:p>
    <w:p w14:paraId="2A9BA904" w14:textId="77777777" w:rsidR="00C0768C" w:rsidRPr="005E3AD2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5E3AD2">
        <w:t>Rok produkcji podwozia – nie starsze niż 2012 r.</w:t>
      </w:r>
    </w:p>
    <w:p w14:paraId="30AFD7FE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ind w:left="1418" w:hanging="698"/>
        <w:contextualSpacing/>
        <w:jc w:val="both"/>
      </w:pPr>
      <w:r w:rsidRPr="005E3AD2">
        <w:t>Auto zarejestrowane w Polce, posiadające ważny przegląd rejestracyjny (dopuszczone do ru</w:t>
      </w:r>
      <w:r w:rsidRPr="00096E8B">
        <w:t>chu), wraz z polis</w:t>
      </w:r>
      <w:r>
        <w:t>ą</w:t>
      </w:r>
      <w:r w:rsidRPr="00096E8B">
        <w:t xml:space="preserve"> OC ważn</w:t>
      </w:r>
      <w:r>
        <w:t>ą</w:t>
      </w:r>
      <w:r w:rsidRPr="00096E8B">
        <w:t xml:space="preserve"> przez okres min. </w:t>
      </w:r>
      <w:r>
        <w:t>30</w:t>
      </w:r>
      <w:r w:rsidRPr="00096E8B">
        <w:t xml:space="preserve"> dni od dnia dostawy. Auto zarejestrowane jako pojazd specjalny</w:t>
      </w:r>
      <w:r>
        <w:t xml:space="preserve"> (wywóz nieczystości oraz obsługa sieci kanalizacyjnej)</w:t>
      </w:r>
    </w:p>
    <w:p w14:paraId="64FE076F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5E3AD2">
        <w:t>Stan podwozia: używane</w:t>
      </w:r>
    </w:p>
    <w:p w14:paraId="00701734" w14:textId="77777777" w:rsidR="00C0768C" w:rsidRPr="00385FB3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ind w:left="1418" w:hanging="698"/>
        <w:contextualSpacing/>
        <w:jc w:val="both"/>
      </w:pPr>
      <w:r w:rsidRPr="00385FB3">
        <w:t>Brak możliwości ingerencji w ramę nośną pojazdu, dopuszcza się jedynie jej wydłużenie, bez ingerowania w elementy napędowe typu: wał</w:t>
      </w:r>
      <w:r>
        <w:t>, most itp.</w:t>
      </w:r>
      <w:r w:rsidRPr="00385FB3">
        <w:t xml:space="preserve"> </w:t>
      </w:r>
    </w:p>
    <w:p w14:paraId="6736CC40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5E3AD2">
        <w:t xml:space="preserve">Przebieg – nie większy niż </w:t>
      </w:r>
      <w:r>
        <w:t>6</w:t>
      </w:r>
      <w:r w:rsidRPr="005E3AD2">
        <w:t>00 tys. km.</w:t>
      </w:r>
    </w:p>
    <w:p w14:paraId="3C46B374" w14:textId="77777777" w:rsidR="00C0768C" w:rsidRPr="00D34E67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D34E67">
        <w:t>Silnik o mocy nie mniejszej niż 3</w:t>
      </w:r>
      <w:r>
        <w:t>80</w:t>
      </w:r>
      <w:r w:rsidRPr="00D34E67">
        <w:t xml:space="preserve"> KM</w:t>
      </w:r>
    </w:p>
    <w:p w14:paraId="7F5F4646" w14:textId="77777777" w:rsidR="00C0768C" w:rsidRPr="00D34E67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D34E67">
        <w:t>Rodzaj paliwa: Diesel</w:t>
      </w:r>
    </w:p>
    <w:p w14:paraId="0517E32B" w14:textId="77777777" w:rsidR="00C0768C" w:rsidRPr="00385FB3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Udokumentowana norma spalania: nie mniej niż EURO 5</w:t>
      </w:r>
    </w:p>
    <w:p w14:paraId="0072A64B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D34E67">
        <w:t xml:space="preserve">Skrzynia biegów: </w:t>
      </w:r>
      <w:r>
        <w:t>automatyczna</w:t>
      </w:r>
    </w:p>
    <w:p w14:paraId="49622B2A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D34E67">
        <w:t>Liczba osi: 2 osie w tym napędowy bliźniak</w:t>
      </w:r>
      <w:r>
        <w:t>.</w:t>
      </w:r>
    </w:p>
    <w:p w14:paraId="561ED2A2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1418"/>
        </w:tabs>
        <w:spacing w:after="160" w:line="259" w:lineRule="auto"/>
        <w:ind w:left="1418" w:hanging="698"/>
        <w:contextualSpacing/>
        <w:jc w:val="both"/>
      </w:pPr>
      <w:r w:rsidRPr="0098268D">
        <w:t xml:space="preserve">Wymagane DMC pojazdu </w:t>
      </w:r>
      <w:r>
        <w:t>minimum</w:t>
      </w:r>
      <w:r w:rsidRPr="0098268D">
        <w:t>18 ton</w:t>
      </w:r>
      <w:r>
        <w:t xml:space="preserve">. Samochód przy pełnym napełnieniu ściekami oraz wodą do czyszczenia kanalizacji wraz z wyposażeniem wskazanym dla zabudowy asenizacyjnej nie może przekroczyć dopuszczalnej masy całkowitej wskazanej w dowodzie rejestracyjnym (karcie pojazdu). </w:t>
      </w:r>
    </w:p>
    <w:p w14:paraId="77837720" w14:textId="77777777" w:rsidR="00C0768C" w:rsidRPr="0098268D" w:rsidRDefault="00C0768C" w:rsidP="00C0768C">
      <w:pPr>
        <w:pStyle w:val="Akapitzlist"/>
        <w:numPr>
          <w:ilvl w:val="2"/>
          <w:numId w:val="18"/>
        </w:numPr>
        <w:autoSpaceDN w:val="0"/>
        <w:spacing w:after="160" w:line="259" w:lineRule="auto"/>
        <w:contextualSpacing/>
        <w:textAlignment w:val="baseline"/>
      </w:pPr>
      <w:r>
        <w:t>Opony: maksymalne zużycie opon nie przekraczające 30%</w:t>
      </w:r>
    </w:p>
    <w:p w14:paraId="097E0482" w14:textId="77777777" w:rsidR="00C0768C" w:rsidRPr="00D34E67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D34E67">
        <w:t>Ilość miejsc w kabinie min</w:t>
      </w:r>
      <w:r>
        <w:t>imum</w:t>
      </w:r>
      <w:r w:rsidRPr="00D34E67">
        <w:t xml:space="preserve"> 2 (kierowca + pomocnik)</w:t>
      </w:r>
    </w:p>
    <w:p w14:paraId="427FA8B2" w14:textId="77777777" w:rsidR="00C0768C" w:rsidRPr="00D34E67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F</w:t>
      </w:r>
      <w:r w:rsidRPr="00D34E67">
        <w:t>otel kierowcy z zawieszeniem pneumatycznym</w:t>
      </w:r>
    </w:p>
    <w:p w14:paraId="36779AB8" w14:textId="77777777" w:rsidR="00C0768C" w:rsidRPr="00D34E67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W</w:t>
      </w:r>
      <w:r w:rsidRPr="00D34E67">
        <w:t>szystkie miejsca siedzące z pasami bezpieczeństwa</w:t>
      </w:r>
    </w:p>
    <w:p w14:paraId="25774775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ind w:left="1418" w:hanging="698"/>
        <w:contextualSpacing/>
        <w:jc w:val="both"/>
      </w:pPr>
      <w:r>
        <w:t>Z</w:t>
      </w:r>
      <w:r w:rsidRPr="00F36A71">
        <w:t>estaw wskaźników lub wyświetlacz, zawierający co najmniej wskazania: prędkościomierza w km/h, temperatury cieczy chłodzącej silnik, poziomu paliwa, obrotomierza, ilość przejechanych kilometrów</w:t>
      </w:r>
    </w:p>
    <w:p w14:paraId="6BFD1956" w14:textId="77777777" w:rsidR="00C0768C" w:rsidRPr="00F36A71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O</w:t>
      </w:r>
      <w:r w:rsidRPr="00F36A71">
        <w:t>świetlenie wnętrza,</w:t>
      </w:r>
    </w:p>
    <w:p w14:paraId="67C1DD2B" w14:textId="77777777" w:rsidR="00C0768C" w:rsidRPr="00F36A71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S</w:t>
      </w:r>
      <w:r w:rsidRPr="00F36A71">
        <w:t>zyby otwierane elektrycznie,</w:t>
      </w:r>
    </w:p>
    <w:p w14:paraId="134EAE3D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O</w:t>
      </w:r>
      <w:r w:rsidRPr="00F36A71">
        <w:t>grzewanie kabiny,</w:t>
      </w:r>
    </w:p>
    <w:p w14:paraId="4C7F180D" w14:textId="77777777" w:rsidR="00C0768C" w:rsidRPr="00385FB3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Blokada mostu,</w:t>
      </w:r>
    </w:p>
    <w:p w14:paraId="42CA85E9" w14:textId="77777777" w:rsidR="00C0768C" w:rsidRPr="00385FB3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 xml:space="preserve">Zaczepy holownicze przód i tył </w:t>
      </w:r>
    </w:p>
    <w:p w14:paraId="6E8017A7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S</w:t>
      </w:r>
      <w:r w:rsidRPr="00821FD9">
        <w:t xml:space="preserve">ystem </w:t>
      </w:r>
      <w:proofErr w:type="spellStart"/>
      <w:r w:rsidRPr="00821FD9">
        <w:t>samopoziomowania</w:t>
      </w:r>
      <w:proofErr w:type="spellEnd"/>
      <w:r w:rsidRPr="00821FD9">
        <w:t xml:space="preserve"> pojazdu,</w:t>
      </w:r>
    </w:p>
    <w:p w14:paraId="431863F8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F</w:t>
      </w:r>
      <w:r w:rsidRPr="00821FD9">
        <w:t>artuchy przeciw błotne kół,</w:t>
      </w:r>
    </w:p>
    <w:p w14:paraId="19BFF624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R</w:t>
      </w:r>
      <w:r w:rsidRPr="00821FD9">
        <w:t>adio samochodowe z anteną</w:t>
      </w:r>
    </w:p>
    <w:p w14:paraId="74527CC5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S</w:t>
      </w:r>
      <w:r w:rsidRPr="00821FD9">
        <w:t>ystem zapobiegający blokowaniu kół podczas hamowania (ABS)</w:t>
      </w:r>
    </w:p>
    <w:p w14:paraId="1B898C87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lastRenderedPageBreak/>
        <w:t>K</w:t>
      </w:r>
      <w:r w:rsidRPr="00821FD9">
        <w:t>ierownica z regulacją wysokości i kąta pochylenia</w:t>
      </w:r>
    </w:p>
    <w:p w14:paraId="06E0CD5F" w14:textId="77777777" w:rsidR="00C0768C" w:rsidRPr="00821FD9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>
        <w:t>Z</w:t>
      </w:r>
      <w:r w:rsidRPr="00821FD9">
        <w:t>biornik paliwa o pojemności co</w:t>
      </w:r>
      <w:r w:rsidRPr="00385FB3">
        <w:t xml:space="preserve"> najmniej 500 dm3,</w:t>
      </w:r>
    </w:p>
    <w:p w14:paraId="79335D12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contextualSpacing/>
      </w:pPr>
      <w:r w:rsidRPr="00821FD9">
        <w:t>Oświetlenie ostrzegawcze belka ostrzegawcza, światła koloru pomarańczowego</w:t>
      </w:r>
    </w:p>
    <w:p w14:paraId="42867825" w14:textId="77777777" w:rsidR="00C0768C" w:rsidRDefault="00C0768C" w:rsidP="00C0768C">
      <w:pPr>
        <w:pStyle w:val="Akapitzlist"/>
        <w:numPr>
          <w:ilvl w:val="2"/>
          <w:numId w:val="18"/>
        </w:numPr>
        <w:tabs>
          <w:tab w:val="left" w:pos="851"/>
        </w:tabs>
        <w:spacing w:after="160" w:line="259" w:lineRule="auto"/>
        <w:ind w:left="1418" w:hanging="698"/>
        <w:contextualSpacing/>
      </w:pPr>
      <w:r>
        <w:t>O</w:t>
      </w:r>
      <w:r w:rsidRPr="00821FD9">
        <w:t>świetlenie, wyposażenie i oznakowanie umożliwiające poruszanie się po drogach publicznych (wymagane ustawą Prawo o ruchu drogowym i rozporządzeniem Ministra Infrastruktury w sprawie warunków technicznych pojazdów oraz zakresu ich niezbędnego wyposażenia: m.in.: trójkąt ostrzegawczy, gaśnica, apteczka)</w:t>
      </w:r>
    </w:p>
    <w:p w14:paraId="3BBBFFFA" w14:textId="77777777" w:rsidR="00C0768C" w:rsidRDefault="00C0768C" w:rsidP="00C0768C">
      <w:pPr>
        <w:pStyle w:val="Akapitzlist"/>
        <w:numPr>
          <w:ilvl w:val="2"/>
          <w:numId w:val="18"/>
        </w:numPr>
        <w:spacing w:after="160" w:line="259" w:lineRule="auto"/>
        <w:contextualSpacing/>
      </w:pPr>
      <w:r w:rsidRPr="00385FB3">
        <w:t>Pasy odblaskowe (ostrzegawcze) wzdłuż boków kabiny i zabudowy</w:t>
      </w:r>
    </w:p>
    <w:p w14:paraId="3658002C" w14:textId="13B8B8D1" w:rsidR="00C0768C" w:rsidRPr="00282FFE" w:rsidRDefault="00C0768C" w:rsidP="00C0768C">
      <w:pPr>
        <w:pStyle w:val="Akapitzlist"/>
        <w:numPr>
          <w:ilvl w:val="2"/>
          <w:numId w:val="18"/>
        </w:numPr>
        <w:spacing w:after="160" w:line="259" w:lineRule="auto"/>
        <w:contextualSpacing/>
      </w:pPr>
      <w:r>
        <w:t xml:space="preserve"> </w:t>
      </w:r>
      <w:r w:rsidRPr="00282FFE">
        <w:t>G</w:t>
      </w:r>
      <w:r w:rsidR="00282FFE" w:rsidRPr="00282FFE">
        <w:t xml:space="preserve">warancja na samochód - </w:t>
      </w:r>
      <w:bookmarkStart w:id="0" w:name="_Hlk146871975"/>
      <w:r w:rsidR="00282FFE" w:rsidRPr="00282FFE">
        <w:t>Zaoferowany okres gwarancji nie może być krótszy niż 1 dzień.</w:t>
      </w:r>
      <w:r w:rsidR="00282FFE">
        <w:t xml:space="preserve"> Gwarancja na samochód jest jednym z kryteriów oceny ofert.  </w:t>
      </w:r>
    </w:p>
    <w:bookmarkEnd w:id="0"/>
    <w:p w14:paraId="690B7677" w14:textId="77777777" w:rsidR="00C0768C" w:rsidRDefault="00C0768C" w:rsidP="00C0768C">
      <w:pPr>
        <w:pStyle w:val="Akapitzlist"/>
        <w:ind w:left="1224"/>
      </w:pPr>
    </w:p>
    <w:p w14:paraId="77CCB54E" w14:textId="77777777" w:rsidR="00C0768C" w:rsidRPr="00385FB3" w:rsidRDefault="00C0768C" w:rsidP="00C0768C">
      <w:pPr>
        <w:pStyle w:val="Akapitzlist"/>
        <w:ind w:left="1224"/>
      </w:pPr>
    </w:p>
    <w:p w14:paraId="035457C4" w14:textId="77777777" w:rsidR="00C0768C" w:rsidRPr="00374841" w:rsidRDefault="00C0768C" w:rsidP="00C0768C">
      <w:pPr>
        <w:pStyle w:val="Akapitzlist"/>
        <w:numPr>
          <w:ilvl w:val="0"/>
          <w:numId w:val="18"/>
        </w:numPr>
        <w:tabs>
          <w:tab w:val="left" w:pos="851"/>
        </w:tabs>
        <w:spacing w:after="160" w:line="259" w:lineRule="auto"/>
        <w:contextualSpacing/>
        <w:rPr>
          <w:b/>
          <w:bCs/>
        </w:rPr>
      </w:pPr>
      <w:r w:rsidRPr="00374841">
        <w:rPr>
          <w:b/>
          <w:bCs/>
        </w:rPr>
        <w:t>Zabudowa asenizacyjna</w:t>
      </w:r>
      <w:r>
        <w:rPr>
          <w:b/>
          <w:bCs/>
        </w:rPr>
        <w:t xml:space="preserve"> (specjalna)</w:t>
      </w:r>
      <w:r w:rsidRPr="00374841">
        <w:rPr>
          <w:b/>
          <w:bCs/>
        </w:rPr>
        <w:t>:</w:t>
      </w:r>
    </w:p>
    <w:p w14:paraId="55B7B95E" w14:textId="77777777" w:rsidR="00C0768C" w:rsidRPr="00E85368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E85368">
        <w:t>Nowa zabudowa – rok produkcji 202</w:t>
      </w:r>
      <w:r>
        <w:t>3</w:t>
      </w:r>
    </w:p>
    <w:p w14:paraId="044F29B7" w14:textId="77777777" w:rsidR="00C0768C" w:rsidRPr="00385FB3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Pojemność zbiornika – nie mniejsza niż 10 m3 i nie większa niż</w:t>
      </w:r>
      <w:r>
        <w:t xml:space="preserve"> </w:t>
      </w:r>
      <w:r w:rsidRPr="00385FB3">
        <w:t>12 m3</w:t>
      </w:r>
    </w:p>
    <w:p w14:paraId="6BFFFE6F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E85368">
        <w:t xml:space="preserve">Zbiornik cylindryczny, wykonany z blachy stalowej grubości nie mniejszej niż </w:t>
      </w:r>
      <w:r w:rsidRPr="00385FB3">
        <w:t>6 mm.</w:t>
      </w:r>
      <w:r w:rsidRPr="00E85368">
        <w:t xml:space="preserve"> wzmocniony pierścieniami zewnętrznymi. Pokryty zewnętrzną warstwa malarską odporną na warunki atmosferyczne</w:t>
      </w:r>
    </w:p>
    <w:p w14:paraId="56D0E7ED" w14:textId="77777777" w:rsidR="00C0768C" w:rsidRPr="00FA5DAB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E85368">
        <w:t xml:space="preserve">Zabezpieczenie beczki asenizacyjnej od środka powłoką zabezpieczające przed agresywnym </w:t>
      </w:r>
      <w:r w:rsidRPr="00FA5DAB">
        <w:t>działaniem ścieków oraz ich par – co najmniej dwukrotne nałożenie powłoki.</w:t>
      </w:r>
    </w:p>
    <w:p w14:paraId="275E55D4" w14:textId="77777777" w:rsidR="00C0768C" w:rsidRDefault="00C0768C" w:rsidP="00C0768C">
      <w:pPr>
        <w:pStyle w:val="Akapitzlist"/>
        <w:numPr>
          <w:ilvl w:val="1"/>
          <w:numId w:val="18"/>
        </w:numPr>
        <w:autoSpaceDN w:val="0"/>
        <w:spacing w:after="160" w:line="259" w:lineRule="auto"/>
        <w:contextualSpacing/>
        <w:textAlignment w:val="baseline"/>
      </w:pPr>
      <w:r w:rsidRPr="00FA5DAB">
        <w:t>Zbiornik wyposażony w  przegrody wewnętrzne (falochrony) Co najmniej 2 przegrody. Każda z przegród powinna być równa co najmniej 2/3 powierzchni przekroju zbiornika.</w:t>
      </w:r>
    </w:p>
    <w:p w14:paraId="690F5A9D" w14:textId="77777777" w:rsidR="00C0768C" w:rsidRPr="00FA5DAB" w:rsidRDefault="00C0768C" w:rsidP="00C0768C">
      <w:pPr>
        <w:pStyle w:val="Akapitzlist"/>
        <w:numPr>
          <w:ilvl w:val="1"/>
          <w:numId w:val="18"/>
        </w:numPr>
        <w:autoSpaceDN w:val="0"/>
        <w:spacing w:after="160" w:line="259" w:lineRule="auto"/>
        <w:contextualSpacing/>
        <w:textAlignment w:val="baseline"/>
      </w:pPr>
      <w:r w:rsidRPr="00FA5DAB">
        <w:t xml:space="preserve">Kompresor ssąco – tłoczący napęd hydrauliczny; wbudowany zawór czterodrogowy (ssanie/wypychanie), automatyczne smarowanie pompy, chłodzenie przez dwa wentylatory. Pompa przystosowana do pracy ciągłej, przy 80% próżni. Obroty lewe lub prawe do 1300 </w:t>
      </w:r>
      <w:proofErr w:type="spellStart"/>
      <w:r w:rsidRPr="00FA5DAB">
        <w:t>obr</w:t>
      </w:r>
      <w:proofErr w:type="spellEnd"/>
      <w:r w:rsidRPr="00FA5DAB">
        <w:t xml:space="preserve">/min. Wydajność pomy nie mniej niż 10 000 l/min. </w:t>
      </w:r>
    </w:p>
    <w:p w14:paraId="0D142682" w14:textId="77777777" w:rsidR="00C0768C" w:rsidRPr="00C91AFA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>
        <w:t>D</w:t>
      </w:r>
      <w:r w:rsidRPr="00C91AFA">
        <w:t>ennica tylna otwierana ręcznie lub automatycznie</w:t>
      </w:r>
    </w:p>
    <w:p w14:paraId="59160B2A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Odstojnik, w celu niedopuszczenia do zalania pompy próżniowej</w:t>
      </w:r>
    </w:p>
    <w:p w14:paraId="3DB71E1A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Zawór bezpieczeństwa zabezpieczający przed nadmiernym wzrostem cienienia w zbiorniku</w:t>
      </w:r>
    </w:p>
    <w:p w14:paraId="350AAF1A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196B58">
        <w:t>Zawór zwrotny umieszczony w układzie ssąco-tłoczącym w celu zabezpieczenia wypływu powietrza ze zbiornika w przypadku, gdy pompa próżniowa zostanie wyłączona</w:t>
      </w:r>
    </w:p>
    <w:p w14:paraId="75EC423F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196B58">
        <w:t xml:space="preserve">Zawór dolnego </w:t>
      </w:r>
      <w:bookmarkStart w:id="1" w:name="_Hlk146610476"/>
      <w:r w:rsidRPr="00196B58">
        <w:t>ssania, za pomocą którego odbywa się opróżnianie zbiornika, zakończony łącznikiem do mocowania węża z zaślepka zamykającą</w:t>
      </w:r>
    </w:p>
    <w:bookmarkEnd w:id="1"/>
    <w:p w14:paraId="03B667DF" w14:textId="77777777" w:rsidR="00C0768C" w:rsidRPr="00385FB3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Dodatkowy zawór boczny ssania, zakończony łącznikiem do mocowania węża z zaślepk</w:t>
      </w:r>
      <w:r>
        <w:t>ą</w:t>
      </w:r>
      <w:r w:rsidRPr="00385FB3">
        <w:t xml:space="preserve"> zamykającą umiejscowiony w przedniej części beczki</w:t>
      </w:r>
      <w:r>
        <w:t>.</w:t>
      </w:r>
    </w:p>
    <w:p w14:paraId="07BB8898" w14:textId="77777777" w:rsidR="00C0768C" w:rsidRPr="00C91AFA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Rynny na węże po obu stronach beczki, nachylone z lekkim spadkiem na tył beczki, wykonane z blachy aluminiowej o grubości 3 mm lub blachy ocynkowanej min 2 mm grubości  z zaworkami spustowymi o długości odpowiedniej do konstrukcji zbiornika, mieszczące się w szerokości zestawu.</w:t>
      </w:r>
    </w:p>
    <w:p w14:paraId="4073D3A2" w14:textId="77777777" w:rsidR="00C0768C" w:rsidRPr="00C91AFA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Konstrukcja na dennicy na węże, umożliwiająca ich przełożenie pomiędzy rynnami.</w:t>
      </w:r>
    </w:p>
    <w:p w14:paraId="368AD255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Pojazdy asenizacyjny musi być wyposażony w szczelną instalację, szczelny zbiornik oraz w sprawny układ sterowania systemu napełniającego i opróżniającego zbiornik</w:t>
      </w:r>
    </w:p>
    <w:p w14:paraId="06B3D09D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t>Wskaźnik płynu ze skalą służący do określenia ilości pobranych ścieków</w:t>
      </w:r>
    </w:p>
    <w:p w14:paraId="3B56C052" w14:textId="77777777" w:rsidR="00C0768C" w:rsidRPr="00C91AFA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C91AFA">
        <w:lastRenderedPageBreak/>
        <w:t>Manowakuometr.</w:t>
      </w:r>
    </w:p>
    <w:p w14:paraId="0A1CE6DB" w14:textId="77777777" w:rsidR="00C0768C" w:rsidRPr="00196B58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196B58">
        <w:t>Tłumik – odzyskiwacz oleju</w:t>
      </w:r>
    </w:p>
    <w:p w14:paraId="11D1039A" w14:textId="77777777" w:rsidR="00C0768C" w:rsidRPr="0096570B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 xml:space="preserve">Halogeny robocze LED minimum dwie sztuki w tym jeden na dennicy na tyle pojazdu, drugi </w:t>
      </w:r>
      <w:r w:rsidRPr="0096570B">
        <w:t>oświetlający kompresor ssąco-tłoczący</w:t>
      </w:r>
    </w:p>
    <w:p w14:paraId="1A83EC96" w14:textId="77777777" w:rsidR="00C0768C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96570B">
        <w:t xml:space="preserve">Osprzęt ze zbiornikiem zewnętrznym na wodę czystą do czyszczenia kanalizacji: zbiornik na wodę minimum 100 litrów, wydajność myjki minimum 9 l/minutę ciśnienie robocze minimum 240 bar i długość węża minimum 8 metrów zakończony lancą z dyszą ciśnieniową. </w:t>
      </w:r>
    </w:p>
    <w:p w14:paraId="5217EE76" w14:textId="77777777" w:rsidR="00C0768C" w:rsidRPr="0096570B" w:rsidRDefault="00C0768C" w:rsidP="00C0768C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>
        <w:t>Kolor zabudowy dostosowany do kolorystyki kabiny samochodowej (identyczny).</w:t>
      </w:r>
    </w:p>
    <w:p w14:paraId="3CF2383A" w14:textId="77777777" w:rsidR="00282FFE" w:rsidRDefault="00C0768C" w:rsidP="00282FFE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Umieszczenie nazwy oraz numeru kontaktowego firmy na zabudowie.</w:t>
      </w:r>
    </w:p>
    <w:p w14:paraId="32E02A09" w14:textId="1AB95E73" w:rsidR="00C0768C" w:rsidRPr="00385FB3" w:rsidRDefault="00C0768C" w:rsidP="00282FFE">
      <w:pPr>
        <w:pStyle w:val="Akapitzlist"/>
        <w:numPr>
          <w:ilvl w:val="1"/>
          <w:numId w:val="18"/>
        </w:numPr>
        <w:tabs>
          <w:tab w:val="left" w:pos="851"/>
        </w:tabs>
        <w:spacing w:after="160" w:line="259" w:lineRule="auto"/>
        <w:contextualSpacing/>
      </w:pPr>
      <w:r w:rsidRPr="00385FB3">
        <w:t>Okres gwarancyjny zabudowy:</w:t>
      </w:r>
      <w:r w:rsidR="00282FFE">
        <w:t xml:space="preserve"> </w:t>
      </w:r>
      <w:r w:rsidR="00282FFE" w:rsidRPr="00282FFE">
        <w:t xml:space="preserve">Zaoferowany okres gwarancji nie może być krótszy niż </w:t>
      </w:r>
      <w:r w:rsidR="00282FFE">
        <w:t>12 m-</w:t>
      </w:r>
      <w:proofErr w:type="spellStart"/>
      <w:r w:rsidR="00282FFE">
        <w:t>cy</w:t>
      </w:r>
      <w:proofErr w:type="spellEnd"/>
      <w:r w:rsidR="00282FFE">
        <w:t>.</w:t>
      </w:r>
      <w:r w:rsidR="00282FFE" w:rsidRPr="00282FFE">
        <w:t xml:space="preserve">. Gwarancja na </w:t>
      </w:r>
      <w:r w:rsidR="00282FFE">
        <w:t xml:space="preserve">zabudowę asenizacyjną </w:t>
      </w:r>
      <w:r w:rsidR="00282FFE" w:rsidRPr="00282FFE">
        <w:t xml:space="preserve"> jest jednym z kryteriów oceny ofert.  </w:t>
      </w:r>
    </w:p>
    <w:p w14:paraId="5CB959AF" w14:textId="77777777" w:rsidR="00C0768C" w:rsidRDefault="00C0768C" w:rsidP="00C0768C">
      <w:pPr>
        <w:pStyle w:val="Akapitzlist"/>
        <w:tabs>
          <w:tab w:val="left" w:pos="851"/>
        </w:tabs>
        <w:ind w:left="360"/>
      </w:pPr>
    </w:p>
    <w:p w14:paraId="360B896A" w14:textId="5A6F1102" w:rsidR="00145039" w:rsidRDefault="00282FFE" w:rsidP="00C0768C">
      <w:pPr>
        <w:spacing w:line="264" w:lineRule="auto"/>
        <w:jc w:val="both"/>
      </w:pPr>
      <w:r>
        <w:t xml:space="preserve">Zamawiający zastrzega wymóg </w:t>
      </w:r>
      <w:r w:rsidR="00C0768C" w:rsidRPr="00282FFE">
        <w:t>Akceptacj</w:t>
      </w:r>
      <w:r>
        <w:t>i</w:t>
      </w:r>
      <w:r w:rsidR="00C0768C" w:rsidRPr="00282FFE">
        <w:t xml:space="preserve"> przyjętych rozwiązań przez Zamawiającego przed rozpoczęciem rejest</w:t>
      </w:r>
      <w:r>
        <w:t xml:space="preserve">racji. </w:t>
      </w:r>
    </w:p>
    <w:p w14:paraId="11A51AFB" w14:textId="77777777" w:rsidR="00282FFE" w:rsidRPr="00282FFE" w:rsidRDefault="00282FFE" w:rsidP="00C0768C">
      <w:pPr>
        <w:spacing w:line="264" w:lineRule="auto"/>
        <w:jc w:val="both"/>
        <w:rPr>
          <w:rFonts w:asciiTheme="majorHAnsi" w:hAnsiTheme="majorHAnsi" w:cstheme="majorHAnsi"/>
          <w:color w:val="FF0000"/>
          <w:sz w:val="22"/>
          <w:szCs w:val="22"/>
        </w:rPr>
      </w:pPr>
    </w:p>
    <w:p w14:paraId="0E05C947" w14:textId="3A72DB88" w:rsidR="00707A21" w:rsidRPr="00925D6E" w:rsidRDefault="00707A21" w:rsidP="00707A21">
      <w:pPr>
        <w:spacing w:line="264" w:lineRule="auto"/>
        <w:jc w:val="both"/>
        <w:rPr>
          <w:rFonts w:asciiTheme="majorHAnsi" w:hAnsiTheme="majorHAnsi"/>
          <w:bCs/>
          <w:sz w:val="22"/>
          <w:szCs w:val="22"/>
        </w:rPr>
      </w:pPr>
      <w:r w:rsidRPr="00282FFE">
        <w:rPr>
          <w:rFonts w:asciiTheme="majorHAnsi" w:hAnsiTheme="majorHAnsi"/>
          <w:bCs/>
          <w:sz w:val="22"/>
          <w:szCs w:val="22"/>
        </w:rPr>
        <w:t>Użyte określenia wskazujące określoną normę, należy odczytywać wraz z wyrazami</w:t>
      </w:r>
      <w:r w:rsidRPr="00925D6E">
        <w:rPr>
          <w:rFonts w:asciiTheme="majorHAnsi" w:hAnsiTheme="majorHAnsi"/>
          <w:bCs/>
          <w:sz w:val="22"/>
          <w:szCs w:val="22"/>
        </w:rPr>
        <w:t xml:space="preserve"> „lub równoważne”, </w:t>
      </w:r>
      <w:proofErr w:type="spellStart"/>
      <w:r w:rsidRPr="00925D6E">
        <w:rPr>
          <w:rFonts w:asciiTheme="majorHAnsi" w:hAnsiTheme="majorHAnsi"/>
          <w:bCs/>
          <w:sz w:val="22"/>
          <w:szCs w:val="22"/>
        </w:rPr>
        <w:t>t.j</w:t>
      </w:r>
      <w:proofErr w:type="spellEnd"/>
      <w:r w:rsidRPr="00925D6E">
        <w:rPr>
          <w:rFonts w:asciiTheme="majorHAnsi" w:hAnsiTheme="majorHAnsi"/>
          <w:bCs/>
          <w:sz w:val="22"/>
          <w:szCs w:val="22"/>
        </w:rPr>
        <w:t xml:space="preserve">. </w:t>
      </w:r>
      <w:r w:rsidR="00F501EA" w:rsidRPr="00925D6E">
        <w:rPr>
          <w:rFonts w:asciiTheme="majorHAnsi" w:hAnsiTheme="majorHAnsi"/>
          <w:bCs/>
          <w:sz w:val="22"/>
          <w:szCs w:val="22"/>
        </w:rPr>
        <w:t>w</w:t>
      </w:r>
      <w:r w:rsidRPr="00925D6E">
        <w:rPr>
          <w:rFonts w:asciiTheme="majorHAnsi" w:hAnsiTheme="majorHAnsi"/>
          <w:bCs/>
          <w:sz w:val="22"/>
          <w:szCs w:val="22"/>
        </w:rPr>
        <w:t>ykonawca oferując przedmiot zamówienia, którego jakość odpowiada normom równoważnym do opisanych w SWZ jest zobowiązany zachować równoważność w taki sposób, aby jakość była spełniona na poziomie nie niższym od jakości w stosunku do norm wskazanych przez Zamawiającego w SWZ.</w:t>
      </w:r>
    </w:p>
    <w:p w14:paraId="2E1A9C73" w14:textId="77777777" w:rsidR="00D118BE" w:rsidRPr="00925D6E" w:rsidRDefault="00D118BE" w:rsidP="00707A21">
      <w:pPr>
        <w:spacing w:line="264" w:lineRule="auto"/>
        <w:jc w:val="both"/>
        <w:rPr>
          <w:rFonts w:asciiTheme="majorHAnsi" w:hAnsiTheme="majorHAnsi"/>
          <w:bCs/>
          <w:sz w:val="22"/>
          <w:szCs w:val="22"/>
        </w:rPr>
      </w:pPr>
    </w:p>
    <w:p w14:paraId="2D02115C" w14:textId="3837AA06" w:rsidR="00CC75E7" w:rsidRDefault="00707A21" w:rsidP="00A47E51">
      <w:pPr>
        <w:spacing w:line="264" w:lineRule="auto"/>
        <w:jc w:val="both"/>
        <w:rPr>
          <w:rFonts w:asciiTheme="majorHAnsi" w:hAnsiTheme="majorHAnsi"/>
          <w:sz w:val="22"/>
          <w:szCs w:val="22"/>
        </w:rPr>
      </w:pPr>
      <w:r w:rsidRPr="00925D6E">
        <w:rPr>
          <w:rFonts w:asciiTheme="majorHAnsi" w:hAnsiTheme="majorHAnsi"/>
          <w:sz w:val="22"/>
          <w:szCs w:val="22"/>
        </w:rPr>
        <w:t>Wykonawca, który powołuje się na rozwiązania równoważne, jest zobowiązany wykazać, że oferowane  przez  niego  rozwiązanie  spełnia  wymagania  określone  przez zamawiającego. W takim przypadku, wykonawca załącza do oferty wykaz rozwiązań równoważnych wraz z jego opisem lub normami.</w:t>
      </w:r>
    </w:p>
    <w:p w14:paraId="4A826B2A" w14:textId="085612F0" w:rsidR="002A3B52" w:rsidRDefault="002A3B52" w:rsidP="00A47E51">
      <w:pPr>
        <w:spacing w:line="264" w:lineRule="auto"/>
        <w:jc w:val="both"/>
        <w:rPr>
          <w:rFonts w:asciiTheme="majorHAnsi" w:hAnsiTheme="majorHAnsi"/>
          <w:sz w:val="22"/>
          <w:szCs w:val="22"/>
        </w:rPr>
      </w:pPr>
    </w:p>
    <w:p w14:paraId="69212B25" w14:textId="77777777" w:rsidR="002A3B52" w:rsidRPr="00925D6E" w:rsidRDefault="002A3B52" w:rsidP="00A47E51">
      <w:pPr>
        <w:spacing w:line="264" w:lineRule="auto"/>
        <w:jc w:val="both"/>
        <w:rPr>
          <w:rFonts w:asciiTheme="majorHAnsi" w:hAnsiTheme="majorHAnsi"/>
          <w:sz w:val="22"/>
          <w:szCs w:val="22"/>
        </w:rPr>
      </w:pPr>
    </w:p>
    <w:p w14:paraId="488F73E1" w14:textId="77777777" w:rsidR="00565F0F" w:rsidRDefault="00282FFE" w:rsidP="00565F0F">
      <w:pPr>
        <w:spacing w:line="264" w:lineRule="auto"/>
        <w:jc w:val="both"/>
        <w:rPr>
          <w:rFonts w:asciiTheme="majorHAnsi" w:hAnsiTheme="majorHAnsi"/>
          <w:b/>
          <w:sz w:val="22"/>
          <w:szCs w:val="22"/>
        </w:rPr>
      </w:pPr>
      <w:bookmarkStart w:id="2" w:name="_Hlk146872686"/>
      <w:r>
        <w:rPr>
          <w:rFonts w:asciiTheme="majorHAnsi" w:hAnsiTheme="majorHAnsi"/>
          <w:bCs/>
          <w:sz w:val="22"/>
          <w:szCs w:val="22"/>
        </w:rPr>
        <w:t xml:space="preserve">Miejsce dostawy: </w:t>
      </w:r>
      <w:r w:rsidRPr="00282FFE">
        <w:rPr>
          <w:rFonts w:asciiTheme="majorHAnsi" w:hAnsiTheme="majorHAnsi"/>
          <w:b/>
          <w:sz w:val="22"/>
          <w:szCs w:val="22"/>
        </w:rPr>
        <w:t>Oczyszczalnia ścieków Zakładu Wodociągów i Kanalizacji</w:t>
      </w:r>
      <w:r>
        <w:rPr>
          <w:rFonts w:asciiTheme="majorHAnsi" w:hAnsiTheme="majorHAnsi"/>
          <w:b/>
          <w:sz w:val="22"/>
          <w:szCs w:val="22"/>
        </w:rPr>
        <w:t xml:space="preserve">, Debrzno -Wieś </w:t>
      </w:r>
      <w:r w:rsidR="00565F0F">
        <w:rPr>
          <w:rFonts w:asciiTheme="majorHAnsi" w:hAnsiTheme="majorHAnsi"/>
          <w:b/>
          <w:sz w:val="22"/>
          <w:szCs w:val="22"/>
        </w:rPr>
        <w:t>.</w:t>
      </w:r>
    </w:p>
    <w:p w14:paraId="1349C9DC" w14:textId="77777777" w:rsidR="00565F0F" w:rsidRDefault="00565F0F" w:rsidP="00565F0F">
      <w:pPr>
        <w:spacing w:line="264" w:lineRule="auto"/>
        <w:jc w:val="both"/>
        <w:rPr>
          <w:rFonts w:asciiTheme="majorHAnsi" w:hAnsiTheme="majorHAnsi"/>
          <w:b/>
          <w:sz w:val="22"/>
          <w:szCs w:val="22"/>
        </w:rPr>
      </w:pPr>
    </w:p>
    <w:p w14:paraId="170FDE6F" w14:textId="43C3A4F0" w:rsidR="00820105" w:rsidRPr="00565F0F" w:rsidRDefault="00282FFE" w:rsidP="00565F0F">
      <w:pPr>
        <w:spacing w:line="264" w:lineRule="auto"/>
        <w:jc w:val="both"/>
        <w:rPr>
          <w:rFonts w:asciiTheme="majorHAnsi" w:hAnsiTheme="majorHAnsi"/>
          <w:b/>
          <w:sz w:val="22"/>
          <w:szCs w:val="22"/>
        </w:rPr>
        <w:sectPr w:rsidR="00820105" w:rsidRPr="00565F0F" w:rsidSect="007E5CA6">
          <w:footerReference w:type="default" r:id="rId8"/>
          <w:type w:val="continuous"/>
          <w:pgSz w:w="11906" w:h="16838"/>
          <w:pgMar w:top="1276" w:right="1274" w:bottom="1560" w:left="1276" w:header="708" w:footer="708" w:gutter="0"/>
          <w:cols w:space="708"/>
          <w:docGrid w:linePitch="360"/>
        </w:sectPr>
      </w:pPr>
      <w:r w:rsidRPr="00565F0F">
        <w:rPr>
          <w:rFonts w:asciiTheme="majorHAnsi" w:hAnsiTheme="majorHAnsi"/>
          <w:bCs/>
          <w:sz w:val="22"/>
          <w:szCs w:val="22"/>
        </w:rPr>
        <w:t xml:space="preserve">W przypadku  </w:t>
      </w:r>
      <w:r w:rsidR="00565F0F" w:rsidRPr="00565F0F">
        <w:rPr>
          <w:rFonts w:asciiTheme="majorHAnsi" w:hAnsiTheme="majorHAnsi"/>
          <w:bCs/>
          <w:sz w:val="22"/>
          <w:szCs w:val="22"/>
        </w:rPr>
        <w:t xml:space="preserve"> braku możliwości    dostawy na miejsce  wskazane wyżej , dopuszcza się za wcześniejszym ustaleniem odbiór przedmiotu zamówienia</w:t>
      </w:r>
      <w:r w:rsidR="00565F0F">
        <w:rPr>
          <w:rFonts w:asciiTheme="majorHAnsi" w:hAnsiTheme="majorHAnsi"/>
          <w:bCs/>
          <w:sz w:val="22"/>
          <w:szCs w:val="22"/>
        </w:rPr>
        <w:t xml:space="preserve"> przez Zamawiającego </w:t>
      </w:r>
      <w:r w:rsidR="00565F0F" w:rsidRPr="00565F0F">
        <w:rPr>
          <w:rFonts w:asciiTheme="majorHAnsi" w:hAnsiTheme="majorHAnsi"/>
          <w:bCs/>
          <w:sz w:val="22"/>
          <w:szCs w:val="22"/>
        </w:rPr>
        <w:t xml:space="preserve">  w miejscu wskazanym przez Wykonawcę ale w odległości nie większej niż </w:t>
      </w:r>
      <w:r w:rsidR="00DA06DF">
        <w:rPr>
          <w:rFonts w:asciiTheme="majorHAnsi" w:hAnsiTheme="majorHAnsi"/>
          <w:bCs/>
          <w:sz w:val="22"/>
          <w:szCs w:val="22"/>
        </w:rPr>
        <w:t>5</w:t>
      </w:r>
      <w:r w:rsidR="00565F0F" w:rsidRPr="00565F0F">
        <w:rPr>
          <w:rFonts w:asciiTheme="majorHAnsi" w:hAnsiTheme="majorHAnsi"/>
          <w:bCs/>
          <w:sz w:val="22"/>
          <w:szCs w:val="22"/>
        </w:rPr>
        <w:t xml:space="preserve">00 km od siedziby </w:t>
      </w:r>
      <w:r w:rsidR="00565F0F">
        <w:rPr>
          <w:rFonts w:asciiTheme="majorHAnsi" w:hAnsiTheme="majorHAnsi"/>
          <w:bCs/>
          <w:sz w:val="22"/>
          <w:szCs w:val="22"/>
        </w:rPr>
        <w:t>Z</w:t>
      </w:r>
      <w:r w:rsidR="00565F0F" w:rsidRPr="00565F0F">
        <w:rPr>
          <w:rFonts w:asciiTheme="majorHAnsi" w:hAnsiTheme="majorHAnsi"/>
          <w:bCs/>
          <w:sz w:val="22"/>
          <w:szCs w:val="22"/>
        </w:rPr>
        <w:t xml:space="preserve">amawiającego. </w:t>
      </w:r>
    </w:p>
    <w:bookmarkEnd w:id="2"/>
    <w:p w14:paraId="56D50E15" w14:textId="361358D9" w:rsidR="007C425A" w:rsidRPr="00925D6E" w:rsidRDefault="007C425A" w:rsidP="00820105">
      <w:pPr>
        <w:spacing w:line="264" w:lineRule="auto"/>
        <w:rPr>
          <w:rFonts w:asciiTheme="majorHAnsi" w:hAnsiTheme="majorHAnsi"/>
          <w:sz w:val="22"/>
          <w:szCs w:val="22"/>
        </w:rPr>
      </w:pPr>
    </w:p>
    <w:sectPr w:rsidR="007C425A" w:rsidRPr="00925D6E" w:rsidSect="009A3F42">
      <w:type w:val="continuous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CFB64" w14:textId="77777777" w:rsidR="00913A31" w:rsidRDefault="00913A31" w:rsidP="00E83068">
      <w:r>
        <w:separator/>
      </w:r>
    </w:p>
  </w:endnote>
  <w:endnote w:type="continuationSeparator" w:id="0">
    <w:p w14:paraId="64212A05" w14:textId="77777777" w:rsidR="00913A31" w:rsidRDefault="00913A31" w:rsidP="00E8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7015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19D0B" w14:textId="051F03EB" w:rsidR="00925D6E" w:rsidRDefault="00925D6E">
            <w:pPr>
              <w:pStyle w:val="Stopka"/>
              <w:jc w:val="right"/>
            </w:pPr>
            <w:r w:rsidRPr="00925D6E">
              <w:rPr>
                <w:sz w:val="22"/>
                <w:szCs w:val="22"/>
              </w:rPr>
              <w:t xml:space="preserve">Strona </w:t>
            </w:r>
            <w:r w:rsidRPr="00925D6E">
              <w:rPr>
                <w:b/>
                <w:bCs/>
                <w:sz w:val="22"/>
                <w:szCs w:val="22"/>
              </w:rPr>
              <w:fldChar w:fldCharType="begin"/>
            </w:r>
            <w:r w:rsidRPr="00925D6E">
              <w:rPr>
                <w:b/>
                <w:bCs/>
                <w:sz w:val="22"/>
                <w:szCs w:val="22"/>
              </w:rPr>
              <w:instrText>PAGE</w:instrText>
            </w:r>
            <w:r w:rsidRPr="00925D6E">
              <w:rPr>
                <w:b/>
                <w:bCs/>
                <w:sz w:val="22"/>
                <w:szCs w:val="22"/>
              </w:rPr>
              <w:fldChar w:fldCharType="separate"/>
            </w:r>
            <w:r w:rsidRPr="00925D6E">
              <w:rPr>
                <w:b/>
                <w:bCs/>
                <w:sz w:val="22"/>
                <w:szCs w:val="22"/>
              </w:rPr>
              <w:t>2</w:t>
            </w:r>
            <w:r w:rsidRPr="00925D6E">
              <w:rPr>
                <w:b/>
                <w:bCs/>
                <w:sz w:val="22"/>
                <w:szCs w:val="22"/>
              </w:rPr>
              <w:fldChar w:fldCharType="end"/>
            </w:r>
            <w:r w:rsidRPr="00925D6E">
              <w:rPr>
                <w:sz w:val="22"/>
                <w:szCs w:val="22"/>
              </w:rPr>
              <w:t xml:space="preserve"> z </w:t>
            </w:r>
            <w:r w:rsidRPr="00925D6E">
              <w:rPr>
                <w:b/>
                <w:bCs/>
                <w:sz w:val="22"/>
                <w:szCs w:val="22"/>
              </w:rPr>
              <w:fldChar w:fldCharType="begin"/>
            </w:r>
            <w:r w:rsidRPr="00925D6E">
              <w:rPr>
                <w:b/>
                <w:bCs/>
                <w:sz w:val="22"/>
                <w:szCs w:val="22"/>
              </w:rPr>
              <w:instrText>NUMPAGES</w:instrText>
            </w:r>
            <w:r w:rsidRPr="00925D6E">
              <w:rPr>
                <w:b/>
                <w:bCs/>
                <w:sz w:val="22"/>
                <w:szCs w:val="22"/>
              </w:rPr>
              <w:fldChar w:fldCharType="separate"/>
            </w:r>
            <w:r w:rsidRPr="00925D6E">
              <w:rPr>
                <w:b/>
                <w:bCs/>
                <w:sz w:val="22"/>
                <w:szCs w:val="22"/>
              </w:rPr>
              <w:t>2</w:t>
            </w:r>
            <w:r w:rsidRPr="00925D6E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31356E2" w14:textId="77777777" w:rsidR="00925D6E" w:rsidRDefault="00925D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08CD6" w14:textId="77777777" w:rsidR="00913A31" w:rsidRDefault="00913A31" w:rsidP="00E83068">
      <w:r>
        <w:separator/>
      </w:r>
    </w:p>
  </w:footnote>
  <w:footnote w:type="continuationSeparator" w:id="0">
    <w:p w14:paraId="08B0A277" w14:textId="77777777" w:rsidR="00913A31" w:rsidRDefault="00913A31" w:rsidP="00E83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B3697"/>
    <w:multiLevelType w:val="hybridMultilevel"/>
    <w:tmpl w:val="4176B72C"/>
    <w:lvl w:ilvl="0" w:tplc="6FA0D1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6926DE"/>
    <w:multiLevelType w:val="multilevel"/>
    <w:tmpl w:val="751658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" w15:restartNumberingAfterBreak="0">
    <w:nsid w:val="1172667E"/>
    <w:multiLevelType w:val="singleLevel"/>
    <w:tmpl w:val="6ED20A8C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3" w15:restartNumberingAfterBreak="0">
    <w:nsid w:val="13D872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AE6440"/>
    <w:multiLevelType w:val="hybridMultilevel"/>
    <w:tmpl w:val="3AB45904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6697FFE"/>
    <w:multiLevelType w:val="hybridMultilevel"/>
    <w:tmpl w:val="D62E4BE8"/>
    <w:lvl w:ilvl="0" w:tplc="19AC65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A7B12DA"/>
    <w:multiLevelType w:val="multilevel"/>
    <w:tmpl w:val="E41EF4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4690" w:hanging="72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800" w:hanging="144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520" w:hanging="216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7" w15:restartNumberingAfterBreak="0">
    <w:nsid w:val="1C5766AB"/>
    <w:multiLevelType w:val="hybridMultilevel"/>
    <w:tmpl w:val="09009A3E"/>
    <w:lvl w:ilvl="0" w:tplc="CA384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695B96"/>
    <w:multiLevelType w:val="hybridMultilevel"/>
    <w:tmpl w:val="C52A67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569707E"/>
    <w:multiLevelType w:val="hybridMultilevel"/>
    <w:tmpl w:val="DD16544A"/>
    <w:lvl w:ilvl="0" w:tplc="0415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2C934BDD"/>
    <w:multiLevelType w:val="hybridMultilevel"/>
    <w:tmpl w:val="455E8486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32C27774"/>
    <w:multiLevelType w:val="hybridMultilevel"/>
    <w:tmpl w:val="F7DEAB7A"/>
    <w:lvl w:ilvl="0" w:tplc="F8627DB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90F290D"/>
    <w:multiLevelType w:val="singleLevel"/>
    <w:tmpl w:val="DEF4F9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5174249D"/>
    <w:multiLevelType w:val="hybridMultilevel"/>
    <w:tmpl w:val="B0E02016"/>
    <w:lvl w:ilvl="0" w:tplc="776E4F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7396741"/>
    <w:multiLevelType w:val="hybridMultilevel"/>
    <w:tmpl w:val="03788CB0"/>
    <w:lvl w:ilvl="0" w:tplc="0415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6B5859A9"/>
    <w:multiLevelType w:val="hybridMultilevel"/>
    <w:tmpl w:val="D12C37A4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2240DA8"/>
    <w:multiLevelType w:val="hybridMultilevel"/>
    <w:tmpl w:val="54B88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11E3B"/>
    <w:multiLevelType w:val="hybridMultilevel"/>
    <w:tmpl w:val="7C52F7C0"/>
    <w:lvl w:ilvl="0" w:tplc="13C25A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8834415">
    <w:abstractNumId w:val="17"/>
  </w:num>
  <w:num w:numId="2" w16cid:durableId="1956016099">
    <w:abstractNumId w:val="0"/>
  </w:num>
  <w:num w:numId="3" w16cid:durableId="154691087">
    <w:abstractNumId w:val="7"/>
  </w:num>
  <w:num w:numId="4" w16cid:durableId="1270039614">
    <w:abstractNumId w:val="16"/>
  </w:num>
  <w:num w:numId="5" w16cid:durableId="985863074">
    <w:abstractNumId w:val="8"/>
  </w:num>
  <w:num w:numId="6" w16cid:durableId="1522665922">
    <w:abstractNumId w:val="13"/>
  </w:num>
  <w:num w:numId="7" w16cid:durableId="820121365">
    <w:abstractNumId w:val="12"/>
  </w:num>
  <w:num w:numId="8" w16cid:durableId="21588549">
    <w:abstractNumId w:val="15"/>
  </w:num>
  <w:num w:numId="9" w16cid:durableId="1343044822">
    <w:abstractNumId w:val="10"/>
  </w:num>
  <w:num w:numId="10" w16cid:durableId="1033771916">
    <w:abstractNumId w:val="4"/>
  </w:num>
  <w:num w:numId="11" w16cid:durableId="242570795">
    <w:abstractNumId w:val="11"/>
  </w:num>
  <w:num w:numId="12" w16cid:durableId="2019237684">
    <w:abstractNumId w:val="9"/>
  </w:num>
  <w:num w:numId="13" w16cid:durableId="1283070454">
    <w:abstractNumId w:val="14"/>
  </w:num>
  <w:num w:numId="14" w16cid:durableId="216209692">
    <w:abstractNumId w:val="2"/>
  </w:num>
  <w:num w:numId="15" w16cid:durableId="1849832276">
    <w:abstractNumId w:val="6"/>
  </w:num>
  <w:num w:numId="16" w16cid:durableId="493880324">
    <w:abstractNumId w:val="5"/>
  </w:num>
  <w:num w:numId="17" w16cid:durableId="1795900238">
    <w:abstractNumId w:val="1"/>
  </w:num>
  <w:num w:numId="18" w16cid:durableId="1956256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5A"/>
    <w:rsid w:val="000033A3"/>
    <w:rsid w:val="00007432"/>
    <w:rsid w:val="00011740"/>
    <w:rsid w:val="00014E00"/>
    <w:rsid w:val="00041922"/>
    <w:rsid w:val="00066982"/>
    <w:rsid w:val="00083962"/>
    <w:rsid w:val="000A3254"/>
    <w:rsid w:val="000E50B1"/>
    <w:rsid w:val="000E67AE"/>
    <w:rsid w:val="00113CBD"/>
    <w:rsid w:val="00130665"/>
    <w:rsid w:val="0013268B"/>
    <w:rsid w:val="00145039"/>
    <w:rsid w:val="001476B8"/>
    <w:rsid w:val="0015341E"/>
    <w:rsid w:val="00171950"/>
    <w:rsid w:val="00184A0C"/>
    <w:rsid w:val="00186529"/>
    <w:rsid w:val="001A5FC4"/>
    <w:rsid w:val="001B0419"/>
    <w:rsid w:val="001B58A7"/>
    <w:rsid w:val="001C37E3"/>
    <w:rsid w:val="001C57D4"/>
    <w:rsid w:val="001E613D"/>
    <w:rsid w:val="001E771F"/>
    <w:rsid w:val="001F044A"/>
    <w:rsid w:val="001F2440"/>
    <w:rsid w:val="001F3BD6"/>
    <w:rsid w:val="00203DB9"/>
    <w:rsid w:val="00210938"/>
    <w:rsid w:val="00220381"/>
    <w:rsid w:val="0022040E"/>
    <w:rsid w:val="002232BF"/>
    <w:rsid w:val="00230F02"/>
    <w:rsid w:val="0023468B"/>
    <w:rsid w:val="002357C8"/>
    <w:rsid w:val="00236201"/>
    <w:rsid w:val="00263A4B"/>
    <w:rsid w:val="00271B5D"/>
    <w:rsid w:val="00280E02"/>
    <w:rsid w:val="00282A83"/>
    <w:rsid w:val="00282FFE"/>
    <w:rsid w:val="00286152"/>
    <w:rsid w:val="002A3B52"/>
    <w:rsid w:val="002B6CB0"/>
    <w:rsid w:val="002C03F2"/>
    <w:rsid w:val="002C12AF"/>
    <w:rsid w:val="002E26BA"/>
    <w:rsid w:val="002E3801"/>
    <w:rsid w:val="002F13D4"/>
    <w:rsid w:val="002F7BB7"/>
    <w:rsid w:val="00301027"/>
    <w:rsid w:val="003154A7"/>
    <w:rsid w:val="003276E1"/>
    <w:rsid w:val="00332C34"/>
    <w:rsid w:val="003372DE"/>
    <w:rsid w:val="00340A31"/>
    <w:rsid w:val="00343899"/>
    <w:rsid w:val="00345B99"/>
    <w:rsid w:val="003536C3"/>
    <w:rsid w:val="0038715A"/>
    <w:rsid w:val="00393323"/>
    <w:rsid w:val="003B2319"/>
    <w:rsid w:val="003C49D2"/>
    <w:rsid w:val="003D2FC0"/>
    <w:rsid w:val="003D4C35"/>
    <w:rsid w:val="003F5FCF"/>
    <w:rsid w:val="00401AAF"/>
    <w:rsid w:val="00425B8E"/>
    <w:rsid w:val="00427B76"/>
    <w:rsid w:val="00433674"/>
    <w:rsid w:val="00440B34"/>
    <w:rsid w:val="00456684"/>
    <w:rsid w:val="00461814"/>
    <w:rsid w:val="00473058"/>
    <w:rsid w:val="00481389"/>
    <w:rsid w:val="004952A9"/>
    <w:rsid w:val="004B4B0F"/>
    <w:rsid w:val="004C5C8F"/>
    <w:rsid w:val="004D78C2"/>
    <w:rsid w:val="004E31A6"/>
    <w:rsid w:val="004F0514"/>
    <w:rsid w:val="004F5F69"/>
    <w:rsid w:val="00513225"/>
    <w:rsid w:val="00515097"/>
    <w:rsid w:val="00546EAF"/>
    <w:rsid w:val="00551B5F"/>
    <w:rsid w:val="00555091"/>
    <w:rsid w:val="00564BB1"/>
    <w:rsid w:val="00565F0F"/>
    <w:rsid w:val="00571EF1"/>
    <w:rsid w:val="00586A84"/>
    <w:rsid w:val="005A218D"/>
    <w:rsid w:val="005A76E7"/>
    <w:rsid w:val="005C7937"/>
    <w:rsid w:val="005D559A"/>
    <w:rsid w:val="005E6C0C"/>
    <w:rsid w:val="005F1470"/>
    <w:rsid w:val="005F3775"/>
    <w:rsid w:val="005F6013"/>
    <w:rsid w:val="0060148D"/>
    <w:rsid w:val="0060444E"/>
    <w:rsid w:val="006200EC"/>
    <w:rsid w:val="00625DC0"/>
    <w:rsid w:val="0064206D"/>
    <w:rsid w:val="00642EC6"/>
    <w:rsid w:val="00644C5C"/>
    <w:rsid w:val="00663CBE"/>
    <w:rsid w:val="006801CE"/>
    <w:rsid w:val="00692D51"/>
    <w:rsid w:val="00695385"/>
    <w:rsid w:val="006B3A92"/>
    <w:rsid w:val="006E6CEF"/>
    <w:rsid w:val="006F2132"/>
    <w:rsid w:val="00700E60"/>
    <w:rsid w:val="00706F8E"/>
    <w:rsid w:val="00707A21"/>
    <w:rsid w:val="00752D31"/>
    <w:rsid w:val="007556DA"/>
    <w:rsid w:val="00773B92"/>
    <w:rsid w:val="00776335"/>
    <w:rsid w:val="0078434E"/>
    <w:rsid w:val="00795215"/>
    <w:rsid w:val="00795FBB"/>
    <w:rsid w:val="007A4062"/>
    <w:rsid w:val="007C0472"/>
    <w:rsid w:val="007C425A"/>
    <w:rsid w:val="007E5CA6"/>
    <w:rsid w:val="008109F8"/>
    <w:rsid w:val="00820105"/>
    <w:rsid w:val="0082092B"/>
    <w:rsid w:val="00820AEA"/>
    <w:rsid w:val="00834182"/>
    <w:rsid w:val="00837E2E"/>
    <w:rsid w:val="00846878"/>
    <w:rsid w:val="008564C3"/>
    <w:rsid w:val="00863FE0"/>
    <w:rsid w:val="00883D6C"/>
    <w:rsid w:val="0089137E"/>
    <w:rsid w:val="008949B1"/>
    <w:rsid w:val="008A05A1"/>
    <w:rsid w:val="008C41FD"/>
    <w:rsid w:val="008C7B74"/>
    <w:rsid w:val="008D5C0E"/>
    <w:rsid w:val="008D5EF1"/>
    <w:rsid w:val="008D6B30"/>
    <w:rsid w:val="008E170F"/>
    <w:rsid w:val="008E6F8D"/>
    <w:rsid w:val="008F0886"/>
    <w:rsid w:val="008F4852"/>
    <w:rsid w:val="00913A31"/>
    <w:rsid w:val="00925D6E"/>
    <w:rsid w:val="00932BEF"/>
    <w:rsid w:val="00960012"/>
    <w:rsid w:val="0096039C"/>
    <w:rsid w:val="009832BC"/>
    <w:rsid w:val="009A3F42"/>
    <w:rsid w:val="009C48EE"/>
    <w:rsid w:val="009D5D6D"/>
    <w:rsid w:val="009E01F0"/>
    <w:rsid w:val="009F0FC6"/>
    <w:rsid w:val="009F3910"/>
    <w:rsid w:val="009F636B"/>
    <w:rsid w:val="00A11321"/>
    <w:rsid w:val="00A113C2"/>
    <w:rsid w:val="00A1164A"/>
    <w:rsid w:val="00A1242A"/>
    <w:rsid w:val="00A23873"/>
    <w:rsid w:val="00A23BC0"/>
    <w:rsid w:val="00A2718D"/>
    <w:rsid w:val="00A31438"/>
    <w:rsid w:val="00A33319"/>
    <w:rsid w:val="00A47E51"/>
    <w:rsid w:val="00A575B6"/>
    <w:rsid w:val="00A72271"/>
    <w:rsid w:val="00A9222D"/>
    <w:rsid w:val="00AC3BD6"/>
    <w:rsid w:val="00AE1A4F"/>
    <w:rsid w:val="00B0640D"/>
    <w:rsid w:val="00B077F3"/>
    <w:rsid w:val="00B22197"/>
    <w:rsid w:val="00B458B2"/>
    <w:rsid w:val="00B513DA"/>
    <w:rsid w:val="00B574BC"/>
    <w:rsid w:val="00B6556C"/>
    <w:rsid w:val="00B94FE1"/>
    <w:rsid w:val="00BB3A03"/>
    <w:rsid w:val="00BB5BEA"/>
    <w:rsid w:val="00BC47DD"/>
    <w:rsid w:val="00BD0264"/>
    <w:rsid w:val="00BD3498"/>
    <w:rsid w:val="00BD36D0"/>
    <w:rsid w:val="00BE0BC3"/>
    <w:rsid w:val="00BE3B29"/>
    <w:rsid w:val="00BE7D7C"/>
    <w:rsid w:val="00BF4ACF"/>
    <w:rsid w:val="00C045A9"/>
    <w:rsid w:val="00C0768C"/>
    <w:rsid w:val="00C110BD"/>
    <w:rsid w:val="00C17680"/>
    <w:rsid w:val="00C52C7D"/>
    <w:rsid w:val="00C66A20"/>
    <w:rsid w:val="00C70EF8"/>
    <w:rsid w:val="00C73CF8"/>
    <w:rsid w:val="00C86781"/>
    <w:rsid w:val="00C95465"/>
    <w:rsid w:val="00CA2BA7"/>
    <w:rsid w:val="00CB1F85"/>
    <w:rsid w:val="00CB5A57"/>
    <w:rsid w:val="00CC2F98"/>
    <w:rsid w:val="00CC58AF"/>
    <w:rsid w:val="00CC75E7"/>
    <w:rsid w:val="00CD05DA"/>
    <w:rsid w:val="00CF31CE"/>
    <w:rsid w:val="00CF52FD"/>
    <w:rsid w:val="00D00881"/>
    <w:rsid w:val="00D10DAB"/>
    <w:rsid w:val="00D118BE"/>
    <w:rsid w:val="00D17DBA"/>
    <w:rsid w:val="00D248A6"/>
    <w:rsid w:val="00D36710"/>
    <w:rsid w:val="00D36721"/>
    <w:rsid w:val="00D37828"/>
    <w:rsid w:val="00D42161"/>
    <w:rsid w:val="00D57DDD"/>
    <w:rsid w:val="00D63D3E"/>
    <w:rsid w:val="00D77BFA"/>
    <w:rsid w:val="00DA06DF"/>
    <w:rsid w:val="00DB30D4"/>
    <w:rsid w:val="00DB5557"/>
    <w:rsid w:val="00DD2EAE"/>
    <w:rsid w:val="00DE6FF8"/>
    <w:rsid w:val="00DF0E69"/>
    <w:rsid w:val="00DF4BD0"/>
    <w:rsid w:val="00DF787D"/>
    <w:rsid w:val="00E02F0E"/>
    <w:rsid w:val="00E031BA"/>
    <w:rsid w:val="00E10E92"/>
    <w:rsid w:val="00E1432F"/>
    <w:rsid w:val="00E24925"/>
    <w:rsid w:val="00E33204"/>
    <w:rsid w:val="00E53312"/>
    <w:rsid w:val="00E56788"/>
    <w:rsid w:val="00E83068"/>
    <w:rsid w:val="00E86BC8"/>
    <w:rsid w:val="00E91E8E"/>
    <w:rsid w:val="00E93182"/>
    <w:rsid w:val="00E9401B"/>
    <w:rsid w:val="00EA5181"/>
    <w:rsid w:val="00EB5832"/>
    <w:rsid w:val="00EF27D5"/>
    <w:rsid w:val="00EF4EFD"/>
    <w:rsid w:val="00EF6F34"/>
    <w:rsid w:val="00F1458D"/>
    <w:rsid w:val="00F167FF"/>
    <w:rsid w:val="00F261C2"/>
    <w:rsid w:val="00F423D3"/>
    <w:rsid w:val="00F501EA"/>
    <w:rsid w:val="00F60D94"/>
    <w:rsid w:val="00F642EA"/>
    <w:rsid w:val="00F64B8C"/>
    <w:rsid w:val="00F81366"/>
    <w:rsid w:val="00F85E6E"/>
    <w:rsid w:val="00FC6958"/>
    <w:rsid w:val="00FD0448"/>
    <w:rsid w:val="00FD6B7D"/>
    <w:rsid w:val="00FF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048727"/>
  <w15:docId w15:val="{9C148FE4-B97A-4E35-AC42-2364FC36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50B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qFormat/>
    <w:rsid w:val="006200EC"/>
    <w:pPr>
      <w:ind w:left="708"/>
    </w:pPr>
  </w:style>
  <w:style w:type="paragraph" w:styleId="Mapadokumentu">
    <w:name w:val="Document Map"/>
    <w:basedOn w:val="Normalny"/>
    <w:link w:val="MapadokumentuZnak"/>
    <w:rsid w:val="002F13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2F13D4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rsid w:val="006953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9538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77BFA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77BFA"/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F501EA"/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830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306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830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0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23B01-4C4F-48EF-846B-EEAFBD307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971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RZGW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Walentyn</dc:creator>
  <cp:lastModifiedBy>a.krol@umdebrzno.lan</cp:lastModifiedBy>
  <cp:revision>14</cp:revision>
  <cp:lastPrinted>2015-06-25T05:34:00Z</cp:lastPrinted>
  <dcterms:created xsi:type="dcterms:W3CDTF">2021-06-07T11:53:00Z</dcterms:created>
  <dcterms:modified xsi:type="dcterms:W3CDTF">2023-09-29T08:43:00Z</dcterms:modified>
</cp:coreProperties>
</file>