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rPr>
          <w:rFonts w:ascii="Times New Roman" w:hAnsi="Times New Roman" w:cs="Times New Roman"/>
          <w:b/>
          <w:i/>
          <w:color w:val="000000"/>
        </w:rPr>
      </w:pPr>
      <w:r>
        <w:rPr>
          <w:rStyle w:val="FontStyle19"/>
          <w:b/>
          <w:i/>
        </w:rPr>
        <w:t xml:space="preserve">Budowa sieci elektroenergetycznej o napięciu znamionowym do 1kVw ramach zadania : Budowa oświetlenia drogi gminnej – dz. nr : 2840/1 w m. Łukawiec , gm. Trzebownisko na dz. nr : 2847 /1 ; 2855/ 2  obręb 0003  Łukawiec  jedn. </w:t>
      </w:r>
      <w:proofErr w:type="spellStart"/>
      <w:r>
        <w:rPr>
          <w:rStyle w:val="FontStyle19"/>
          <w:b/>
          <w:i/>
        </w:rPr>
        <w:t>ewid</w:t>
      </w:r>
      <w:proofErr w:type="spellEnd"/>
      <w:r>
        <w:rPr>
          <w:rStyle w:val="FontStyle19"/>
          <w:b/>
          <w:i/>
        </w:rPr>
        <w:t>. 181613_2 Trzebownisko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lastRenderedPageBreak/>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EF7BF8" w:rsidP="00105E9B">
      <w:pPr>
        <w:widowControl w:val="0"/>
        <w:autoSpaceDE w:val="0"/>
        <w:autoSpaceDN w:val="0"/>
        <w:adjustRightInd w:val="0"/>
        <w:spacing w:after="0" w:line="200" w:lineRule="exact"/>
        <w:rPr>
          <w:rFonts w:ascii="Times New Roman" w:hAnsi="Times New Roman" w:cs="Times New Roman"/>
          <w:sz w:val="24"/>
          <w:szCs w:val="24"/>
        </w:rPr>
      </w:pPr>
      <w:r w:rsidRPr="00EF7BF8">
        <w:pict>
          <v:line id="_x0000_s1026" style="position:absolute;z-index:-251660288" from="-3.45pt,6.1pt" to="350.15pt,6.1pt" o:allowincell="f" strokecolor="none" strokeweight=".21164mm"/>
        </w:pict>
      </w:r>
      <w:r w:rsidRPr="00EF7BF8">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EF7BF8" w:rsidP="00105E9B">
      <w:pPr>
        <w:widowControl w:val="0"/>
        <w:autoSpaceDE w:val="0"/>
        <w:autoSpaceDN w:val="0"/>
        <w:adjustRightInd w:val="0"/>
        <w:spacing w:after="0" w:line="200" w:lineRule="exact"/>
        <w:rPr>
          <w:rFonts w:ascii="Times New Roman" w:hAnsi="Times New Roman" w:cs="Times New Roman"/>
          <w:sz w:val="24"/>
          <w:szCs w:val="24"/>
        </w:rPr>
      </w:pPr>
      <w:r w:rsidRPr="00EF7BF8">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EF7BF8" w:rsidP="00105E9B">
      <w:pPr>
        <w:widowControl w:val="0"/>
        <w:autoSpaceDE w:val="0"/>
        <w:autoSpaceDN w:val="0"/>
        <w:adjustRightInd w:val="0"/>
        <w:spacing w:after="0" w:line="200" w:lineRule="exact"/>
        <w:jc w:val="right"/>
        <w:rPr>
          <w:rFonts w:ascii="Times New Roman" w:hAnsi="Times New Roman" w:cs="Times New Roman"/>
          <w:sz w:val="24"/>
          <w:szCs w:val="24"/>
        </w:rPr>
      </w:pPr>
      <w:r w:rsidRPr="00EF7BF8">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 xml:space="preserve">5.7. Układ sieciowy </w:t>
      </w:r>
      <w:proofErr w:type="spellStart"/>
      <w:r>
        <w:rPr>
          <w:rFonts w:ascii="Times" w:hAnsi="Times" w:cs="Times"/>
          <w:b/>
          <w:bCs/>
          <w:color w:val="000000"/>
          <w:sz w:val="19"/>
          <w:szCs w:val="19"/>
        </w:rPr>
        <w:t>TN-C</w:t>
      </w:r>
      <w:proofErr w:type="spellEnd"/>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EF7BF8" w:rsidP="00111914">
      <w:pPr>
        <w:widowControl w:val="0"/>
        <w:autoSpaceDE w:val="0"/>
        <w:autoSpaceDN w:val="0"/>
        <w:adjustRightInd w:val="0"/>
        <w:spacing w:after="0" w:line="366" w:lineRule="exact"/>
        <w:rPr>
          <w:rFonts w:ascii="Times New Roman" w:hAnsi="Times New Roman" w:cs="Times New Roman"/>
          <w:sz w:val="24"/>
          <w:szCs w:val="24"/>
        </w:rPr>
      </w:pPr>
      <w:r w:rsidRPr="00EF7BF8">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254BA4"/>
    <w:rsid w:val="0077532F"/>
    <w:rsid w:val="00A63A17"/>
    <w:rsid w:val="00BB257B"/>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4368</Words>
  <Characters>26213</Characters>
  <Application>Microsoft Office Word</Application>
  <DocSecurity>0</DocSecurity>
  <Lines>218</Lines>
  <Paragraphs>61</Paragraphs>
  <ScaleCrop>false</ScaleCrop>
  <Company/>
  <LinksUpToDate>false</LinksUpToDate>
  <CharactersWithSpaces>30520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6</cp:revision>
  <cp:lastPrinted>2021-01-15T19:47:00Z</cp:lastPrinted>
  <dcterms:created xsi:type="dcterms:W3CDTF">2021-01-15T19:51:00Z</dcterms:created>
  <dcterms:modified xsi:type="dcterms:W3CDTF">2021-01-15T19:52:00Z</dcterms:modified>
</cp:coreProperties>
</file>