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42E22A10" w14:textId="43ABAC58" w:rsidR="00C369C5" w:rsidRPr="002D050E" w:rsidRDefault="00D817D1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bookmarkStart w:id="0" w:name="_Hlk132266681"/>
      <w:r>
        <w:rPr>
          <w:rFonts w:cstheme="minorHAnsi"/>
          <w:b/>
          <w:bCs/>
          <w:i/>
          <w:iCs/>
          <w:sz w:val="24"/>
          <w:szCs w:val="24"/>
          <w:lang w:val="pl-PL"/>
        </w:rPr>
        <w:t>„</w:t>
      </w:r>
      <w:r w:rsidRPr="00D817D1">
        <w:rPr>
          <w:rFonts w:cstheme="minorHAnsi"/>
          <w:b/>
          <w:bCs/>
          <w:i/>
          <w:iCs/>
          <w:sz w:val="24"/>
          <w:szCs w:val="24"/>
          <w:lang w:val="pl-PL"/>
        </w:rPr>
        <w:t xml:space="preserve">Budowa </w:t>
      </w:r>
      <w:bookmarkEnd w:id="0"/>
      <w:r w:rsidRPr="00D817D1">
        <w:rPr>
          <w:rFonts w:cstheme="minorHAnsi"/>
          <w:b/>
          <w:bCs/>
          <w:i/>
          <w:iCs/>
          <w:sz w:val="24"/>
          <w:szCs w:val="24"/>
          <w:lang w:val="pl-PL"/>
        </w:rPr>
        <w:t>sieci wodociągowej na terenie miejscowości Harklowa – Etap I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0260E9E9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D817D1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83361F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85310C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p w14:paraId="684627CC" w14:textId="6671B5BE" w:rsidR="00D817D1" w:rsidRPr="00D817D1" w:rsidRDefault="00D817D1" w:rsidP="00D817D1">
      <w:pPr>
        <w:tabs>
          <w:tab w:val="left" w:pos="3890"/>
        </w:tabs>
        <w:rPr>
          <w:lang w:val="pl-PL"/>
        </w:rPr>
      </w:pPr>
      <w:r>
        <w:rPr>
          <w:lang w:val="pl-PL"/>
        </w:rPr>
        <w:tab/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4FBD322" w14:textId="4BDF7F0A" w:rsidR="0083361F" w:rsidRPr="002D050E" w:rsidRDefault="0085310C" w:rsidP="0083361F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83361F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83361F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83361F">
      <w:pPr>
        <w:spacing w:line="360" w:lineRule="auto"/>
        <w:ind w:left="709" w:hanging="709"/>
        <w:jc w:val="both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lastRenderedPageBreak/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D817D1">
      <w:headerReference w:type="default" r:id="rId11"/>
      <w:footerReference w:type="default" r:id="rId12"/>
      <w:pgSz w:w="11900" w:h="16840"/>
      <w:pgMar w:top="1417" w:right="1552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07C280B0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D817D1" w:rsidRPr="00D817D1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Budowa sieci wodociągowej na terenie miejscowości Harklowa – Etap</w:t>
    </w:r>
    <w:r w:rsidR="00D817D1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</w:t>
    </w:r>
    <w:r w:rsidR="00D817D1" w:rsidRPr="00D817D1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I</w:t>
    </w:r>
    <w:r w:rsidR="009B45C8" w:rsidRP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617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2536"/>
      <w:gridCol w:w="3040"/>
      <w:gridCol w:w="2508"/>
    </w:tblGrid>
    <w:tr w:rsidR="00667E40" w14:paraId="7CAD31D4" w14:textId="77777777" w:rsidTr="00D817D1">
      <w:trPr>
        <w:trHeight w:val="1009"/>
      </w:trPr>
      <w:tc>
        <w:tcPr>
          <w:tcW w:w="533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68C06BF6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</w:t>
          </w:r>
          <w:r w:rsidR="00D817D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24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85310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D1106"/>
    <w:rsid w:val="003D58DE"/>
    <w:rsid w:val="004076F1"/>
    <w:rsid w:val="004076F4"/>
    <w:rsid w:val="004E46D2"/>
    <w:rsid w:val="0063281C"/>
    <w:rsid w:val="00637EF7"/>
    <w:rsid w:val="00667E40"/>
    <w:rsid w:val="00667E7E"/>
    <w:rsid w:val="006C391C"/>
    <w:rsid w:val="007444C5"/>
    <w:rsid w:val="0083361F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17D1"/>
    <w:rsid w:val="00D8390F"/>
    <w:rsid w:val="00DA296E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16</cp:revision>
  <dcterms:created xsi:type="dcterms:W3CDTF">2022-04-21T08:22:00Z</dcterms:created>
  <dcterms:modified xsi:type="dcterms:W3CDTF">2023-09-04T09:11:00Z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