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52" w:rsidRPr="00087C3E" w:rsidRDefault="00AC1652" w:rsidP="009005DD">
      <w:pPr>
        <w:suppressAutoHyphens/>
        <w:spacing w:line="360" w:lineRule="auto"/>
        <w:rPr>
          <w:rFonts w:asciiTheme="minorHAnsi" w:hAnsiTheme="minorHAnsi" w:cstheme="minorHAnsi"/>
          <w:spacing w:val="20"/>
        </w:rPr>
      </w:pPr>
      <w:r w:rsidRPr="00087C3E">
        <w:rPr>
          <w:rFonts w:asciiTheme="minorHAnsi" w:eastAsia="Calibri" w:hAnsiTheme="minorHAnsi" w:cstheme="minorHAnsi"/>
          <w:spacing w:val="20"/>
          <w:lang w:eastAsia="en-US"/>
        </w:rPr>
        <w:t>RZP.271.1.13.2022.MZI</w:t>
      </w:r>
      <w:r w:rsidR="00E47EDE" w:rsidRPr="00087C3E">
        <w:rPr>
          <w:rFonts w:asciiTheme="minorHAnsi" w:hAnsiTheme="minorHAnsi" w:cstheme="minorHAnsi"/>
          <w:spacing w:val="20"/>
        </w:rPr>
        <w:tab/>
      </w:r>
      <w:r w:rsidR="00E47EDE" w:rsidRPr="00087C3E">
        <w:rPr>
          <w:rFonts w:asciiTheme="minorHAnsi" w:hAnsiTheme="minorHAnsi" w:cstheme="minorHAnsi"/>
          <w:spacing w:val="20"/>
        </w:rPr>
        <w:tab/>
      </w:r>
      <w:r w:rsidR="00E47EDE" w:rsidRPr="00087C3E">
        <w:rPr>
          <w:rFonts w:asciiTheme="minorHAnsi" w:hAnsiTheme="minorHAnsi" w:cstheme="minorHAnsi"/>
          <w:spacing w:val="20"/>
        </w:rPr>
        <w:tab/>
      </w:r>
      <w:r w:rsidR="00E47EDE" w:rsidRPr="00087C3E">
        <w:rPr>
          <w:rFonts w:asciiTheme="minorHAnsi" w:hAnsiTheme="minorHAnsi" w:cstheme="minorHAnsi"/>
          <w:spacing w:val="20"/>
        </w:rPr>
        <w:tab/>
      </w:r>
      <w:r w:rsidR="00E47EDE" w:rsidRPr="00087C3E">
        <w:rPr>
          <w:rFonts w:asciiTheme="minorHAnsi" w:hAnsiTheme="minorHAnsi" w:cstheme="minorHAnsi"/>
          <w:spacing w:val="20"/>
        </w:rPr>
        <w:tab/>
      </w:r>
      <w:r w:rsidR="00E47EDE" w:rsidRPr="00087C3E">
        <w:rPr>
          <w:rFonts w:asciiTheme="minorHAnsi" w:hAnsiTheme="minorHAnsi" w:cstheme="minorHAnsi"/>
          <w:spacing w:val="20"/>
        </w:rPr>
        <w:tab/>
        <w:t xml:space="preserve">   </w:t>
      </w:r>
      <w:r w:rsidR="00D8539F" w:rsidRPr="00087C3E">
        <w:rPr>
          <w:rFonts w:asciiTheme="minorHAnsi" w:hAnsiTheme="minorHAnsi" w:cstheme="minorHAnsi"/>
          <w:spacing w:val="20"/>
        </w:rPr>
        <w:br/>
      </w:r>
    </w:p>
    <w:p w:rsidR="006468F4" w:rsidRPr="00087C3E" w:rsidRDefault="00F367F8" w:rsidP="009005DD">
      <w:pPr>
        <w:suppressAutoHyphens/>
        <w:spacing w:line="360" w:lineRule="auto"/>
        <w:ind w:left="4956" w:firstLine="708"/>
        <w:rPr>
          <w:rFonts w:asciiTheme="minorHAnsi" w:hAnsiTheme="minorHAnsi" w:cstheme="minorHAnsi"/>
          <w:spacing w:val="20"/>
        </w:rPr>
      </w:pPr>
      <w:r w:rsidRPr="00087C3E">
        <w:rPr>
          <w:rFonts w:asciiTheme="minorHAnsi" w:hAnsiTheme="minorHAnsi" w:cstheme="minorHAnsi"/>
          <w:spacing w:val="20"/>
        </w:rPr>
        <w:t>Sandomierz, 2022</w:t>
      </w:r>
      <w:r w:rsidR="009A3115">
        <w:rPr>
          <w:rFonts w:asciiTheme="minorHAnsi" w:hAnsiTheme="minorHAnsi" w:cstheme="minorHAnsi"/>
          <w:spacing w:val="20"/>
        </w:rPr>
        <w:t>.07.14</w:t>
      </w:r>
    </w:p>
    <w:p w:rsidR="004B5492" w:rsidRPr="00087C3E" w:rsidRDefault="004B5492" w:rsidP="009005DD">
      <w:pPr>
        <w:suppressAutoHyphens/>
        <w:spacing w:line="360" w:lineRule="auto"/>
        <w:rPr>
          <w:rFonts w:asciiTheme="minorHAnsi" w:hAnsiTheme="minorHAnsi" w:cstheme="minorHAnsi"/>
          <w:spacing w:val="20"/>
        </w:rPr>
      </w:pPr>
    </w:p>
    <w:p w:rsidR="006468F4" w:rsidRPr="00087C3E" w:rsidRDefault="006468F4" w:rsidP="009005DD">
      <w:pPr>
        <w:suppressAutoHyphens/>
        <w:spacing w:line="360" w:lineRule="auto"/>
        <w:rPr>
          <w:rFonts w:asciiTheme="minorHAnsi" w:hAnsiTheme="minorHAnsi" w:cstheme="minorHAnsi"/>
          <w:spacing w:val="20"/>
        </w:rPr>
      </w:pPr>
      <w:r w:rsidRPr="00087C3E">
        <w:rPr>
          <w:rFonts w:asciiTheme="minorHAnsi" w:hAnsiTheme="minorHAnsi" w:cstheme="minorHAnsi"/>
          <w:spacing w:val="20"/>
        </w:rPr>
        <w:t>INFORMACJA O WYBORZE OFERTY</w:t>
      </w:r>
    </w:p>
    <w:p w:rsidR="00D8539F" w:rsidRPr="00087C3E" w:rsidRDefault="00D8539F" w:rsidP="009005DD">
      <w:pPr>
        <w:suppressAutoHyphens/>
        <w:spacing w:line="360" w:lineRule="auto"/>
        <w:rPr>
          <w:rFonts w:asciiTheme="minorHAnsi" w:hAnsiTheme="minorHAnsi" w:cstheme="minorHAnsi"/>
          <w:spacing w:val="20"/>
        </w:rPr>
      </w:pPr>
    </w:p>
    <w:p w:rsidR="00AC1652" w:rsidRPr="00087C3E" w:rsidRDefault="006468F4" w:rsidP="009005DD">
      <w:pPr>
        <w:suppressAutoHyphens/>
        <w:spacing w:line="360" w:lineRule="auto"/>
        <w:rPr>
          <w:rFonts w:asciiTheme="minorHAnsi" w:eastAsia="Calibri" w:hAnsiTheme="minorHAnsi" w:cstheme="minorHAnsi"/>
          <w:spacing w:val="20"/>
          <w:lang w:eastAsia="en-US"/>
        </w:rPr>
      </w:pPr>
      <w:r w:rsidRPr="00087C3E">
        <w:rPr>
          <w:rFonts w:asciiTheme="minorHAnsi" w:hAnsiTheme="minorHAnsi" w:cstheme="minorHAnsi"/>
          <w:spacing w:val="20"/>
        </w:rPr>
        <w:t xml:space="preserve">Dot. wyboru oferty w postępowaniu </w:t>
      </w:r>
      <w:r w:rsidRPr="00087C3E">
        <w:rPr>
          <w:rFonts w:asciiTheme="minorHAnsi" w:eastAsia="Calibri" w:hAnsiTheme="minorHAnsi" w:cstheme="minorHAnsi"/>
          <w:spacing w:val="20"/>
          <w:lang w:eastAsia="en-US"/>
        </w:rPr>
        <w:t>prowadzonym w try</w:t>
      </w:r>
      <w:r w:rsidR="00D8539F" w:rsidRPr="00087C3E">
        <w:rPr>
          <w:rFonts w:asciiTheme="minorHAnsi" w:eastAsia="Calibri" w:hAnsiTheme="minorHAnsi" w:cstheme="minorHAnsi"/>
          <w:spacing w:val="20"/>
          <w:lang w:eastAsia="en-US"/>
        </w:rPr>
        <w:t xml:space="preserve">bie podstawowym bez negocjacji </w:t>
      </w:r>
      <w:r w:rsidR="00AC1652" w:rsidRPr="00087C3E">
        <w:rPr>
          <w:rFonts w:asciiTheme="minorHAnsi" w:eastAsia="Calibri" w:hAnsiTheme="minorHAnsi" w:cstheme="minorHAnsi"/>
          <w:spacing w:val="20"/>
          <w:lang w:eastAsia="en-US"/>
        </w:rPr>
        <w:t>na podstawie art. 275 pkt</w:t>
      </w:r>
      <w:r w:rsidRPr="00087C3E">
        <w:rPr>
          <w:rFonts w:asciiTheme="minorHAnsi" w:eastAsia="Calibri" w:hAnsiTheme="minorHAnsi" w:cstheme="minorHAnsi"/>
          <w:spacing w:val="20"/>
          <w:lang w:eastAsia="en-US"/>
        </w:rPr>
        <w:t xml:space="preserve"> 1 ustawy z dnia 11 września 201</w:t>
      </w:r>
      <w:r w:rsidR="00D8539F" w:rsidRPr="00087C3E">
        <w:rPr>
          <w:rFonts w:asciiTheme="minorHAnsi" w:eastAsia="Calibri" w:hAnsiTheme="minorHAnsi" w:cstheme="minorHAnsi"/>
          <w:spacing w:val="20"/>
          <w:lang w:eastAsia="en-US"/>
        </w:rPr>
        <w:t xml:space="preserve">9 r. Prawo zamówień publicznych </w:t>
      </w:r>
      <w:r w:rsidRPr="00087C3E">
        <w:rPr>
          <w:rFonts w:asciiTheme="minorHAnsi" w:eastAsia="Calibri" w:hAnsiTheme="minorHAnsi" w:cstheme="minorHAnsi"/>
          <w:spacing w:val="20"/>
          <w:lang w:eastAsia="en-US"/>
        </w:rPr>
        <w:t>(</w:t>
      </w:r>
      <w:bookmarkStart w:id="0" w:name="_Hlk80257546"/>
      <w:proofErr w:type="spellStart"/>
      <w:r w:rsidRPr="00087C3E">
        <w:rPr>
          <w:rFonts w:asciiTheme="minorHAnsi" w:eastAsia="Calibri" w:hAnsiTheme="minorHAnsi" w:cstheme="minorHAnsi"/>
          <w:spacing w:val="20"/>
          <w:lang w:eastAsia="en-US"/>
        </w:rPr>
        <w:t>t.j</w:t>
      </w:r>
      <w:proofErr w:type="spellEnd"/>
      <w:r w:rsidRPr="00087C3E">
        <w:rPr>
          <w:rFonts w:asciiTheme="minorHAnsi" w:eastAsia="Calibri" w:hAnsiTheme="minorHAnsi" w:cstheme="minorHAnsi"/>
          <w:spacing w:val="20"/>
          <w:lang w:eastAsia="en-US"/>
        </w:rPr>
        <w:t>. Dz. U. 2021 r. poz. 1129</w:t>
      </w:r>
      <w:bookmarkEnd w:id="0"/>
      <w:r w:rsidRPr="00087C3E">
        <w:rPr>
          <w:rFonts w:asciiTheme="minorHAnsi" w:eastAsia="Calibri" w:hAnsiTheme="minorHAnsi" w:cstheme="minorHAnsi"/>
          <w:spacing w:val="20"/>
          <w:lang w:eastAsia="en-US"/>
        </w:rPr>
        <w:t xml:space="preserve"> ze zm.) - dalej </w:t>
      </w:r>
      <w:proofErr w:type="spellStart"/>
      <w:r w:rsidRPr="00087C3E">
        <w:rPr>
          <w:rFonts w:asciiTheme="minorHAnsi" w:eastAsia="Calibri" w:hAnsiTheme="minorHAnsi" w:cstheme="minorHAnsi"/>
          <w:spacing w:val="20"/>
          <w:lang w:eastAsia="en-US"/>
        </w:rPr>
        <w:t>upzp</w:t>
      </w:r>
      <w:proofErr w:type="spellEnd"/>
      <w:r w:rsidRPr="00087C3E">
        <w:rPr>
          <w:rFonts w:asciiTheme="minorHAnsi" w:eastAsia="Calibri" w:hAnsiTheme="minorHAnsi" w:cstheme="minorHAnsi"/>
          <w:spacing w:val="20"/>
          <w:lang w:eastAsia="en-US"/>
        </w:rPr>
        <w:t xml:space="preserve">, </w:t>
      </w:r>
      <w:r w:rsidR="00BF2312" w:rsidRPr="00087C3E">
        <w:rPr>
          <w:rFonts w:asciiTheme="minorHAnsi" w:eastAsia="Calibri" w:hAnsiTheme="minorHAnsi" w:cstheme="minorHAnsi"/>
          <w:spacing w:val="20"/>
          <w:lang w:eastAsia="en-US"/>
        </w:rPr>
        <w:t xml:space="preserve">na zadanie </w:t>
      </w:r>
      <w:bookmarkStart w:id="1" w:name="_Hlk83936302"/>
      <w:r w:rsidR="00AC1652" w:rsidRPr="00087C3E">
        <w:rPr>
          <w:rFonts w:asciiTheme="minorHAnsi" w:eastAsia="Calibri" w:hAnsiTheme="minorHAnsi" w:cstheme="minorHAnsi"/>
          <w:spacing w:val="20"/>
          <w:lang w:eastAsia="en-US"/>
        </w:rPr>
        <w:t>pn.</w:t>
      </w:r>
      <w:r w:rsidR="00AC1652" w:rsidRPr="00087C3E">
        <w:rPr>
          <w:rFonts w:asciiTheme="minorHAnsi" w:hAnsiTheme="minorHAnsi" w:cstheme="minorHAnsi"/>
          <w:spacing w:val="20"/>
        </w:rPr>
        <w:t>:</w:t>
      </w:r>
      <w:r w:rsidR="00AC1652" w:rsidRPr="00087C3E">
        <w:rPr>
          <w:rFonts w:asciiTheme="minorHAnsi" w:hAnsiTheme="minorHAnsi" w:cstheme="minorHAnsi"/>
          <w:b/>
          <w:iCs/>
          <w:color w:val="000000"/>
          <w:spacing w:val="20"/>
        </w:rPr>
        <w:t xml:space="preserve"> „</w:t>
      </w:r>
      <w:r w:rsidR="00AC1652" w:rsidRPr="00087C3E">
        <w:rPr>
          <w:rFonts w:asciiTheme="minorHAnsi" w:eastAsia="Calibri" w:hAnsiTheme="minorHAnsi" w:cstheme="minorHAnsi"/>
          <w:b/>
          <w:bCs/>
          <w:spacing w:val="20"/>
          <w:lang w:eastAsia="en-US"/>
        </w:rPr>
        <w:t>Kompleksowa obsługa bankowa budżetu Gminy Sandomierz oraz jednostek organizacyjnych”.</w:t>
      </w:r>
    </w:p>
    <w:bookmarkEnd w:id="1"/>
    <w:p w:rsidR="006468F4" w:rsidRPr="00087C3E" w:rsidRDefault="006468F4" w:rsidP="009005DD">
      <w:pPr>
        <w:suppressAutoHyphens/>
        <w:spacing w:line="360" w:lineRule="auto"/>
        <w:rPr>
          <w:rFonts w:asciiTheme="minorHAnsi" w:hAnsiTheme="minorHAnsi" w:cstheme="minorHAnsi"/>
          <w:spacing w:val="20"/>
        </w:rPr>
      </w:pPr>
      <w:r w:rsidRPr="00087C3E">
        <w:rPr>
          <w:rFonts w:asciiTheme="minorHAnsi" w:hAnsiTheme="minorHAnsi" w:cstheme="minorHAnsi"/>
          <w:spacing w:val="20"/>
        </w:rPr>
        <w:t xml:space="preserve">Zamawiający - Gmina Sandomierz działając na podstawie art. 253 ust. 2 </w:t>
      </w:r>
      <w:proofErr w:type="spellStart"/>
      <w:r w:rsidRPr="00087C3E">
        <w:rPr>
          <w:rFonts w:asciiTheme="minorHAnsi" w:hAnsiTheme="minorHAnsi" w:cstheme="minorHAnsi"/>
          <w:spacing w:val="20"/>
        </w:rPr>
        <w:t>upzp</w:t>
      </w:r>
      <w:proofErr w:type="spellEnd"/>
      <w:r w:rsidRPr="00087C3E">
        <w:rPr>
          <w:rFonts w:asciiTheme="minorHAnsi" w:hAnsiTheme="minorHAnsi" w:cstheme="minorHAnsi"/>
          <w:spacing w:val="20"/>
        </w:rPr>
        <w:t xml:space="preserve"> informuje, </w:t>
      </w:r>
      <w:r w:rsidR="00914DDE" w:rsidRPr="00087C3E">
        <w:rPr>
          <w:rFonts w:asciiTheme="minorHAnsi" w:hAnsiTheme="minorHAnsi" w:cstheme="minorHAnsi"/>
          <w:spacing w:val="20"/>
        </w:rPr>
        <w:t xml:space="preserve">iż </w:t>
      </w:r>
      <w:r w:rsidRPr="00087C3E">
        <w:rPr>
          <w:rFonts w:asciiTheme="minorHAnsi" w:hAnsiTheme="minorHAnsi" w:cstheme="minorHAnsi"/>
          <w:spacing w:val="20"/>
        </w:rPr>
        <w:t xml:space="preserve">w postępowaniu jw. </w:t>
      </w:r>
      <w:r w:rsidRPr="00087C3E">
        <w:rPr>
          <w:rFonts w:asciiTheme="minorHAnsi" w:eastAsia="Andale Sans UI" w:hAnsiTheme="minorHAnsi" w:cstheme="minorHAnsi"/>
          <w:spacing w:val="20"/>
          <w:kern w:val="2"/>
          <w:lang w:eastAsia="zh-CN"/>
        </w:rPr>
        <w:t>wybra</w:t>
      </w:r>
      <w:r w:rsidR="007A0390" w:rsidRPr="00087C3E">
        <w:rPr>
          <w:rFonts w:asciiTheme="minorHAnsi" w:eastAsia="Andale Sans UI" w:hAnsiTheme="minorHAnsi" w:cstheme="minorHAnsi"/>
          <w:spacing w:val="20"/>
          <w:kern w:val="2"/>
          <w:lang w:eastAsia="zh-CN"/>
        </w:rPr>
        <w:t>ł</w:t>
      </w:r>
      <w:r w:rsidR="003F787E">
        <w:rPr>
          <w:rFonts w:asciiTheme="minorHAnsi" w:eastAsia="Andale Sans UI" w:hAnsiTheme="minorHAnsi" w:cstheme="minorHAnsi"/>
          <w:spacing w:val="20"/>
          <w:kern w:val="2"/>
          <w:lang w:eastAsia="zh-CN"/>
        </w:rPr>
        <w:t xml:space="preserve"> ofertę złożoną przez</w:t>
      </w:r>
      <w:r w:rsidR="00D8539F" w:rsidRPr="00087C3E">
        <w:rPr>
          <w:rFonts w:asciiTheme="minorHAnsi" w:eastAsia="Andale Sans UI" w:hAnsiTheme="minorHAnsi" w:cstheme="minorHAnsi"/>
          <w:spacing w:val="20"/>
          <w:kern w:val="2"/>
          <w:lang w:eastAsia="zh-CN"/>
        </w:rPr>
        <w:t>:</w:t>
      </w:r>
      <w:r w:rsidR="003F787E">
        <w:rPr>
          <w:rFonts w:asciiTheme="minorHAnsi" w:eastAsia="Andale Sans UI" w:hAnsiTheme="minorHAnsi" w:cstheme="minorHAnsi"/>
          <w:spacing w:val="20"/>
          <w:kern w:val="2"/>
          <w:lang w:eastAsia="zh-CN"/>
        </w:rPr>
        <w:t xml:space="preserve"> </w:t>
      </w:r>
      <w:r w:rsidR="00AC1652" w:rsidRPr="00087C3E">
        <w:rPr>
          <w:rFonts w:asciiTheme="minorHAnsi" w:eastAsia="Andale Sans UI" w:hAnsiTheme="minorHAnsi" w:cstheme="minorHAnsi"/>
          <w:spacing w:val="20"/>
          <w:kern w:val="2"/>
          <w:lang w:eastAsia="zh-CN"/>
        </w:rPr>
        <w:t>Bank Spółdzielczy w Sandomierzu, ul. Słowackiego 37b</w:t>
      </w:r>
      <w:r w:rsidR="004B5492" w:rsidRPr="00087C3E">
        <w:rPr>
          <w:rFonts w:asciiTheme="minorHAnsi" w:eastAsia="Andale Sans UI" w:hAnsiTheme="minorHAnsi" w:cstheme="minorHAnsi"/>
          <w:spacing w:val="20"/>
          <w:kern w:val="2"/>
          <w:lang w:eastAsia="zh-CN"/>
        </w:rPr>
        <w:t>, 27-600 Sandomierz.</w:t>
      </w:r>
    </w:p>
    <w:p w:rsidR="006468F4" w:rsidRPr="00087C3E" w:rsidRDefault="006468F4" w:rsidP="009005DD">
      <w:p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 w:rsidRPr="00087C3E">
        <w:rPr>
          <w:rFonts w:asciiTheme="minorHAnsi" w:hAnsiTheme="minorHAnsi" w:cstheme="minorHAnsi"/>
          <w:spacing w:val="20"/>
        </w:rPr>
        <w:t>Oferta spełnia wszystkie wymogi SWZ, jest zgodna z przepisami -</w:t>
      </w:r>
      <w:proofErr w:type="spellStart"/>
      <w:r w:rsidR="00A8028D">
        <w:rPr>
          <w:rFonts w:asciiTheme="minorHAnsi" w:hAnsiTheme="minorHAnsi" w:cstheme="minorHAnsi"/>
          <w:spacing w:val="20"/>
        </w:rPr>
        <w:t>upzp</w:t>
      </w:r>
      <w:proofErr w:type="spellEnd"/>
      <w:r w:rsidRPr="00087C3E">
        <w:rPr>
          <w:rFonts w:asciiTheme="minorHAnsi" w:hAnsiTheme="minorHAnsi" w:cstheme="minorHAnsi"/>
          <w:spacing w:val="20"/>
        </w:rPr>
        <w:t>, nie podlega o</w:t>
      </w:r>
      <w:r w:rsidR="00D8539F" w:rsidRPr="00087C3E">
        <w:rPr>
          <w:rFonts w:asciiTheme="minorHAnsi" w:hAnsiTheme="minorHAnsi" w:cstheme="minorHAnsi"/>
          <w:spacing w:val="20"/>
        </w:rPr>
        <w:t xml:space="preserve">drzuceniu oraz uzyskała </w:t>
      </w:r>
      <w:r w:rsidR="00AC1B31" w:rsidRPr="00087C3E">
        <w:rPr>
          <w:rFonts w:asciiTheme="minorHAnsi" w:hAnsiTheme="minorHAnsi" w:cstheme="minorHAnsi"/>
          <w:spacing w:val="20"/>
        </w:rPr>
        <w:t>najwyższą</w:t>
      </w:r>
      <w:r w:rsidRPr="00087C3E">
        <w:rPr>
          <w:rFonts w:asciiTheme="minorHAnsi" w:hAnsiTheme="minorHAnsi" w:cstheme="minorHAnsi"/>
          <w:spacing w:val="20"/>
        </w:rPr>
        <w:t xml:space="preserve"> liczbę punktów</w:t>
      </w:r>
      <w:r w:rsidR="00331921">
        <w:rPr>
          <w:rFonts w:asciiTheme="minorHAnsi" w:hAnsiTheme="minorHAnsi" w:cstheme="minorHAnsi"/>
          <w:spacing w:val="20"/>
        </w:rPr>
        <w:t xml:space="preserve"> – 100 pkt </w:t>
      </w:r>
      <w:r w:rsidRPr="00087C3E">
        <w:rPr>
          <w:rFonts w:asciiTheme="minorHAnsi" w:hAnsiTheme="minorHAnsi" w:cstheme="minorHAnsi"/>
          <w:spacing w:val="20"/>
        </w:rPr>
        <w:t xml:space="preserve">na podstawie kryteriów oceny ofert zastosowanych w tym postępowaniu: </w:t>
      </w:r>
    </w:p>
    <w:p w:rsidR="00AC1652" w:rsidRPr="00087C3E" w:rsidRDefault="00087C3E" w:rsidP="009005D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>m</w:t>
      </w:r>
      <w:r w:rsidR="00AC1652" w:rsidRPr="00087C3E">
        <w:rPr>
          <w:rFonts w:asciiTheme="minorHAnsi" w:hAnsiTheme="minorHAnsi" w:cstheme="minorHAnsi"/>
          <w:spacing w:val="20"/>
        </w:rPr>
        <w:t>iesięczny koszt prowadzenia jednego rachunku bankowego</w:t>
      </w:r>
      <w:r w:rsidR="001A5AC9">
        <w:rPr>
          <w:rFonts w:asciiTheme="minorHAnsi" w:hAnsiTheme="minorHAnsi" w:cstheme="minorHAnsi"/>
          <w:spacing w:val="20"/>
        </w:rPr>
        <w:t>,</w:t>
      </w:r>
      <w:r w:rsidR="00AC1652" w:rsidRPr="00087C3E">
        <w:rPr>
          <w:rFonts w:asciiTheme="minorHAnsi" w:hAnsiTheme="minorHAnsi" w:cstheme="minorHAnsi"/>
          <w:spacing w:val="20"/>
        </w:rPr>
        <w:t xml:space="preserve"> </w:t>
      </w:r>
      <w:r w:rsidR="009005DD">
        <w:rPr>
          <w:rFonts w:asciiTheme="minorHAnsi" w:hAnsiTheme="minorHAnsi" w:cstheme="minorHAnsi"/>
          <w:spacing w:val="20"/>
        </w:rPr>
        <w:t>cena-</w:t>
      </w:r>
      <w:r w:rsidR="00AC1652" w:rsidRPr="00087C3E">
        <w:rPr>
          <w:rFonts w:asciiTheme="minorHAnsi" w:hAnsiTheme="minorHAnsi" w:cstheme="minorHAnsi"/>
          <w:spacing w:val="20"/>
        </w:rPr>
        <w:t xml:space="preserve"> waga kryterium 60%,</w:t>
      </w:r>
    </w:p>
    <w:p w:rsidR="006468F4" w:rsidRPr="00087C3E" w:rsidRDefault="00AC1652" w:rsidP="009005D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 w:rsidRPr="00087C3E">
        <w:rPr>
          <w:rFonts w:asciiTheme="minorHAnsi" w:hAnsiTheme="minorHAnsi" w:cstheme="minorHAnsi"/>
          <w:spacing w:val="20"/>
        </w:rPr>
        <w:t xml:space="preserve"> wysokość oprocentowania środków finansowych zgr</w:t>
      </w:r>
      <w:r w:rsidR="009A3115">
        <w:rPr>
          <w:rFonts w:asciiTheme="minorHAnsi" w:hAnsiTheme="minorHAnsi" w:cstheme="minorHAnsi"/>
          <w:spacing w:val="20"/>
        </w:rPr>
        <w:t>o</w:t>
      </w:r>
      <w:bookmarkStart w:id="2" w:name="_GoBack"/>
      <w:bookmarkEnd w:id="2"/>
      <w:r w:rsidRPr="00087C3E">
        <w:rPr>
          <w:rFonts w:asciiTheme="minorHAnsi" w:hAnsiTheme="minorHAnsi" w:cstheme="minorHAnsi"/>
          <w:spacing w:val="20"/>
        </w:rPr>
        <w:t>madzonych na wszystkich rachunkach bankowych podmiotów biorący udział</w:t>
      </w:r>
      <w:r w:rsidRPr="00087C3E">
        <w:rPr>
          <w:rFonts w:asciiTheme="minorHAnsi" w:hAnsiTheme="minorHAnsi" w:cstheme="minorHAnsi"/>
          <w:spacing w:val="20"/>
        </w:rPr>
        <w:br/>
        <w:t xml:space="preserve"> w zamówieniu (w stosunk</w:t>
      </w:r>
      <w:r w:rsidR="00894956">
        <w:rPr>
          <w:rFonts w:asciiTheme="minorHAnsi" w:hAnsiTheme="minorHAnsi" w:cstheme="minorHAnsi"/>
          <w:spacing w:val="20"/>
        </w:rPr>
        <w:t>u rocznym) – waga kryterium 20%,</w:t>
      </w:r>
    </w:p>
    <w:p w:rsidR="006468F4" w:rsidRPr="00087C3E" w:rsidRDefault="00AC1652" w:rsidP="009005D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 w:rsidRPr="00087C3E">
        <w:rPr>
          <w:rFonts w:asciiTheme="minorHAnsi" w:hAnsiTheme="minorHAnsi" w:cstheme="minorHAnsi"/>
          <w:spacing w:val="20"/>
        </w:rPr>
        <w:t>wysokość oprocentowania kredytu w rachunku bieżącym budżetu Gminy - waga kryterium 20%.</w:t>
      </w:r>
    </w:p>
    <w:p w:rsidR="004B5492" w:rsidRPr="00087C3E" w:rsidRDefault="004B5492" w:rsidP="009005DD">
      <w:pPr>
        <w:pStyle w:val="Akapitzlist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</w:p>
    <w:p w:rsidR="00D8539F" w:rsidRPr="00087C3E" w:rsidRDefault="006468F4" w:rsidP="009005DD">
      <w:pPr>
        <w:suppressAutoHyphens/>
        <w:spacing w:line="360" w:lineRule="auto"/>
        <w:rPr>
          <w:rFonts w:asciiTheme="minorHAnsi" w:eastAsia="Calibri" w:hAnsiTheme="minorHAnsi" w:cstheme="minorHAnsi"/>
          <w:spacing w:val="20"/>
          <w:lang w:eastAsia="en-US"/>
        </w:rPr>
      </w:pPr>
      <w:r w:rsidRPr="00087C3E">
        <w:rPr>
          <w:rFonts w:asciiTheme="minorHAnsi" w:eastAsia="Calibri" w:hAnsiTheme="minorHAnsi" w:cstheme="minorHAnsi"/>
          <w:spacing w:val="20"/>
          <w:lang w:eastAsia="en-US"/>
        </w:rPr>
        <w:t xml:space="preserve">W postępowaniu </w:t>
      </w:r>
      <w:r w:rsidR="00BF2312" w:rsidRPr="00087C3E">
        <w:rPr>
          <w:rFonts w:asciiTheme="minorHAnsi" w:eastAsia="Calibri" w:hAnsiTheme="minorHAnsi" w:cstheme="minorHAnsi"/>
          <w:spacing w:val="20"/>
          <w:lang w:eastAsia="en-US"/>
        </w:rPr>
        <w:t xml:space="preserve">na zadanie jw. </w:t>
      </w:r>
      <w:r w:rsidR="00AC1652" w:rsidRPr="00087C3E">
        <w:rPr>
          <w:rFonts w:asciiTheme="minorHAnsi" w:eastAsia="Calibri" w:hAnsiTheme="minorHAnsi" w:cstheme="minorHAnsi"/>
          <w:spacing w:val="20"/>
          <w:lang w:eastAsia="en-US"/>
        </w:rPr>
        <w:t>wpłynęła</w:t>
      </w:r>
      <w:r w:rsidR="001E1C91" w:rsidRPr="00087C3E">
        <w:rPr>
          <w:rFonts w:asciiTheme="minorHAnsi" w:eastAsia="Calibri" w:hAnsiTheme="minorHAnsi" w:cstheme="minorHAnsi"/>
          <w:spacing w:val="20"/>
          <w:lang w:eastAsia="en-US"/>
        </w:rPr>
        <w:t xml:space="preserve">  </w:t>
      </w:r>
      <w:r w:rsidR="00AC1652" w:rsidRPr="00087C3E">
        <w:rPr>
          <w:rFonts w:asciiTheme="minorHAnsi" w:eastAsia="Calibri" w:hAnsiTheme="minorHAnsi" w:cstheme="minorHAnsi"/>
          <w:spacing w:val="20"/>
          <w:lang w:eastAsia="en-US"/>
        </w:rPr>
        <w:t>1</w:t>
      </w:r>
      <w:r w:rsidR="00AC1B31" w:rsidRPr="00087C3E">
        <w:rPr>
          <w:rFonts w:asciiTheme="minorHAnsi" w:eastAsia="Calibri" w:hAnsiTheme="minorHAnsi" w:cstheme="minorHAnsi"/>
          <w:spacing w:val="20"/>
          <w:lang w:eastAsia="en-US"/>
        </w:rPr>
        <w:t xml:space="preserve"> </w:t>
      </w:r>
      <w:r w:rsidR="00E8716B" w:rsidRPr="00087C3E">
        <w:rPr>
          <w:rFonts w:asciiTheme="minorHAnsi" w:eastAsia="Calibri" w:hAnsiTheme="minorHAnsi" w:cstheme="minorHAnsi"/>
          <w:spacing w:val="20"/>
          <w:lang w:eastAsia="en-US"/>
        </w:rPr>
        <w:t>ofert</w:t>
      </w:r>
      <w:r w:rsidR="00AC1652" w:rsidRPr="00087C3E">
        <w:rPr>
          <w:rFonts w:asciiTheme="minorHAnsi" w:eastAsia="Calibri" w:hAnsiTheme="minorHAnsi" w:cstheme="minorHAnsi"/>
          <w:spacing w:val="20"/>
          <w:lang w:eastAsia="en-US"/>
        </w:rPr>
        <w:t>a</w:t>
      </w:r>
      <w:r w:rsidR="007A0390" w:rsidRPr="00087C3E">
        <w:rPr>
          <w:rFonts w:asciiTheme="minorHAnsi" w:eastAsia="Calibri" w:hAnsiTheme="minorHAnsi" w:cstheme="minorHAnsi"/>
          <w:spacing w:val="20"/>
          <w:lang w:eastAsia="en-US"/>
        </w:rPr>
        <w:t>.</w:t>
      </w:r>
    </w:p>
    <w:p w:rsidR="00087C3E" w:rsidRDefault="00087C3E" w:rsidP="009005DD">
      <w:pPr>
        <w:suppressAutoHyphens/>
        <w:spacing w:line="360" w:lineRule="auto"/>
        <w:rPr>
          <w:rFonts w:asciiTheme="minorHAnsi" w:eastAsia="Calibri" w:hAnsiTheme="minorHAnsi" w:cstheme="minorHAnsi"/>
          <w:spacing w:val="20"/>
          <w:lang w:eastAsia="en-US"/>
        </w:rPr>
      </w:pPr>
    </w:p>
    <w:p w:rsidR="00087C3E" w:rsidRDefault="00087C3E" w:rsidP="009005DD">
      <w:pPr>
        <w:suppressAutoHyphens/>
        <w:spacing w:line="360" w:lineRule="auto"/>
        <w:rPr>
          <w:rFonts w:asciiTheme="minorHAnsi" w:eastAsia="Calibri" w:hAnsiTheme="minorHAnsi" w:cstheme="minorHAnsi"/>
          <w:spacing w:val="20"/>
          <w:lang w:eastAsia="en-US"/>
        </w:rPr>
      </w:pPr>
    </w:p>
    <w:p w:rsidR="00087C3E" w:rsidRDefault="00087C3E" w:rsidP="009005DD">
      <w:pPr>
        <w:suppressAutoHyphens/>
        <w:spacing w:line="360" w:lineRule="auto"/>
        <w:rPr>
          <w:rFonts w:asciiTheme="minorHAnsi" w:eastAsia="Calibri" w:hAnsiTheme="minorHAnsi" w:cstheme="minorHAnsi"/>
          <w:spacing w:val="20"/>
          <w:lang w:eastAsia="en-US"/>
        </w:rPr>
      </w:pPr>
    </w:p>
    <w:p w:rsidR="00087C3E" w:rsidRDefault="00087C3E" w:rsidP="009005DD">
      <w:pPr>
        <w:suppressAutoHyphens/>
        <w:spacing w:line="360" w:lineRule="auto"/>
        <w:rPr>
          <w:rFonts w:asciiTheme="minorHAnsi" w:eastAsia="Calibri" w:hAnsiTheme="minorHAnsi" w:cstheme="minorHAnsi"/>
          <w:spacing w:val="20"/>
          <w:lang w:eastAsia="en-US"/>
        </w:rPr>
      </w:pPr>
    </w:p>
    <w:p w:rsidR="00087C3E" w:rsidRDefault="00087C3E" w:rsidP="009005DD">
      <w:pPr>
        <w:suppressAutoHyphens/>
        <w:spacing w:line="360" w:lineRule="auto"/>
        <w:rPr>
          <w:rFonts w:asciiTheme="minorHAnsi" w:eastAsia="Calibri" w:hAnsiTheme="minorHAnsi" w:cstheme="minorHAnsi"/>
          <w:spacing w:val="20"/>
          <w:lang w:eastAsia="en-US"/>
        </w:rPr>
      </w:pPr>
    </w:p>
    <w:p w:rsidR="00E241F5" w:rsidRDefault="00E241F5" w:rsidP="009005DD">
      <w:pPr>
        <w:suppressAutoHyphens/>
        <w:spacing w:line="360" w:lineRule="auto"/>
        <w:rPr>
          <w:rFonts w:asciiTheme="minorHAnsi" w:eastAsia="Calibri" w:hAnsiTheme="minorHAnsi" w:cstheme="minorHAnsi"/>
          <w:spacing w:val="20"/>
          <w:lang w:eastAsia="en-US"/>
        </w:rPr>
      </w:pPr>
    </w:p>
    <w:p w:rsidR="004B5492" w:rsidRPr="00087C3E" w:rsidRDefault="00AC1B31" w:rsidP="009005DD">
      <w:pPr>
        <w:suppressAutoHyphens/>
        <w:spacing w:line="360" w:lineRule="auto"/>
        <w:rPr>
          <w:rFonts w:asciiTheme="minorHAnsi" w:eastAsia="Calibri" w:hAnsiTheme="minorHAnsi" w:cstheme="minorHAnsi"/>
          <w:spacing w:val="20"/>
          <w:lang w:eastAsia="en-US"/>
        </w:rPr>
      </w:pPr>
      <w:r w:rsidRPr="00087C3E">
        <w:rPr>
          <w:rFonts w:asciiTheme="minorHAnsi" w:eastAsia="Calibri" w:hAnsiTheme="minorHAnsi" w:cstheme="minorHAnsi"/>
          <w:spacing w:val="20"/>
          <w:lang w:eastAsia="en-US"/>
        </w:rPr>
        <w:lastRenderedPageBreak/>
        <w:t>Punktacja wg. poniższej tabeli.</w:t>
      </w:r>
    </w:p>
    <w:tbl>
      <w:tblPr>
        <w:tblStyle w:val="Tabela-Siatka"/>
        <w:tblW w:w="10259" w:type="dxa"/>
        <w:jc w:val="center"/>
        <w:tblInd w:w="0" w:type="dxa"/>
        <w:tblLook w:val="04A0" w:firstRow="1" w:lastRow="0" w:firstColumn="1" w:lastColumn="0" w:noHBand="0" w:noVBand="1"/>
      </w:tblPr>
      <w:tblGrid>
        <w:gridCol w:w="944"/>
        <w:gridCol w:w="1934"/>
        <w:gridCol w:w="1728"/>
        <w:gridCol w:w="2134"/>
        <w:gridCol w:w="2134"/>
        <w:gridCol w:w="1385"/>
      </w:tblGrid>
      <w:tr w:rsidR="00AC1652" w:rsidRPr="00087C3E" w:rsidTr="002143E3">
        <w:trPr>
          <w:jc w:val="center"/>
        </w:trPr>
        <w:tc>
          <w:tcPr>
            <w:tcW w:w="817" w:type="dxa"/>
          </w:tcPr>
          <w:p w:rsidR="00AC1652" w:rsidRPr="00087C3E" w:rsidRDefault="00AC1652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087C3E">
              <w:rPr>
                <w:rFonts w:asciiTheme="minorHAnsi" w:hAnsiTheme="minorHAnsi" w:cstheme="minorHAnsi"/>
                <w:b/>
                <w:spacing w:val="20"/>
                <w:lang w:eastAsia="en-US"/>
              </w:rPr>
              <w:t>Nr oferty</w:t>
            </w:r>
          </w:p>
        </w:tc>
        <w:tc>
          <w:tcPr>
            <w:tcW w:w="3837" w:type="dxa"/>
          </w:tcPr>
          <w:p w:rsidR="00AC1652" w:rsidRPr="00087C3E" w:rsidRDefault="00AC1652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087C3E">
              <w:rPr>
                <w:rFonts w:asciiTheme="minorHAnsi" w:hAnsiTheme="minorHAnsi" w:cstheme="minorHAnsi"/>
                <w:b/>
                <w:spacing w:val="20"/>
                <w:lang w:eastAsia="en-US"/>
              </w:rPr>
              <w:t>Nazwa i adres wykonawcy</w:t>
            </w:r>
          </w:p>
          <w:p w:rsidR="00AC1652" w:rsidRPr="00087C3E" w:rsidRDefault="00AC1652" w:rsidP="009005DD">
            <w:pPr>
              <w:suppressAutoHyphens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:rsidR="00AC1652" w:rsidRPr="00087C3E" w:rsidRDefault="00AC1652" w:rsidP="009005DD">
            <w:pPr>
              <w:suppressAutoHyphens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318" w:type="dxa"/>
          </w:tcPr>
          <w:p w:rsidR="00AC1652" w:rsidRPr="00087C3E" w:rsidRDefault="00AC1652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eastAsia="Andale Sans UI" w:hAnsiTheme="minorHAnsi" w:cstheme="minorHAnsi"/>
                <w:b/>
                <w:spacing w:val="20"/>
                <w:kern w:val="1"/>
                <w:lang w:eastAsia="zh-CN"/>
              </w:rPr>
            </w:pPr>
            <w:r w:rsidRPr="00087C3E">
              <w:rPr>
                <w:rFonts w:asciiTheme="minorHAnsi" w:eastAsia="Andale Sans UI" w:hAnsiTheme="minorHAnsi" w:cstheme="minorHAnsi"/>
                <w:b/>
                <w:spacing w:val="20"/>
                <w:kern w:val="1"/>
                <w:lang w:eastAsia="zh-CN"/>
              </w:rPr>
              <w:t>Kryterium: cena</w:t>
            </w:r>
          </w:p>
          <w:p w:rsidR="00AC1652" w:rsidRPr="00087C3E" w:rsidRDefault="00AC1652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</w:pPr>
            <w:r w:rsidRPr="00087C3E">
              <w:rPr>
                <w:rFonts w:asciiTheme="minorHAnsi" w:hAnsiTheme="minorHAnsi" w:cstheme="minorHAnsi"/>
                <w:b/>
                <w:spacing w:val="20"/>
              </w:rPr>
              <w:t>miesięczny koszt prowadzenia jednego rachunku bankowego - 60%</w:t>
            </w:r>
          </w:p>
          <w:p w:rsidR="00AC1652" w:rsidRPr="00087C3E" w:rsidRDefault="00AC1652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eastAsia="Andale Sans UI" w:hAnsiTheme="minorHAnsi" w:cstheme="minorHAnsi"/>
                <w:b/>
                <w:spacing w:val="20"/>
                <w:kern w:val="1"/>
                <w:lang w:eastAsia="zh-CN"/>
              </w:rPr>
            </w:pPr>
          </w:p>
          <w:p w:rsidR="00AC1652" w:rsidRPr="00087C3E" w:rsidRDefault="00AC1652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417" w:type="dxa"/>
          </w:tcPr>
          <w:p w:rsidR="00AC1652" w:rsidRPr="00087C3E" w:rsidRDefault="00AC1652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</w:pPr>
            <w:r w:rsidRPr="00087C3E"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  <w:t>Kryterium:</w:t>
            </w:r>
          </w:p>
          <w:p w:rsidR="00AC1652" w:rsidRPr="00087C3E" w:rsidRDefault="00AC1652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087C3E">
              <w:rPr>
                <w:rFonts w:asciiTheme="minorHAnsi" w:hAnsiTheme="minorHAnsi" w:cstheme="minorHAnsi"/>
                <w:b/>
                <w:spacing w:val="20"/>
              </w:rPr>
              <w:t>Wysokość oprocentowania środków finansowych zgromadzonych na wszystkich rachunkach bankowych podmiotów biorących udział w zamówieniu</w:t>
            </w:r>
            <w:r w:rsidRPr="00087C3E">
              <w:rPr>
                <w:rFonts w:asciiTheme="minorHAnsi" w:hAnsiTheme="minorHAnsi" w:cstheme="minorHAnsi"/>
                <w:b/>
                <w:spacing w:val="20"/>
              </w:rPr>
              <w:br/>
              <w:t xml:space="preserve"> (w stosunku rocznym) - 20%</w:t>
            </w:r>
          </w:p>
        </w:tc>
        <w:tc>
          <w:tcPr>
            <w:tcW w:w="1435" w:type="dxa"/>
          </w:tcPr>
          <w:p w:rsidR="00AC1652" w:rsidRPr="00087C3E" w:rsidRDefault="00AC1652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087C3E">
              <w:rPr>
                <w:rFonts w:asciiTheme="minorHAnsi" w:hAnsiTheme="minorHAnsi" w:cstheme="minorHAnsi"/>
                <w:b/>
                <w:spacing w:val="20"/>
                <w:lang w:eastAsia="en-US"/>
              </w:rPr>
              <w:t>Kryterium</w:t>
            </w:r>
          </w:p>
          <w:p w:rsidR="00AC1652" w:rsidRPr="00087C3E" w:rsidRDefault="00AC1652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087C3E">
              <w:rPr>
                <w:rFonts w:asciiTheme="minorHAnsi" w:hAnsiTheme="minorHAnsi" w:cstheme="minorHAnsi"/>
                <w:b/>
                <w:spacing w:val="20"/>
              </w:rPr>
              <w:t>Wysokość oprocentowania kredytu w rachunku bieżącym budżetu Gminy 20%</w:t>
            </w:r>
          </w:p>
        </w:tc>
        <w:tc>
          <w:tcPr>
            <w:tcW w:w="1435" w:type="dxa"/>
          </w:tcPr>
          <w:p w:rsidR="00AC1652" w:rsidRPr="00087C3E" w:rsidRDefault="00AC1652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087C3E">
              <w:rPr>
                <w:rFonts w:asciiTheme="minorHAnsi" w:hAnsiTheme="minorHAnsi" w:cstheme="minorHAnsi"/>
                <w:b/>
                <w:spacing w:val="20"/>
                <w:lang w:eastAsia="en-US"/>
              </w:rPr>
              <w:t>Punktacja ogółem</w:t>
            </w:r>
          </w:p>
        </w:tc>
      </w:tr>
      <w:tr w:rsidR="00AC1652" w:rsidRPr="00087C3E" w:rsidTr="002143E3">
        <w:trPr>
          <w:trHeight w:val="691"/>
          <w:jc w:val="center"/>
        </w:trPr>
        <w:tc>
          <w:tcPr>
            <w:tcW w:w="817" w:type="dxa"/>
          </w:tcPr>
          <w:p w:rsidR="00AC1652" w:rsidRPr="00087C3E" w:rsidRDefault="00AC1652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  <w:r w:rsidRPr="00087C3E">
              <w:rPr>
                <w:rFonts w:asciiTheme="minorHAnsi" w:hAnsiTheme="minorHAnsi" w:cstheme="minorHAnsi"/>
                <w:bCs/>
                <w:spacing w:val="20"/>
                <w:lang w:eastAsia="en-US"/>
              </w:rPr>
              <w:t xml:space="preserve">1. </w:t>
            </w:r>
          </w:p>
        </w:tc>
        <w:tc>
          <w:tcPr>
            <w:tcW w:w="3837" w:type="dxa"/>
            <w:vAlign w:val="center"/>
          </w:tcPr>
          <w:p w:rsidR="00AC1652" w:rsidRPr="00087C3E" w:rsidRDefault="00AC1652" w:rsidP="009005DD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087C3E">
              <w:rPr>
                <w:rFonts w:asciiTheme="minorHAnsi" w:hAnsiTheme="minorHAnsi" w:cstheme="minorHAnsi"/>
                <w:spacing w:val="20"/>
              </w:rPr>
              <w:t>Bank Spółdzielczy</w:t>
            </w:r>
            <w:r w:rsidRPr="00087C3E">
              <w:rPr>
                <w:rFonts w:asciiTheme="minorHAnsi" w:hAnsiTheme="minorHAnsi" w:cstheme="minorHAnsi"/>
                <w:spacing w:val="20"/>
              </w:rPr>
              <w:br/>
              <w:t xml:space="preserve"> w Sandomierzu</w:t>
            </w:r>
          </w:p>
          <w:p w:rsidR="00AC1652" w:rsidRPr="00087C3E" w:rsidRDefault="00AC1652" w:rsidP="009005DD">
            <w:pPr>
              <w:suppressAutoHyphens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087C3E">
              <w:rPr>
                <w:rFonts w:asciiTheme="minorHAnsi" w:hAnsiTheme="minorHAnsi" w:cstheme="minorHAnsi"/>
                <w:spacing w:val="20"/>
              </w:rPr>
              <w:t>ul. Słowackiego 37b,27-600 Sandomierz</w:t>
            </w:r>
          </w:p>
        </w:tc>
        <w:tc>
          <w:tcPr>
            <w:tcW w:w="1318" w:type="dxa"/>
            <w:vAlign w:val="center"/>
          </w:tcPr>
          <w:p w:rsidR="00331921" w:rsidRDefault="00331921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eastAsia="Andale Sans UI" w:hAnsiTheme="minorHAnsi" w:cstheme="minorHAnsi"/>
                <w:bCs/>
                <w:spacing w:val="20"/>
                <w:kern w:val="1"/>
                <w:lang w:eastAsia="zh-CN"/>
              </w:rPr>
            </w:pPr>
          </w:p>
          <w:p w:rsidR="00AC1652" w:rsidRPr="00087C3E" w:rsidRDefault="00331921" w:rsidP="003F78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Andale Sans UI" w:hAnsiTheme="minorHAnsi" w:cstheme="minorHAnsi"/>
                <w:bCs/>
                <w:spacing w:val="20"/>
                <w:kern w:val="1"/>
                <w:lang w:eastAsia="zh-CN"/>
              </w:rPr>
            </w:pPr>
            <w:r>
              <w:rPr>
                <w:rFonts w:asciiTheme="minorHAnsi" w:eastAsia="Andale Sans UI" w:hAnsiTheme="minorHAnsi" w:cstheme="minorHAnsi"/>
                <w:bCs/>
                <w:spacing w:val="20"/>
                <w:kern w:val="1"/>
                <w:lang w:eastAsia="zh-CN"/>
              </w:rPr>
              <w:t>60 pkt</w:t>
            </w:r>
          </w:p>
        </w:tc>
        <w:tc>
          <w:tcPr>
            <w:tcW w:w="1417" w:type="dxa"/>
            <w:vAlign w:val="center"/>
          </w:tcPr>
          <w:p w:rsidR="00331921" w:rsidRDefault="00331921" w:rsidP="003319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</w:pPr>
          </w:p>
          <w:p w:rsidR="00AC1652" w:rsidRPr="00087C3E" w:rsidRDefault="00331921" w:rsidP="003319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  <w:t>20 pkt</w:t>
            </w:r>
          </w:p>
        </w:tc>
        <w:tc>
          <w:tcPr>
            <w:tcW w:w="1435" w:type="dxa"/>
          </w:tcPr>
          <w:p w:rsidR="00331921" w:rsidRDefault="00331921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</w:p>
          <w:p w:rsidR="00331921" w:rsidRDefault="00331921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</w:p>
          <w:p w:rsidR="00331921" w:rsidRDefault="00331921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</w:p>
          <w:p w:rsidR="00331921" w:rsidRDefault="00331921" w:rsidP="003319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</w:p>
          <w:p w:rsidR="00AC1652" w:rsidRPr="00087C3E" w:rsidRDefault="00331921" w:rsidP="0033192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20"/>
                <w:lang w:eastAsia="en-US"/>
              </w:rPr>
              <w:t>20 pkt</w:t>
            </w:r>
          </w:p>
        </w:tc>
        <w:tc>
          <w:tcPr>
            <w:tcW w:w="1435" w:type="dxa"/>
            <w:vAlign w:val="center"/>
          </w:tcPr>
          <w:p w:rsidR="00AC1652" w:rsidRDefault="00AC1652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</w:p>
          <w:p w:rsidR="00331921" w:rsidRPr="00087C3E" w:rsidRDefault="00331921" w:rsidP="009005DD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20"/>
                <w:lang w:eastAsia="en-US"/>
              </w:rPr>
              <w:t xml:space="preserve">100 pkt </w:t>
            </w:r>
          </w:p>
        </w:tc>
      </w:tr>
    </w:tbl>
    <w:p w:rsidR="00AC1652" w:rsidRPr="00087C3E" w:rsidRDefault="00AC1652" w:rsidP="009005DD">
      <w:pPr>
        <w:suppressAutoHyphens/>
        <w:spacing w:line="360" w:lineRule="auto"/>
        <w:rPr>
          <w:rFonts w:asciiTheme="minorHAnsi" w:eastAsia="Calibri" w:hAnsiTheme="minorHAnsi" w:cstheme="minorHAnsi"/>
          <w:spacing w:val="20"/>
          <w:lang w:eastAsia="en-US"/>
        </w:rPr>
      </w:pPr>
    </w:p>
    <w:p w:rsidR="00087C3E" w:rsidRPr="00087C3E" w:rsidRDefault="00087C3E" w:rsidP="009005DD">
      <w:pPr>
        <w:suppressAutoHyphens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pacing w:val="20"/>
          <w:lang w:eastAsia="en-US"/>
        </w:rPr>
      </w:pPr>
      <w:r w:rsidRPr="00087C3E">
        <w:rPr>
          <w:rFonts w:asciiTheme="minorHAnsi" w:eastAsiaTheme="minorHAnsi" w:hAnsiTheme="minorHAnsi" w:cstheme="minorHAnsi"/>
          <w:spacing w:val="20"/>
          <w:lang w:eastAsia="en-US"/>
        </w:rPr>
        <w:t xml:space="preserve">Umowa dot. niniejszego postępowania zostanie zawarta po  przesłaniu Wykonawcy drogą elektroniczną zawiadomienia o wyborze najkorzystniejszej oferty. </w:t>
      </w:r>
    </w:p>
    <w:p w:rsidR="00AC1652" w:rsidRPr="00D8539F" w:rsidRDefault="00AC1652" w:rsidP="009005DD">
      <w:pPr>
        <w:spacing w:line="360" w:lineRule="auto"/>
        <w:rPr>
          <w:rFonts w:ascii="Calibri" w:eastAsia="Calibri" w:hAnsi="Calibri"/>
          <w:spacing w:val="20"/>
          <w:lang w:eastAsia="en-US"/>
        </w:rPr>
      </w:pPr>
    </w:p>
    <w:p w:rsidR="006468F4" w:rsidRDefault="006468F4" w:rsidP="009005DD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/>
      </w:r>
    </w:p>
    <w:p w:rsidR="00C6389B" w:rsidRDefault="009A3115"/>
    <w:sectPr w:rsidR="00C6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87C3E"/>
    <w:rsid w:val="001A5AC9"/>
    <w:rsid w:val="001E1C91"/>
    <w:rsid w:val="00331921"/>
    <w:rsid w:val="00346A17"/>
    <w:rsid w:val="003C65DA"/>
    <w:rsid w:val="003F787E"/>
    <w:rsid w:val="00463560"/>
    <w:rsid w:val="004B5492"/>
    <w:rsid w:val="0051482A"/>
    <w:rsid w:val="00532112"/>
    <w:rsid w:val="006468F4"/>
    <w:rsid w:val="007A0390"/>
    <w:rsid w:val="00875664"/>
    <w:rsid w:val="00894956"/>
    <w:rsid w:val="008C1B1E"/>
    <w:rsid w:val="008C37B3"/>
    <w:rsid w:val="009005DD"/>
    <w:rsid w:val="00914DDE"/>
    <w:rsid w:val="00990977"/>
    <w:rsid w:val="009A3115"/>
    <w:rsid w:val="009C7838"/>
    <w:rsid w:val="00A778B3"/>
    <w:rsid w:val="00A8028D"/>
    <w:rsid w:val="00AC1652"/>
    <w:rsid w:val="00AC1B31"/>
    <w:rsid w:val="00B55148"/>
    <w:rsid w:val="00BF2312"/>
    <w:rsid w:val="00C235C8"/>
    <w:rsid w:val="00C52A1F"/>
    <w:rsid w:val="00D8539F"/>
    <w:rsid w:val="00DB2A89"/>
    <w:rsid w:val="00DF1D07"/>
    <w:rsid w:val="00E241F5"/>
    <w:rsid w:val="00E47EDE"/>
    <w:rsid w:val="00E8716B"/>
    <w:rsid w:val="00F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30</cp:revision>
  <cp:lastPrinted>2022-05-04T05:49:00Z</cp:lastPrinted>
  <dcterms:created xsi:type="dcterms:W3CDTF">2022-03-21T07:22:00Z</dcterms:created>
  <dcterms:modified xsi:type="dcterms:W3CDTF">2022-07-13T12:43:00Z</dcterms:modified>
</cp:coreProperties>
</file>