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2D03CEC0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711419">
        <w:rPr>
          <w:rFonts w:ascii="Calibri" w:eastAsia="Times New Roman" w:hAnsi="Calibri" w:cs="Calibri"/>
          <w:b/>
          <w:sz w:val="24"/>
          <w:szCs w:val="24"/>
          <w:lang w:eastAsia="ar-SA"/>
        </w:rPr>
        <w:t>44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0A7171">
        <w:rPr>
          <w:rFonts w:ascii="Calibri" w:eastAsia="Times New Roman" w:hAnsi="Calibri" w:cs="Calibri"/>
          <w:sz w:val="24"/>
          <w:szCs w:val="24"/>
          <w:lang w:eastAsia="ar-SA"/>
        </w:rPr>
        <w:t>06.06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0C763471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11419" w:rsidRPr="00711419">
        <w:rPr>
          <w:rFonts w:ascii="Calibri" w:eastAsia="Calibri" w:hAnsi="Calibri" w:cs="Calibri"/>
          <w:b/>
          <w:i/>
          <w:sz w:val="28"/>
          <w:szCs w:val="28"/>
        </w:rPr>
        <w:t xml:space="preserve">Dostawa </w:t>
      </w:r>
      <w:r w:rsidR="00711419" w:rsidRPr="0071141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gazów medycznych oraz technicznych wraz z napełnieniem i dzierżawą </w:t>
      </w:r>
      <w:r w:rsidR="00A2384B">
        <w:rPr>
          <w:rFonts w:ascii="Calibri" w:eastAsia="Calibri" w:hAnsi="Calibri" w:cs="Calibri"/>
          <w:b/>
          <w:bCs/>
          <w:i/>
          <w:iCs/>
          <w:sz w:val="28"/>
          <w:szCs w:val="28"/>
        </w:rPr>
        <w:t>2 szt. zbiorników</w:t>
      </w:r>
      <w:r w:rsidR="00711419" w:rsidRPr="0071141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na tlen medyczny oraz butli na gazy medyczne i techniczne dla Wojewódzkiego Szpitala Specjalistycznego we Wrocławiu przy ul. Kamieńskiego 73a wraz z jednostką zamiejscową przy ul. Poświęckiej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252DA3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4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252DA3" w:rsidRDefault="002729BA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5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7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8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9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2E9C0509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 </w:t>
      </w:r>
      <w:r w:rsidR="00711419">
        <w:rPr>
          <w:rFonts w:ascii="Calibri" w:eastAsia="Times New Roman" w:hAnsi="Calibri" w:cs="Calibri"/>
          <w:bCs/>
          <w:lang w:eastAsia="ar-SA"/>
        </w:rPr>
        <w:t xml:space="preserve">  </w:t>
      </w:r>
      <w:r w:rsidRPr="00252DA3">
        <w:rPr>
          <w:rFonts w:ascii="Calibri" w:eastAsia="Times New Roman" w:hAnsi="Calibri" w:cs="Calibri"/>
          <w:bCs/>
          <w:lang w:eastAsia="ar-SA"/>
        </w:rPr>
        <w:t>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6EEB3E8D" w:rsidR="00D22E84" w:rsidRPr="00252DA3" w:rsidRDefault="0071141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ab/>
      </w:r>
      <w:r w:rsidR="0032443A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>
        <w:rPr>
          <w:rFonts w:ascii="Calibri" w:eastAsia="Times New Roman" w:hAnsi="Calibri" w:cs="Calibri"/>
          <w:bCs/>
          <w:lang w:eastAsia="ar-SA"/>
        </w:rPr>
        <w:t xml:space="preserve">             </w:t>
      </w:r>
      <w:r w:rsidR="00D22E84"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="00D22E84"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0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0"/>
    </w:p>
    <w:p w14:paraId="3249A7F3" w14:textId="77777777" w:rsidR="007C55C1" w:rsidRPr="00252DA3" w:rsidRDefault="000F6735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1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252DA3" w:rsidRDefault="00DE47D3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2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2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3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4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5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5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6" w:name="__RefHeading__68_381024118"/>
      <w:bookmarkEnd w:id="16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8A39E9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7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B5229A1" w14:textId="418AB3AC" w:rsidR="001A06E4" w:rsidRPr="001A06E4" w:rsidRDefault="001A06E4" w:rsidP="008A39E9">
      <w:pPr>
        <w:numPr>
          <w:ilvl w:val="0"/>
          <w:numId w:val="6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18" w:name="__RefHeading__70_381024118"/>
      <w:bookmarkEnd w:id="18"/>
      <w:r w:rsidRPr="001A06E4">
        <w:rPr>
          <w:rFonts w:cstheme="minorHAnsi"/>
        </w:rPr>
        <w:t xml:space="preserve">Przedmiotem zamówienia jest sukcesywna dostawa gazów medycznych oraz technicznych wraz z dzierżawą </w:t>
      </w:r>
      <w:r>
        <w:rPr>
          <w:rFonts w:cstheme="minorHAnsi"/>
        </w:rPr>
        <w:t>2 szt. zbiorników</w:t>
      </w:r>
      <w:r w:rsidRPr="001A06E4">
        <w:rPr>
          <w:rFonts w:cstheme="minorHAnsi"/>
        </w:rPr>
        <w:t xml:space="preserve"> tlenu medycznego oraz butli na gazy medyczne i techniczne</w:t>
      </w:r>
      <w:r w:rsidRPr="001A06E4">
        <w:rPr>
          <w:rFonts w:eastAsia="Times New Roman" w:cstheme="minorHAnsi"/>
          <w:lang w:eastAsia="ar-SA"/>
        </w:rPr>
        <w:t>.</w:t>
      </w:r>
    </w:p>
    <w:p w14:paraId="1A13F44F" w14:textId="02BD2687" w:rsidR="001A06E4" w:rsidRPr="001A06E4" w:rsidRDefault="001A06E4" w:rsidP="008A39E9">
      <w:pPr>
        <w:keepLines/>
        <w:numPr>
          <w:ilvl w:val="0"/>
          <w:numId w:val="6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06E4">
        <w:rPr>
          <w:rFonts w:eastAsia="Times New Roman" w:cstheme="minorHAnsi"/>
          <w:lang w:eastAsia="ar-SA"/>
        </w:rPr>
        <w:t>Szczegółowy opis przedmiotu z</w:t>
      </w:r>
      <w:r w:rsidR="00462BA1">
        <w:rPr>
          <w:rFonts w:eastAsia="Times New Roman" w:cstheme="minorHAnsi"/>
          <w:lang w:eastAsia="ar-SA"/>
        </w:rPr>
        <w:t>amówienia zawiera Załącznik nr 6</w:t>
      </w:r>
      <w:r w:rsidRPr="001A06E4">
        <w:rPr>
          <w:rFonts w:eastAsia="Times New Roman" w:cstheme="minorHAnsi"/>
          <w:lang w:eastAsia="ar-SA"/>
        </w:rPr>
        <w:t xml:space="preserve"> do SWZ</w:t>
      </w:r>
      <w:r w:rsidRPr="001A06E4">
        <w:rPr>
          <w:rFonts w:cstheme="minorHAnsi"/>
        </w:rPr>
        <w:t>.</w:t>
      </w:r>
    </w:p>
    <w:p w14:paraId="0A90470E" w14:textId="77777777" w:rsidR="001A06E4" w:rsidRPr="001A06E4" w:rsidRDefault="001A06E4" w:rsidP="008A39E9">
      <w:pPr>
        <w:numPr>
          <w:ilvl w:val="0"/>
          <w:numId w:val="60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 w:rsidRPr="001A06E4">
        <w:rPr>
          <w:rFonts w:cstheme="minorHAnsi"/>
        </w:rPr>
        <w:t>Rodzaj oraz ilości określa formularz asortymentowo–cenowy nr 1.1 stanowiący załącznik do formularza ofertowego.</w:t>
      </w:r>
    </w:p>
    <w:p w14:paraId="5C029B15" w14:textId="77777777" w:rsidR="001A06E4" w:rsidRPr="001A06E4" w:rsidRDefault="001A06E4" w:rsidP="008A39E9">
      <w:pPr>
        <w:numPr>
          <w:ilvl w:val="0"/>
          <w:numId w:val="60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 w:rsidRPr="001A06E4">
        <w:rPr>
          <w:rFonts w:cstheme="minorHAnsi"/>
        </w:rPr>
        <w:t>Termin ważności oferowanych produktów nie może być krótszy niż 12 miesięcy liczony od daty dostawy, w tym dla produktów leczniczych – min. ¾ pierwotnego terminu przydatności.</w:t>
      </w:r>
    </w:p>
    <w:p w14:paraId="65C4855C" w14:textId="77777777" w:rsidR="006E20C9" w:rsidRPr="00252DA3" w:rsidRDefault="008E053F" w:rsidP="001A06E4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A06E4">
        <w:rPr>
          <w:rFonts w:eastAsia="Calibri" w:cstheme="minorHAnsi"/>
        </w:rPr>
        <w:t>Wykonawca zobowiązany jest do dostawy przedmiotu zamówienia wraz z informacją (ulotką) zgodnie z</w:t>
      </w:r>
      <w:r w:rsidRPr="00252DA3">
        <w:rPr>
          <w:rFonts w:ascii="Calibri" w:eastAsia="Calibri" w:hAnsi="Calibri" w:cs="Calibri"/>
        </w:rPr>
        <w:t xml:space="preserve"> obowiązującym w tym zakresie prawem.</w:t>
      </w:r>
    </w:p>
    <w:p w14:paraId="095478D7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C5693AE" w14:textId="224EE4F5" w:rsidR="001A06E4" w:rsidRPr="00252DA3" w:rsidRDefault="001A06E4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A06E4">
        <w:rPr>
          <w:rFonts w:ascii="Calibri" w:eastAsia="Calibri" w:hAnsi="Calibri" w:cs="Calibri"/>
        </w:rPr>
        <w:t xml:space="preserve">Dostarczony asortyment musi posiadać znak CE na potwierdzenie, że spełnia wszystkie stosowne wymagania prawne obowiązujące w UE tj. wymagania dotyczące bezpieczeństwa, ochrony zdrowia czy środowiska naturalnego – </w:t>
      </w:r>
      <w:r w:rsidRPr="001A06E4">
        <w:rPr>
          <w:rFonts w:ascii="Calibri" w:eastAsia="Calibri" w:hAnsi="Calibri" w:cs="Calibri"/>
          <w:u w:val="single"/>
        </w:rPr>
        <w:t>o ile dotyczy</w:t>
      </w:r>
      <w:r w:rsidRPr="001A06E4">
        <w:rPr>
          <w:rFonts w:ascii="Calibri" w:eastAsia="Calibri" w:hAnsi="Calibri" w:cs="Calibri"/>
        </w:rPr>
        <w:t>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7BE5C67B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5E300219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 xml:space="preserve">33140000-3 – </w:t>
      </w:r>
      <w:r w:rsidR="006B20E5" w:rsidRPr="006B20E5">
        <w:rPr>
          <w:rFonts w:ascii="Calibri" w:eastAsia="Calibri" w:hAnsi="Calibri" w:cs="Calibri"/>
          <w:b/>
          <w:bCs/>
        </w:rPr>
        <w:t>24100000-5 – gazy, 24111500-0 – gazy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9032C6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252DA3" w:rsidRDefault="001A611B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252DA3" w:rsidRDefault="00493C62" w:rsidP="009032C6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9032C6">
      <w:p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</w:p>
    <w:p w14:paraId="1D8A7286" w14:textId="07187547" w:rsidR="006B20E5" w:rsidRDefault="006B20E5" w:rsidP="009032C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Zamawiający nie dopuszcza składania ofert częściowych.</w:t>
      </w:r>
    </w:p>
    <w:p w14:paraId="25611541" w14:textId="77777777" w:rsidR="009032C6" w:rsidRPr="009032C6" w:rsidRDefault="009032C6" w:rsidP="009032C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  <w:bCs/>
        </w:rPr>
        <w:t>Zamawiający wskazuje następujące powody niedokonania podziału zamówienia na części:</w:t>
      </w:r>
    </w:p>
    <w:p w14:paraId="18791A60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 xml:space="preserve">nadmierne trudności techniczne i organizacyjne Zamawiającego związane z realizacją przedmiotu zamówienia przy podziale na oddzielne zadania;  </w:t>
      </w:r>
    </w:p>
    <w:p w14:paraId="78F586BD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lastRenderedPageBreak/>
        <w:t>zagrożenie właściwego wykonania zamówienia wynikające z potrzeby skoordynowania działań wielu wykonawców przy realizacji przedmiotu zamówienia,</w:t>
      </w:r>
    </w:p>
    <w:p w14:paraId="7E3EE925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wyższe koszty jednostkowe realizacji  zamówienia przy podziale na mniejsze zadania częściowe;</w:t>
      </w:r>
    </w:p>
    <w:p w14:paraId="4E832900" w14:textId="6359E7C6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w interesie zamawiającego nie leży rozdzielenie odpowiedzialności za świadczone dostawy będące przedmiotem zamówienia na dwa lub więcej podmiotów.</w:t>
      </w:r>
    </w:p>
    <w:p w14:paraId="0BFC6C40" w14:textId="77777777" w:rsidR="00601C36" w:rsidRPr="00252DA3" w:rsidRDefault="00601C36" w:rsidP="009032C6">
      <w:p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06870432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t xml:space="preserve">Zamawiający wymaga, aby Wykonawca realizował przedmiot zamówienia </w:t>
      </w:r>
      <w:r w:rsidRPr="00252DA3">
        <w:rPr>
          <w:rFonts w:ascii="Calibri" w:eastAsia="Times New Roman" w:hAnsi="Calibri" w:cs="Calibri"/>
          <w:lang w:eastAsia="ar-SA"/>
        </w:rPr>
        <w:t xml:space="preserve">sukcesywnie </w:t>
      </w:r>
      <w:r w:rsidR="003F7D9E" w:rsidRPr="00252DA3">
        <w:rPr>
          <w:rFonts w:ascii="Calibri" w:eastAsia="Times New Roman" w:hAnsi="Calibri" w:cs="Calibri"/>
          <w:lang w:eastAsia="ar-SA"/>
        </w:rPr>
        <w:t xml:space="preserve">przez </w:t>
      </w:r>
      <w:r w:rsidR="009032C6">
        <w:rPr>
          <w:rFonts w:ascii="Calibri" w:eastAsia="Times New Roman" w:hAnsi="Calibri" w:cs="Calibri"/>
          <w:lang w:eastAsia="ar-SA"/>
        </w:rPr>
        <w:t>12</w:t>
      </w:r>
      <w:r w:rsidR="005F731B" w:rsidRPr="00252DA3">
        <w:rPr>
          <w:rFonts w:ascii="Calibri" w:eastAsia="Times New Roman" w:hAnsi="Calibri" w:cs="Calibri"/>
          <w:lang w:eastAsia="ar-SA"/>
        </w:rPr>
        <w:t xml:space="preserve"> miesi</w:t>
      </w:r>
      <w:r w:rsidR="00EB6AE3" w:rsidRPr="00252DA3">
        <w:rPr>
          <w:rFonts w:ascii="Calibri" w:eastAsia="Times New Roman" w:hAnsi="Calibri" w:cs="Calibri"/>
          <w:lang w:eastAsia="ar-SA"/>
        </w:rPr>
        <w:t>ące</w:t>
      </w:r>
      <w:r w:rsidR="00FF6D0E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C556DF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C556D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C556D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8A39E9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2481C7C9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="00CA0973">
        <w:rPr>
          <w:rFonts w:ascii="Calibri" w:hAnsi="Calibri" w:cs="Calibri"/>
          <w:bCs/>
        </w:rPr>
        <w:t xml:space="preserve">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EAD7A1" w14:textId="0B360252" w:rsidR="002939FE" w:rsidRPr="00716416" w:rsidRDefault="002939FE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108 UST. 1 UPZP –  </w:t>
            </w:r>
            <w:r w:rsidRPr="00716416">
              <w:rPr>
                <w:rFonts w:ascii="Calibri" w:eastAsia="Times New Roman" w:hAnsi="Calibri" w:cs="Calibri"/>
                <w:b/>
                <w:bCs/>
                <w:lang w:eastAsia="ar-SA"/>
              </w:rPr>
              <w:t>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</w:t>
      </w:r>
      <w:r w:rsidRPr="00252DA3">
        <w:rPr>
          <w:rFonts w:ascii="Calibri" w:eastAsia="Calibri" w:hAnsi="Calibri" w:cs="Calibri"/>
          <w:color w:val="000000"/>
        </w:rPr>
        <w:lastRenderedPageBreak/>
        <w:t>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8A39E9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Pr="00252DA3" w:rsidRDefault="00C14488" w:rsidP="008A39E9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lastRenderedPageBreak/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8A39E9">
      <w:pPr>
        <w:pStyle w:val="Akapitzlist"/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8A39E9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8A39E9">
      <w:pPr>
        <w:pStyle w:val="pkt"/>
        <w:numPr>
          <w:ilvl w:val="0"/>
          <w:numId w:val="56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2E4EBF22" w:rsidR="00956152" w:rsidRPr="00252DA3" w:rsidRDefault="00956152" w:rsidP="008A39E9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1252C2">
        <w:rPr>
          <w:rFonts w:ascii="Calibri" w:eastAsia="Times New Roman" w:hAnsi="Calibri" w:cs="Calibri"/>
          <w:lang w:eastAsia="ar-SA"/>
        </w:rPr>
        <w:t>rych mowa w ust. 3</w:t>
      </w:r>
      <w:r w:rsidR="00D21EDD" w:rsidRPr="00252DA3">
        <w:rPr>
          <w:rFonts w:ascii="Calibri" w:eastAsia="Times New Roman" w:hAnsi="Calibri" w:cs="Calibri"/>
          <w:lang w:eastAsia="ar-SA"/>
        </w:rPr>
        <w:t xml:space="preserve">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A39E9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Hlk127440243"/>
          </w:p>
          <w:p w14:paraId="08024A10" w14:textId="7105B179" w:rsidR="004D7A65" w:rsidRPr="00252DA3" w:rsidRDefault="004D7A6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0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8A39E9">
      <w:pPr>
        <w:pStyle w:val="Akapitzlist"/>
        <w:numPr>
          <w:ilvl w:val="3"/>
          <w:numId w:val="36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8A39E9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8A39E9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</w:t>
      </w:r>
      <w:r w:rsidRPr="00252DA3">
        <w:rPr>
          <w:rFonts w:ascii="Calibri" w:hAnsi="Calibri" w:cs="Calibri"/>
          <w:noProof/>
        </w:rPr>
        <w:lastRenderedPageBreak/>
        <w:t>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8A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8A39E9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8A39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3F91B06D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oświadczenie Wykonawcy, że zaoferowany przedmiot zamówienia dopuszczony jest do obrotu w Polsce i stanowi wyrób medyczny w rozumieniu przywołanej ustawy tj. posiada certyfikat CE i deklarację zgodności – zgodnie z załącznikiem nr 4 do SWZ.</w:t>
      </w:r>
    </w:p>
    <w:p w14:paraId="532A0D27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aktualne dokumenty dopuszczające oferowane gazy medyczne i techniczne do obrotu i używania na terytorium Rzeczypospolitej Polskiej, a w przypadku, gdy dany wyrób nie jest kwalifikowany jako produkt leczniczy albo wyrób medyczny, stosowne oświadczenie w tym zakresie,</w:t>
      </w:r>
    </w:p>
    <w:p w14:paraId="0F477CEB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oświadczenie Wykonawcy, że wszystkie zaoferowane:</w:t>
      </w:r>
    </w:p>
    <w:p w14:paraId="448FFE7D" w14:textId="1C85E455" w:rsidR="00601FDC" w:rsidRDefault="00601FDC" w:rsidP="008A39E9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gazy medyczne będące produktem leczniczym posiadają ważną charakterystykę produktu leczniczego,</w:t>
      </w:r>
    </w:p>
    <w:p w14:paraId="6322E750" w14:textId="2548D142" w:rsidR="00601FDC" w:rsidRPr="00C556DF" w:rsidRDefault="00601FDC" w:rsidP="008A39E9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Calibri" w:hAnsi="Calibri" w:cs="Calibri"/>
        </w:rPr>
      </w:pPr>
      <w:r w:rsidRPr="00C556DF">
        <w:rPr>
          <w:rFonts w:ascii="Calibri" w:eastAsia="Calibri" w:hAnsi="Calibri" w:cs="Calibri"/>
        </w:rPr>
        <w:t>gazy medyczne, techniczn</w:t>
      </w:r>
      <w:r w:rsidR="005C0C0E">
        <w:rPr>
          <w:rFonts w:ascii="Calibri" w:eastAsia="Calibri" w:hAnsi="Calibri" w:cs="Calibri"/>
        </w:rPr>
        <w:t>e i wyroby medyczne zawierają k</w:t>
      </w:r>
      <w:r w:rsidRPr="00C556DF">
        <w:rPr>
          <w:rFonts w:ascii="Calibri" w:eastAsia="Calibri" w:hAnsi="Calibri" w:cs="Calibri"/>
        </w:rPr>
        <w:t>a</w:t>
      </w:r>
      <w:r w:rsidR="005C0C0E">
        <w:rPr>
          <w:rFonts w:ascii="Calibri" w:eastAsia="Calibri" w:hAnsi="Calibri" w:cs="Calibri"/>
        </w:rPr>
        <w:t>r</w:t>
      </w:r>
      <w:r w:rsidRPr="00C556DF">
        <w:rPr>
          <w:rFonts w:ascii="Calibri" w:eastAsia="Calibri" w:hAnsi="Calibri" w:cs="Calibri"/>
        </w:rPr>
        <w:t>tę charakterystyki substancji chemicznej lub niebezpiecznej. W przypadku, gdy zaoferowany produkt nie posiada substancji niebezpiecznej, należy poinformować, że dany produkt nie posiada w swym składzie substancji niebezpiecznych,</w:t>
      </w:r>
    </w:p>
    <w:p w14:paraId="5A06E2C1" w14:textId="4927805B" w:rsidR="00FE4FA5" w:rsidRPr="00252DA3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dokumenty opisujące oferowane gazy medyczne i techniczne (ulotki lub etykiety lub karty charakterystyki lub dowody dostaw wraz z numerami butli, seriami, terminami ważności, atesty jakości).</w:t>
      </w:r>
    </w:p>
    <w:p w14:paraId="59694715" w14:textId="0DD02714" w:rsidR="005A08A8" w:rsidRPr="00252DA3" w:rsidRDefault="008F4450" w:rsidP="008A39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8A39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 xml:space="preserve">Postanowień ust. 2 nie stosuje się, jeżeli przedmiotowy środek dowodowy służy potwierdzaniu zgodności z cechami lub kryteriami określonymi w opisie kryteriów oceny ofert lub, pomimo złożenia </w:t>
      </w:r>
      <w:r w:rsidRPr="00252DA3">
        <w:rPr>
          <w:rFonts w:ascii="Calibri" w:eastAsia="Calibri" w:hAnsi="Calibri" w:cs="Calibri"/>
        </w:rPr>
        <w:lastRenderedPageBreak/>
        <w:t>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8A39E9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włączona obsługa JavaScript,</w:t>
      </w:r>
    </w:p>
    <w:p w14:paraId="5DC90710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8A39E9">
      <w:pPr>
        <w:numPr>
          <w:ilvl w:val="1"/>
          <w:numId w:val="42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8A39E9">
      <w:pPr>
        <w:numPr>
          <w:ilvl w:val="1"/>
          <w:numId w:val="42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>ywem terminu składania ofert (np. złożenie oferty w zakładce „Wyślij 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231EE50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EB20E3">
        <w:rPr>
          <w:rFonts w:ascii="Calibri" w:eastAsia="Times New Roman" w:hAnsi="Calibri" w:cs="Calibri"/>
          <w:b/>
          <w:lang w:eastAsia="ar-SA"/>
        </w:rPr>
        <w:t>14.10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1A3988FC" w:rsidR="000F2BE6" w:rsidRPr="00252DA3" w:rsidRDefault="000F2BE6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="002742ED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DF47B0" w:rsidRPr="00252DA3">
        <w:rPr>
          <w:rFonts w:ascii="Calibri" w:eastAsia="Times New Roman" w:hAnsi="Calibri" w:cs="Calibri"/>
          <w:b/>
          <w:lang w:eastAsia="ar-SA"/>
        </w:rPr>
        <w:t>ami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1DDF2BF8" w14:textId="0AEFC08E" w:rsidR="004F720A" w:rsidRPr="00252DA3" w:rsidRDefault="004A15BC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69FAB51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oświadczenie Wykonawcy, że zaoferowany przedmiot zamówienia dopuszczony jest do obrotu w Polsce i stanowi wyrób medyczny w rozumieniu przywołanej ustawy tj. posiada certyfikat CE i deklarację zgodności – zgodnie z załącznikiem nr 4 do SWZ.</w:t>
      </w:r>
    </w:p>
    <w:p w14:paraId="467C30F2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aktualne dokumenty dopuszczające oferowane gazy medyczne i techniczne do obrotu i używania na terytorium Rzeczypospolitej Polskiej, a w przypadku, gdy dany wyrób nie jest kwalifikowany jako produkt leczniczy albo wyrób medyczny, stosowne oświadczenie w tym zakresie,</w:t>
      </w:r>
    </w:p>
    <w:p w14:paraId="256E8AAF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oświadczenie Wykonawcy, że wszystkie zaoferowane:</w:t>
      </w:r>
    </w:p>
    <w:p w14:paraId="1CCB1C17" w14:textId="3E3ACE06" w:rsidR="00601FDC" w:rsidRDefault="00601FDC" w:rsidP="008A39E9">
      <w:pPr>
        <w:pStyle w:val="Akapitzlist"/>
        <w:numPr>
          <w:ilvl w:val="0"/>
          <w:numId w:val="64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gazy medyczne będące produktem leczniczym posiadają ważną charakterystykę produktu leczniczego,</w:t>
      </w:r>
    </w:p>
    <w:p w14:paraId="370160E5" w14:textId="0F9DC27E" w:rsidR="00601FDC" w:rsidRPr="005A3D94" w:rsidRDefault="00601FDC" w:rsidP="008A39E9">
      <w:pPr>
        <w:pStyle w:val="Akapitzlist"/>
        <w:numPr>
          <w:ilvl w:val="0"/>
          <w:numId w:val="64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Calibri"/>
          <w:b/>
        </w:rPr>
      </w:pPr>
      <w:r w:rsidRPr="005A3D94">
        <w:rPr>
          <w:rFonts w:ascii="Calibri" w:eastAsia="Calibri" w:hAnsi="Calibri" w:cs="Calibri"/>
          <w:b/>
        </w:rPr>
        <w:t>gazy medyczne, techniczn</w:t>
      </w:r>
      <w:r w:rsidR="00B45CB5">
        <w:rPr>
          <w:rFonts w:ascii="Calibri" w:eastAsia="Calibri" w:hAnsi="Calibri" w:cs="Calibri"/>
          <w:b/>
        </w:rPr>
        <w:t>e i wyroby medyczne zawierają k</w:t>
      </w:r>
      <w:r w:rsidRPr="005A3D94">
        <w:rPr>
          <w:rFonts w:ascii="Calibri" w:eastAsia="Calibri" w:hAnsi="Calibri" w:cs="Calibri"/>
          <w:b/>
        </w:rPr>
        <w:t>a</w:t>
      </w:r>
      <w:r w:rsidR="00B45CB5">
        <w:rPr>
          <w:rFonts w:ascii="Calibri" w:eastAsia="Calibri" w:hAnsi="Calibri" w:cs="Calibri"/>
          <w:b/>
        </w:rPr>
        <w:t>r</w:t>
      </w:r>
      <w:r w:rsidRPr="005A3D94">
        <w:rPr>
          <w:rFonts w:ascii="Calibri" w:eastAsia="Calibri" w:hAnsi="Calibri" w:cs="Calibri"/>
          <w:b/>
        </w:rPr>
        <w:t>tę charakterystyki substancji chemicznej lub niebezpiecznej. W przypadku, gdy zaoferowany produkt nie posiada substancji niebezpiecznej, należy poinformować, że dany produkt nie posiada w swym składzie substancji niebezpiecznych,</w:t>
      </w:r>
    </w:p>
    <w:p w14:paraId="244B6D11" w14:textId="1A911764" w:rsidR="004F23C3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dokumenty opisujące oferowane gazy medyczne i techniczne (ulotki lub etykiety lub karty charakterystyki lub dowody dostaw wraz z numerami butli, seriami, term</w:t>
      </w:r>
      <w:r w:rsidR="00BE7A29">
        <w:rPr>
          <w:rFonts w:ascii="Calibri" w:eastAsia="Calibri" w:hAnsi="Calibri" w:cs="Calibri"/>
          <w:b/>
        </w:rPr>
        <w:t>inami ważności, atesty jakości),</w:t>
      </w:r>
    </w:p>
    <w:p w14:paraId="2A0846CE" w14:textId="045AF274" w:rsidR="00BE7A29" w:rsidRPr="00BE7A29" w:rsidRDefault="00BE7A29" w:rsidP="00BE7A29">
      <w:pPr>
        <w:pStyle w:val="Akapitzlist"/>
        <w:numPr>
          <w:ilvl w:val="0"/>
          <w:numId w:val="62"/>
        </w:numPr>
        <w:rPr>
          <w:rFonts w:ascii="Calibri" w:eastAsia="Calibri" w:hAnsi="Calibri" w:cs="Calibri"/>
          <w:b/>
          <w:highlight w:val="yellow"/>
        </w:rPr>
      </w:pPr>
      <w:r w:rsidRPr="00BE7A29">
        <w:rPr>
          <w:rFonts w:ascii="Calibri" w:eastAsia="Calibri" w:hAnsi="Calibri" w:cs="Calibri"/>
          <w:b/>
          <w:highlight w:val="yellow"/>
        </w:rPr>
        <w:t>potwierdzenie wniesienia wadium.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 xml:space="preserve"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</w:t>
      </w:r>
      <w:r w:rsidRPr="00252DA3">
        <w:rPr>
          <w:rFonts w:ascii="Calibri" w:eastAsia="Times New Roman" w:hAnsi="Calibri" w:cs="Calibri"/>
          <w:lang w:eastAsia="ar-SA"/>
        </w:rPr>
        <w:lastRenderedPageBreak/>
        <w:t>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8A39E9">
      <w:pPr>
        <w:numPr>
          <w:ilvl w:val="1"/>
          <w:numId w:val="4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8A39E9">
      <w:pPr>
        <w:numPr>
          <w:ilvl w:val="1"/>
          <w:numId w:val="4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8A39E9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7E906C06" w14:textId="77777777" w:rsidR="00851A18" w:rsidRPr="00851A18" w:rsidRDefault="00851A18" w:rsidP="00851A18">
      <w:pPr>
        <w:numPr>
          <w:ilvl w:val="0"/>
          <w:numId w:val="69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  <w:r w:rsidRPr="00851A18">
        <w:rPr>
          <w:rFonts w:ascii="Calibri" w:eastAsia="Calibri" w:hAnsi="Calibri" w:cs="Calibri"/>
          <w:highlight w:val="yellow"/>
          <w:lang w:eastAsia="ar-SA"/>
        </w:rPr>
        <w:t>Wykonawca zobowiązany jest wnieść wadium w kwocie</w:t>
      </w:r>
      <w:r w:rsidRPr="00851A18">
        <w:rPr>
          <w:rFonts w:ascii="Calibri" w:eastAsia="Calibri" w:hAnsi="Calibri" w:cs="Calibri"/>
          <w:b/>
          <w:bCs/>
          <w:highlight w:val="yellow"/>
          <w:lang w:eastAsia="zh-CN"/>
        </w:rPr>
        <w:t xml:space="preserve"> 28 828,00</w:t>
      </w:r>
      <w:r w:rsidRPr="00851A18">
        <w:rPr>
          <w:rFonts w:ascii="Calibri" w:eastAsia="Calibri" w:hAnsi="Calibri" w:cs="Calibri"/>
          <w:b/>
          <w:bCs/>
          <w:i/>
          <w:highlight w:val="yellow"/>
          <w:lang w:eastAsia="zh-CN"/>
        </w:rPr>
        <w:t xml:space="preserve"> </w:t>
      </w:r>
      <w:r w:rsidRPr="00851A18">
        <w:rPr>
          <w:rFonts w:ascii="Calibri" w:eastAsia="Calibri" w:hAnsi="Calibri" w:cs="Calibri"/>
          <w:b/>
          <w:bCs/>
          <w:highlight w:val="yellow"/>
          <w:lang w:eastAsia="pl-PL"/>
        </w:rPr>
        <w:t>zł</w:t>
      </w:r>
      <w:r w:rsidRPr="00851A18">
        <w:rPr>
          <w:rFonts w:ascii="Calibri" w:eastAsia="Calibri" w:hAnsi="Calibri" w:cs="Calibri"/>
          <w:b/>
          <w:highlight w:val="yellow"/>
          <w:lang w:eastAsia="ar-SA"/>
        </w:rPr>
        <w:t xml:space="preserve"> (</w:t>
      </w:r>
      <w:r w:rsidRPr="00851A18">
        <w:rPr>
          <w:rFonts w:ascii="Calibri" w:eastAsia="Calibri" w:hAnsi="Calibri" w:cs="Calibri"/>
          <w:b/>
          <w:i/>
          <w:highlight w:val="yellow"/>
          <w:lang w:eastAsia="ar-SA"/>
        </w:rPr>
        <w:t>słownie: dwadzieścia osiem tysięcy osiemset dwadzieścia osiem złotych 00/100).</w:t>
      </w:r>
      <w:r w:rsidRPr="00851A18">
        <w:rPr>
          <w:rFonts w:ascii="Calibri" w:eastAsia="Calibri" w:hAnsi="Calibri" w:cs="Calibri"/>
          <w:i/>
          <w:highlight w:val="yellow"/>
          <w:lang w:eastAsia="ar-SA"/>
        </w:rPr>
        <w:t xml:space="preserve"> </w:t>
      </w:r>
    </w:p>
    <w:p w14:paraId="058D138D" w14:textId="77777777" w:rsidR="00851A18" w:rsidRPr="00851A18" w:rsidRDefault="00851A18" w:rsidP="00851A18">
      <w:pPr>
        <w:numPr>
          <w:ilvl w:val="3"/>
          <w:numId w:val="7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851A18">
        <w:rPr>
          <w:rFonts w:ascii="Calibri" w:eastAsia="Calibri" w:hAnsi="Calibri" w:cs="Calibri"/>
          <w:b/>
          <w:highlight w:val="yellow"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1033B4F5" w14:textId="77777777" w:rsidR="00851A18" w:rsidRPr="00851A18" w:rsidRDefault="00851A18" w:rsidP="00851A18">
      <w:pPr>
        <w:numPr>
          <w:ilvl w:val="3"/>
          <w:numId w:val="7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Wadium może być wnoszone w jednej lub kilku następujących formach:</w:t>
      </w:r>
    </w:p>
    <w:p w14:paraId="2AB1DF57" w14:textId="77777777" w:rsidR="00851A18" w:rsidRPr="00851A18" w:rsidRDefault="00851A18" w:rsidP="00851A18">
      <w:pPr>
        <w:numPr>
          <w:ilvl w:val="1"/>
          <w:numId w:val="7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 xml:space="preserve">pieniądzu; </w:t>
      </w:r>
    </w:p>
    <w:p w14:paraId="04D1D943" w14:textId="77777777" w:rsidR="00851A18" w:rsidRPr="00851A18" w:rsidRDefault="00851A18" w:rsidP="00851A18">
      <w:pPr>
        <w:numPr>
          <w:ilvl w:val="1"/>
          <w:numId w:val="7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gwarancjach bankowych;</w:t>
      </w:r>
    </w:p>
    <w:p w14:paraId="01888BDA" w14:textId="77777777" w:rsidR="00851A18" w:rsidRPr="00851A18" w:rsidRDefault="00851A18" w:rsidP="00851A18">
      <w:pPr>
        <w:numPr>
          <w:ilvl w:val="1"/>
          <w:numId w:val="7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gwarancjach ubezpieczeniowych;</w:t>
      </w:r>
    </w:p>
    <w:p w14:paraId="6E69D99F" w14:textId="77777777" w:rsidR="00851A18" w:rsidRPr="00851A18" w:rsidRDefault="00851A18" w:rsidP="00851A18">
      <w:pPr>
        <w:numPr>
          <w:ilvl w:val="1"/>
          <w:numId w:val="7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6DCEA823" w14:textId="77777777" w:rsidR="00851A18" w:rsidRPr="00851A18" w:rsidRDefault="00851A18" w:rsidP="00851A18">
      <w:pPr>
        <w:numPr>
          <w:ilvl w:val="0"/>
          <w:numId w:val="73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highlight w:val="yellow"/>
          <w:lang w:eastAsia="ar-SA"/>
        </w:rPr>
      </w:pPr>
      <w:r w:rsidRPr="00851A18">
        <w:rPr>
          <w:rFonts w:ascii="Calibri" w:eastAsia="Calibri" w:hAnsi="Calibri" w:cs="Calibri"/>
          <w:highlight w:val="yellow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851A18">
        <w:rPr>
          <w:rFonts w:ascii="Calibri" w:eastAsia="Calibri" w:hAnsi="Calibri" w:cs="Calibri"/>
          <w:b/>
          <w:bCs/>
          <w:highlight w:val="yellow"/>
          <w:u w:val="single"/>
          <w:lang w:eastAsia="ar-SA"/>
        </w:rPr>
        <w:t>Szp-241/ZP–044/2023</w:t>
      </w:r>
      <w:r w:rsidRPr="00851A18">
        <w:rPr>
          <w:rFonts w:ascii="Calibri" w:eastAsia="Calibri" w:hAnsi="Calibri" w:cs="Calibri"/>
          <w:b/>
          <w:bCs/>
          <w:highlight w:val="yellow"/>
          <w:lang w:eastAsia="ar-SA"/>
        </w:rPr>
        <w:t xml:space="preserve"> </w:t>
      </w:r>
    </w:p>
    <w:p w14:paraId="2C154A5E" w14:textId="77777777" w:rsidR="00851A18" w:rsidRPr="00851A18" w:rsidRDefault="00851A18" w:rsidP="00851A18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851A18">
        <w:rPr>
          <w:rFonts w:ascii="Calibri" w:eastAsia="Calibri" w:hAnsi="Calibri" w:cs="Calibri"/>
          <w:b/>
          <w:highlight w:val="yellow"/>
          <w:lang w:eastAsia="zh-CN"/>
        </w:rPr>
        <w:t xml:space="preserve">UWAGA: </w:t>
      </w:r>
      <w:r w:rsidRPr="00851A18">
        <w:rPr>
          <w:rFonts w:ascii="Calibri" w:eastAsia="Calibri" w:hAnsi="Calibri" w:cs="Calibri"/>
          <w:b/>
          <w:highlight w:val="yellow"/>
          <w:u w:val="single"/>
          <w:lang w:eastAsia="zh-CN"/>
        </w:rPr>
        <w:t>Za termin wniesienia wadium w formie pieniężnej zostanie przyjęty termin uznania rachunku Zamawiającego.</w:t>
      </w:r>
    </w:p>
    <w:p w14:paraId="47D2B12B" w14:textId="77777777" w:rsidR="00851A18" w:rsidRPr="00851A18" w:rsidRDefault="00851A18" w:rsidP="00851A18">
      <w:pPr>
        <w:numPr>
          <w:ilvl w:val="3"/>
          <w:numId w:val="7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8E3A139" w14:textId="77777777" w:rsidR="00851A18" w:rsidRPr="00851A18" w:rsidRDefault="00851A18" w:rsidP="00851A18">
      <w:pPr>
        <w:numPr>
          <w:ilvl w:val="3"/>
          <w:numId w:val="7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 xml:space="preserve">Wadium wnoszone w formie poręczeń lub gwarancji muszą być złożone jako </w:t>
      </w:r>
      <w:r w:rsidRPr="00851A18">
        <w:rPr>
          <w:rFonts w:ascii="Calibri" w:eastAsia="Calibri" w:hAnsi="Calibri" w:cs="Calibri"/>
          <w:b/>
          <w:highlight w:val="yellow"/>
          <w:lang w:eastAsia="zh-CN"/>
        </w:rPr>
        <w:t xml:space="preserve">oryginał </w:t>
      </w:r>
      <w:r w:rsidRPr="00851A18">
        <w:rPr>
          <w:rFonts w:ascii="Calibri" w:eastAsia="Calibri" w:hAnsi="Calibri" w:cs="Calibri"/>
          <w:highlight w:val="yellow"/>
          <w:lang w:eastAsia="zh-CN"/>
        </w:rPr>
        <w:t xml:space="preserve">gwarancji lub poręczenia </w:t>
      </w:r>
      <w:r w:rsidRPr="00851A18">
        <w:rPr>
          <w:rFonts w:ascii="Calibri" w:eastAsia="Calibri" w:hAnsi="Calibri" w:cs="Calibri"/>
          <w:b/>
          <w:highlight w:val="yellow"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851A18">
        <w:rPr>
          <w:rFonts w:ascii="Calibri" w:eastAsia="Calibri" w:hAnsi="Calibri" w:cs="Calibri"/>
          <w:highlight w:val="yellow"/>
          <w:lang w:eastAsia="zh-CN"/>
        </w:rPr>
        <w:t>i spełniać co najmniej poniższe wymagania:</w:t>
      </w:r>
    </w:p>
    <w:p w14:paraId="4FAD0968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 xml:space="preserve">musi obejmować odpowiedzialność za wszystkie przypadki powodujące utratę wadium przez Wykonawcę określone w ustawie PZP </w:t>
      </w:r>
    </w:p>
    <w:p w14:paraId="3C4EC4CE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z jej treści powinno jednoznacznie wynikać zobowiązanie gwaranta do zapłaty całej kwoty wadium;</w:t>
      </w:r>
    </w:p>
    <w:p w14:paraId="34E0ED80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powinno być nieodwołalne i bezwarunkowe oraz płatne na pierwsze żądanie;</w:t>
      </w:r>
    </w:p>
    <w:p w14:paraId="34041919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C43A681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w treści poręczenia lub gwarancji powinna znaleźć się nazwa oraz numer przedmiotowego postępowania;</w:t>
      </w:r>
    </w:p>
    <w:p w14:paraId="6A577535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beneficjentem poręczenia lub gwarancji jest Wojewódzki Szpital Specjalistyczny we Wrocławiu</w:t>
      </w:r>
    </w:p>
    <w:p w14:paraId="383863FF" w14:textId="77777777" w:rsidR="00851A18" w:rsidRPr="00851A18" w:rsidRDefault="00851A18" w:rsidP="00851A18">
      <w:pPr>
        <w:numPr>
          <w:ilvl w:val="0"/>
          <w:numId w:val="7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 xml:space="preserve"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</w:t>
      </w:r>
      <w:r w:rsidRPr="00851A18">
        <w:rPr>
          <w:rFonts w:ascii="Calibri" w:eastAsia="Calibri" w:hAnsi="Calibri" w:cs="Calibri"/>
          <w:highlight w:val="yellow"/>
          <w:lang w:eastAsia="zh-CN"/>
        </w:rPr>
        <w:lastRenderedPageBreak/>
        <w:t>zamówienia lub aby z jej treści wynikało, że zabezpiecza ofertę Wykonawców wspólnie ubiegających się o udzielenie zamówienia (konsorcjum);</w:t>
      </w:r>
    </w:p>
    <w:p w14:paraId="6660FD22" w14:textId="77777777" w:rsidR="00851A18" w:rsidRPr="00851A18" w:rsidRDefault="00851A18" w:rsidP="00851A18">
      <w:pPr>
        <w:numPr>
          <w:ilvl w:val="3"/>
          <w:numId w:val="7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851A18">
        <w:rPr>
          <w:rFonts w:ascii="Calibri" w:eastAsia="Calibri" w:hAnsi="Calibri" w:cs="Calibri"/>
          <w:b/>
          <w:highlight w:val="yellow"/>
          <w:lang w:eastAsia="zh-CN"/>
        </w:rPr>
        <w:t xml:space="preserve"> zostanie odrzucona</w:t>
      </w:r>
      <w:r w:rsidRPr="00851A18">
        <w:rPr>
          <w:rFonts w:ascii="Calibri" w:eastAsia="Calibri" w:hAnsi="Calibri" w:cs="Calibri"/>
          <w:highlight w:val="yellow"/>
          <w:lang w:eastAsia="zh-CN"/>
        </w:rPr>
        <w:t>.</w:t>
      </w:r>
    </w:p>
    <w:p w14:paraId="31DBF6D7" w14:textId="77777777" w:rsidR="00851A18" w:rsidRPr="00851A18" w:rsidRDefault="00851A18" w:rsidP="00851A18">
      <w:pPr>
        <w:numPr>
          <w:ilvl w:val="3"/>
          <w:numId w:val="7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851A18">
        <w:rPr>
          <w:rFonts w:ascii="Calibri" w:eastAsia="Calibri" w:hAnsi="Calibri" w:cs="Calibri"/>
          <w:highlight w:val="yellow"/>
          <w:lang w:eastAsia="zh-CN"/>
        </w:rPr>
        <w:t>Zasady zwrotu oraz okoliczności zatrzymania wadium określa art. 98 uPzp.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22" w:name="_GoBack"/>
      <w:bookmarkEnd w:id="22"/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06FFD59B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EB20E3">
        <w:rPr>
          <w:rFonts w:ascii="Calibri" w:eastAsia="Calibri" w:hAnsi="Calibri" w:cs="Calibri"/>
          <w:b/>
          <w:color w:val="000000"/>
          <w:lang w:eastAsia="pl-PL"/>
        </w:rPr>
        <w:t>17.07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657D748F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EB20E3">
        <w:rPr>
          <w:rFonts w:ascii="Calibri" w:hAnsi="Calibri" w:cs="Calibri"/>
          <w:b/>
        </w:rPr>
        <w:t>17.07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5BE52F1D" w:rsidR="00F15639" w:rsidRPr="00252DA3" w:rsidRDefault="006275C2" w:rsidP="008A39E9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</w:t>
      </w:r>
      <w:r w:rsidR="00A124E3">
        <w:rPr>
          <w:rFonts w:ascii="Calibri" w:eastAsia="Calibri" w:hAnsi="Calibri" w:cs="Calibri"/>
        </w:rPr>
        <w:t xml:space="preserve"> poda cenę oferty w Formularzu asortymentowo-cenowym</w:t>
      </w:r>
      <w:r w:rsidRPr="00252DA3">
        <w:rPr>
          <w:rFonts w:ascii="Calibri" w:eastAsia="Calibri" w:hAnsi="Calibri" w:cs="Calibri"/>
        </w:rPr>
        <w:t>, st</w:t>
      </w:r>
      <w:r w:rsidR="00A124E3">
        <w:rPr>
          <w:rFonts w:ascii="Calibri" w:eastAsia="Calibri" w:hAnsi="Calibri" w:cs="Calibri"/>
        </w:rPr>
        <w:t>anowiącym załącznik</w:t>
      </w:r>
      <w:r w:rsidR="001E2F96" w:rsidRPr="00252DA3">
        <w:rPr>
          <w:rFonts w:ascii="Calibri" w:eastAsia="Calibri" w:hAnsi="Calibri" w:cs="Calibri"/>
        </w:rPr>
        <w:t xml:space="preserve"> nr 1.1</w:t>
      </w:r>
      <w:r w:rsidR="00A124E3">
        <w:rPr>
          <w:rFonts w:ascii="Calibri" w:eastAsia="Calibri" w:hAnsi="Calibri" w:cs="Calibri"/>
        </w:rPr>
        <w:t xml:space="preserve">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Pr="00252DA3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  <w:r w:rsidRPr="00252DA3">
        <w:rPr>
          <w:rFonts w:ascii="Calibri" w:eastAsia="Calibri" w:hAnsi="Calibri" w:cs="Calibri"/>
          <w:b/>
          <w:u w:val="single"/>
        </w:rPr>
        <w:lastRenderedPageBreak/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252DA3" w:rsidRDefault="007A6F4A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27DA4D46" w:rsidR="007A6F4A" w:rsidRPr="00252DA3" w:rsidRDefault="007A6F4A" w:rsidP="008A39E9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7CD340AE" w:rsidR="007C6940" w:rsidRPr="00252DA3" w:rsidRDefault="007C6940" w:rsidP="008A39E9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8A39E9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8A39E9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8A39E9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5F0CC250" w:rsidR="00606A38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Podana cena oferty netto, zamieszczona w Formularzu asortymentowo - cenowym będzie niezmienna przez cały okres obowiązywania umowy na realiz</w:t>
      </w:r>
      <w:r w:rsidR="0060040F" w:rsidRPr="00252DA3">
        <w:rPr>
          <w:rFonts w:ascii="Calibri" w:eastAsia="Calibri" w:hAnsi="Calibri" w:cs="Calibri"/>
          <w:noProof/>
        </w:rPr>
        <w:t>ację przedmiotowego zamówienia</w:t>
      </w:r>
      <w:r w:rsidR="00632CAB" w:rsidRPr="00252DA3">
        <w:rPr>
          <w:rFonts w:ascii="Calibri" w:eastAsia="Calibri" w:hAnsi="Calibri" w:cs="Calibri"/>
          <w:noProof/>
        </w:rPr>
        <w:t xml:space="preserve"> z zastrzeżeniem §12 ust.</w:t>
      </w:r>
      <w:r w:rsidR="00F0415C">
        <w:rPr>
          <w:rFonts w:ascii="Calibri" w:eastAsia="Calibri" w:hAnsi="Calibri" w:cs="Calibri"/>
          <w:noProof/>
        </w:rPr>
        <w:t xml:space="preserve"> </w:t>
      </w:r>
      <w:r w:rsidR="00E950AB" w:rsidRPr="00252DA3">
        <w:rPr>
          <w:rFonts w:ascii="Calibri" w:eastAsia="Calibri" w:hAnsi="Calibri" w:cs="Calibri"/>
          <w:noProof/>
        </w:rPr>
        <w:t>3</w:t>
      </w:r>
      <w:r w:rsidR="00632CAB" w:rsidRPr="00252DA3">
        <w:rPr>
          <w:rFonts w:ascii="Calibri" w:eastAsia="Calibri" w:hAnsi="Calibri" w:cs="Calibri"/>
          <w:noProof/>
        </w:rPr>
        <w:t xml:space="preserve"> pkt 2-4</w:t>
      </w:r>
      <w:r w:rsidR="00F0415C">
        <w:rPr>
          <w:rFonts w:ascii="Calibri" w:eastAsia="Calibri" w:hAnsi="Calibri" w:cs="Calibri"/>
          <w:noProof/>
        </w:rPr>
        <w:t>.</w:t>
      </w:r>
    </w:p>
    <w:p w14:paraId="59C80E64" w14:textId="77777777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Cena musi zawierać wszystkie koszty związane z realizacją przedmiotu zamówienia.</w:t>
      </w:r>
    </w:p>
    <w:p w14:paraId="6ADCEA11" w14:textId="77777777" w:rsidR="000327E4" w:rsidRPr="00252DA3" w:rsidRDefault="000327E4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BA4EA1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BA4EA1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BA4EA1" w:rsidRDefault="00F347C6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BA4EA1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BA4EA1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BA4EA1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1F417C88" w14:textId="77777777" w:rsidR="00BA4EA1" w:rsidRPr="00BA4EA1" w:rsidRDefault="00BA4EA1" w:rsidP="008A39E9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cstheme="minorHAnsi"/>
          <w:lang w:eastAsia="ar-SA"/>
        </w:rPr>
      </w:pPr>
      <w:r w:rsidRPr="00BA4EA1">
        <w:rPr>
          <w:rFonts w:cstheme="minorHAnsi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2E53333E" w14:textId="77777777" w:rsidR="00BA4EA1" w:rsidRPr="00BA4EA1" w:rsidRDefault="00BA4EA1" w:rsidP="00BA4EA1">
      <w:pPr>
        <w:keepLines/>
        <w:spacing w:before="60" w:after="60" w:line="240" w:lineRule="auto"/>
        <w:ind w:left="360" w:right="-1"/>
        <w:jc w:val="both"/>
        <w:rPr>
          <w:rFonts w:cstheme="minorHAnsi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68"/>
        <w:gridCol w:w="1808"/>
      </w:tblGrid>
      <w:tr w:rsidR="00BA4EA1" w:rsidRPr="00BA4EA1" w14:paraId="799B329B" w14:textId="77777777" w:rsidTr="00461DEE">
        <w:trPr>
          <w:trHeight w:val="63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9017" w14:textId="77777777" w:rsidR="00BA4EA1" w:rsidRPr="00BA4EA1" w:rsidRDefault="00BA4EA1" w:rsidP="00461DEE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8F89" w14:textId="77777777" w:rsidR="00BA4EA1" w:rsidRPr="00BA4EA1" w:rsidRDefault="00BA4EA1" w:rsidP="00461DEE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 xml:space="preserve">Kryteria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31B2" w14:textId="77777777" w:rsidR="00BA4EA1" w:rsidRPr="00BA4EA1" w:rsidRDefault="00BA4EA1" w:rsidP="008A39E9">
            <w:pPr>
              <w:numPr>
                <w:ilvl w:val="2"/>
                <w:numId w:val="6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autoSpaceDN w:val="0"/>
              <w:spacing w:before="60" w:after="60" w:line="240" w:lineRule="auto"/>
              <w:ind w:left="0" w:firstLine="0"/>
              <w:jc w:val="center"/>
              <w:textAlignment w:val="baseline"/>
              <w:outlineLvl w:val="2"/>
              <w:rPr>
                <w:rFonts w:eastAsia="Times New Roman" w:cstheme="minorHAnsi"/>
                <w:bCs/>
                <w:i/>
                <w:lang w:eastAsia="ar-SA"/>
              </w:rPr>
            </w:pPr>
            <w:r w:rsidRPr="00BA4EA1">
              <w:rPr>
                <w:rFonts w:eastAsia="Times New Roman" w:cstheme="minorHAns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BA4EA1">
              <w:rPr>
                <w:rFonts w:eastAsia="Times New Roman" w:cstheme="minorHAnsi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BA4EA1">
              <w:rPr>
                <w:rFonts w:eastAsia="Times New Roman" w:cstheme="minorHAnsi"/>
                <w:bCs/>
                <w:i/>
                <w:lang w:eastAsia="ar-SA"/>
              </w:rPr>
              <w:t xml:space="preserve"> </w:t>
            </w:r>
          </w:p>
        </w:tc>
      </w:tr>
      <w:tr w:rsidR="00BA4EA1" w:rsidRPr="00BA4EA1" w14:paraId="3FD178EB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664F" w14:textId="77777777" w:rsidR="00BA4EA1" w:rsidRPr="00BA4EA1" w:rsidRDefault="00BA4EA1" w:rsidP="00461DEE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C43C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>Cena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AFBFA" w14:textId="77777777" w:rsidR="00BA4EA1" w:rsidRPr="00BA4EA1" w:rsidRDefault="00BA4EA1" w:rsidP="00461DEE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right="350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60%</w:t>
            </w:r>
          </w:p>
        </w:tc>
      </w:tr>
      <w:tr w:rsidR="00BA4EA1" w:rsidRPr="00BA4EA1" w14:paraId="51CECF76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93B4" w14:textId="77777777" w:rsidR="00BA4EA1" w:rsidRPr="00BA4EA1" w:rsidRDefault="00BA4EA1" w:rsidP="00461DEE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lastRenderedPageBreak/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5367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-11" w:firstLine="11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 xml:space="preserve">Termin rozpatrzenia reklamacji </w:t>
            </w:r>
            <w:r w:rsidRPr="00BA4EA1">
              <w:rPr>
                <w:rFonts w:eastAsia="Times New Roman" w:cstheme="minorHAnsi"/>
                <w:i/>
                <w:lang w:eastAsia="ar-SA"/>
              </w:rPr>
              <w:t>(nie może być krótszy niż 7 dni roboczych i dłuższy niż 14 dni roboczych)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8FA7" w14:textId="77777777" w:rsidR="00BA4EA1" w:rsidRPr="00BA4EA1" w:rsidRDefault="00BA4EA1" w:rsidP="00461DEE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40%</w:t>
            </w:r>
          </w:p>
        </w:tc>
      </w:tr>
      <w:tr w:rsidR="00BA4EA1" w:rsidRPr="00BA4EA1" w14:paraId="1C9ADBE8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F9BAE3" w14:textId="77777777" w:rsidR="00BA4EA1" w:rsidRPr="00BA4EA1" w:rsidRDefault="00BA4EA1" w:rsidP="00461DEE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8341D9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20231" w14:textId="77777777" w:rsidR="00BA4EA1" w:rsidRPr="00BA4EA1" w:rsidRDefault="00BA4EA1" w:rsidP="00461DEE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100%</w:t>
            </w:r>
          </w:p>
        </w:tc>
      </w:tr>
    </w:tbl>
    <w:p w14:paraId="7BF31F68" w14:textId="77777777" w:rsidR="00BA4EA1" w:rsidRPr="00BA4EA1" w:rsidRDefault="00BA4EA1" w:rsidP="008A39E9">
      <w:pPr>
        <w:numPr>
          <w:ilvl w:val="2"/>
          <w:numId w:val="67"/>
        </w:num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BA4EA1">
        <w:rPr>
          <w:rFonts w:eastAsia="Times New Roman" w:cstheme="minorHAnsi"/>
          <w:b/>
          <w:u w:val="single"/>
          <w:lang w:eastAsia="ar-SA"/>
        </w:rPr>
        <w:t>Kryterium nr 1 – cena (C):</w:t>
      </w:r>
    </w:p>
    <w:p w14:paraId="3908C79A" w14:textId="77777777" w:rsidR="00BA4EA1" w:rsidRPr="00BA4EA1" w:rsidRDefault="00BA4EA1" w:rsidP="00BA4EA1">
      <w:pPr>
        <w:autoSpaceDN w:val="0"/>
        <w:spacing w:before="60" w:after="60" w:line="240" w:lineRule="auto"/>
        <w:ind w:left="644"/>
        <w:jc w:val="both"/>
        <w:textAlignment w:val="baseline"/>
        <w:rPr>
          <w:rFonts w:eastAsia="Times New Roman" w:cstheme="minorHAnsi"/>
          <w:lang w:eastAsia="ar-SA"/>
        </w:rPr>
      </w:pPr>
    </w:p>
    <w:p w14:paraId="20DE2B4D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  <w:t xml:space="preserve">C </w:t>
      </w:r>
      <w:r w:rsidRPr="00BA4EA1">
        <w:rPr>
          <w:rFonts w:eastAsia="Times New Roman" w:cstheme="minorHAnsi"/>
          <w:vertAlign w:val="subscript"/>
          <w:lang w:eastAsia="ar-SA"/>
        </w:rPr>
        <w:t>min</w:t>
      </w:r>
    </w:p>
    <w:p w14:paraId="062FDFF9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val="en-US" w:eastAsia="ar-SA"/>
        </w:rPr>
      </w:pPr>
      <w:r w:rsidRPr="00BA4EA1">
        <w:rPr>
          <w:rFonts w:eastAsia="Times New Roman" w:cstheme="minorHAnsi"/>
          <w:lang w:val="en-US" w:eastAsia="ar-SA"/>
        </w:rPr>
        <w:t>C = --------------------------------- x 60 % x 100</w:t>
      </w:r>
    </w:p>
    <w:p w14:paraId="75B0135E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rPr>
          <w:rFonts w:eastAsia="Times New Roman" w:cstheme="minorHAnsi"/>
          <w:lang w:val="en-US" w:eastAsia="ar-SA"/>
        </w:rPr>
      </w:pP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i/>
          <w:lang w:val="en-US"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val="en-US" w:eastAsia="ar-SA"/>
        </w:rPr>
        <w:t>bad.  oferty</w:t>
      </w:r>
    </w:p>
    <w:p w14:paraId="7EE3FB06" w14:textId="77777777" w:rsidR="00BA4EA1" w:rsidRPr="00BA4EA1" w:rsidRDefault="00BA4EA1" w:rsidP="00BA4EA1">
      <w:pPr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val="en-US" w:eastAsia="ar-SA"/>
        </w:rPr>
      </w:pPr>
    </w:p>
    <w:p w14:paraId="0B221B61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gdzie:</w:t>
      </w:r>
      <w:r w:rsidRPr="00BA4EA1">
        <w:rPr>
          <w:rFonts w:eastAsia="Times New Roman" w:cstheme="minorHAnsi"/>
          <w:lang w:eastAsia="ar-SA"/>
        </w:rPr>
        <w:t xml:space="preserve"> </w:t>
      </w:r>
    </w:p>
    <w:p w14:paraId="36811801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eastAsia="ar-SA"/>
        </w:rPr>
        <w:t>min</w:t>
      </w:r>
      <w:r w:rsidRPr="00BA4EA1">
        <w:rPr>
          <w:rFonts w:eastAsia="Times New Roman" w:cstheme="minorHAnsi"/>
          <w:i/>
          <w:lang w:eastAsia="ar-SA"/>
        </w:rPr>
        <w:t xml:space="preserve"> - najniższa cena ogółem brutto spośród ofert nie odrzuconych </w:t>
      </w:r>
    </w:p>
    <w:p w14:paraId="1182A7F2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bad. oferty </w:t>
      </w:r>
      <w:r w:rsidRPr="00BA4EA1">
        <w:rPr>
          <w:rFonts w:eastAsia="Times New Roman" w:cstheme="minorHAnsi"/>
          <w:i/>
          <w:lang w:eastAsia="ar-SA"/>
        </w:rPr>
        <w:t xml:space="preserve"> - cena ogółem brutto ocenianej oferty </w:t>
      </w:r>
    </w:p>
    <w:p w14:paraId="5C71B0A0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1091CF6E" w14:textId="77777777" w:rsidR="00BA4EA1" w:rsidRPr="00BA4EA1" w:rsidRDefault="00BA4EA1" w:rsidP="008A39E9">
      <w:pPr>
        <w:numPr>
          <w:ilvl w:val="2"/>
          <w:numId w:val="67"/>
        </w:numPr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Kryterium nr 2 – Termin rozpatrzenia reklamacji (TRR)</w:t>
      </w:r>
    </w:p>
    <w:p w14:paraId="44CF789E" w14:textId="77777777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bCs/>
          <w:i/>
          <w:lang w:eastAsia="ar-SA"/>
        </w:rPr>
      </w:pPr>
      <w:r w:rsidRPr="00BA4EA1">
        <w:rPr>
          <w:rFonts w:eastAsia="Times New Roman" w:cstheme="minorHAnsi"/>
          <w:bCs/>
          <w:i/>
          <w:lang w:eastAsia="ar-SA"/>
        </w:rPr>
        <w:t>Termin rozpatrzenia reklamacji nie może być krótszy niż 7 dni roboczych i dłuższy niż 14 dni roboczych od daty otrzymania jej od Zamawiającego faksem lub drogą elektroniczną</w:t>
      </w:r>
    </w:p>
    <w:p w14:paraId="66530E14" w14:textId="77777777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</w:p>
    <w:p w14:paraId="1B4FF673" w14:textId="0158905B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lang w:eastAsia="ar-SA"/>
        </w:rPr>
        <w:t xml:space="preserve">                                                           </w:t>
      </w:r>
      <w:r w:rsidRPr="00BA4EA1">
        <w:rPr>
          <w:rFonts w:eastAsia="Times New Roman" w:cstheme="minorHAnsi"/>
          <w:i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tab/>
      </w: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min.   </w:t>
      </w:r>
      <w:r w:rsidRPr="00BA4EA1">
        <w:rPr>
          <w:rFonts w:eastAsia="Times New Roman" w:cstheme="minorHAnsi"/>
          <w:i/>
          <w:lang w:eastAsia="ar-SA"/>
        </w:rPr>
        <w:t>(liczba dni)</w:t>
      </w:r>
      <w:r w:rsidRPr="00BA4EA1">
        <w:rPr>
          <w:rFonts w:eastAsia="Times New Roman" w:cstheme="minorHAnsi"/>
          <w:lang w:eastAsia="ar-SA"/>
        </w:rPr>
        <w:t xml:space="preserve">  </w:t>
      </w:r>
    </w:p>
    <w:p w14:paraId="65AE63CE" w14:textId="3BDCD820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>TR</w:t>
      </w:r>
      <w:r w:rsidR="001965E0">
        <w:rPr>
          <w:rFonts w:eastAsia="Times New Roman" w:cstheme="minorHAnsi"/>
          <w:lang w:eastAsia="ar-SA"/>
        </w:rPr>
        <w:t>R</w:t>
      </w:r>
      <w:r w:rsidRPr="00BA4EA1">
        <w:rPr>
          <w:rFonts w:eastAsia="Times New Roman" w:cstheme="minorHAnsi"/>
          <w:lang w:eastAsia="ar-SA"/>
        </w:rPr>
        <w:t xml:space="preserve"> = ---------------------------------x 40 % x 100</w:t>
      </w:r>
    </w:p>
    <w:p w14:paraId="6E37C15B" w14:textId="3DA69CDE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  <w:t xml:space="preserve">                                       </w:t>
      </w: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oferty bad. </w:t>
      </w:r>
      <w:r w:rsidRPr="00BA4EA1">
        <w:rPr>
          <w:rFonts w:eastAsia="Times New Roman" w:cstheme="minorHAnsi"/>
          <w:i/>
          <w:lang w:eastAsia="ar-SA"/>
        </w:rPr>
        <w:t xml:space="preserve"> (liczba dni)</w:t>
      </w:r>
    </w:p>
    <w:p w14:paraId="6C01B2FF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gdzie:</w:t>
      </w:r>
      <w:r w:rsidRPr="00BA4EA1">
        <w:rPr>
          <w:rFonts w:eastAsia="Times New Roman" w:cstheme="minorHAnsi"/>
          <w:lang w:eastAsia="ar-SA"/>
        </w:rPr>
        <w:t xml:space="preserve"> </w:t>
      </w:r>
    </w:p>
    <w:p w14:paraId="183CD30E" w14:textId="225C2303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>min</w:t>
      </w:r>
      <w:r w:rsidRPr="00BA4EA1">
        <w:rPr>
          <w:rFonts w:eastAsia="Times New Roman" w:cstheme="minorHAnsi"/>
          <w:i/>
          <w:lang w:eastAsia="ar-SA"/>
        </w:rPr>
        <w:t xml:space="preserve"> – najkrótszy oferowany termin rozpatrzenia reklamacji spośród ofert nie odrzuconych </w:t>
      </w:r>
    </w:p>
    <w:p w14:paraId="707981A5" w14:textId="43B7E655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bad. oferty </w:t>
      </w:r>
      <w:r w:rsidRPr="00BA4EA1">
        <w:rPr>
          <w:rFonts w:eastAsia="Times New Roman" w:cstheme="minorHAnsi"/>
          <w:i/>
          <w:lang w:eastAsia="ar-SA"/>
        </w:rPr>
        <w:t xml:space="preserve"> –  termin rozpatrzenia reklamacji ocenianej oferty,</w:t>
      </w:r>
    </w:p>
    <w:p w14:paraId="006F94AD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 1 % = 1 pkt</w:t>
      </w:r>
    </w:p>
    <w:p w14:paraId="53A75C88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eastAsia="ar-SA"/>
        </w:rPr>
      </w:pPr>
    </w:p>
    <w:p w14:paraId="5695A346" w14:textId="77777777" w:rsidR="00BA4EA1" w:rsidRPr="00BA4EA1" w:rsidRDefault="00BA4EA1" w:rsidP="00BA4EA1">
      <w:pPr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b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Ostateczna ocena oferty w pakiecie będzie wyliczana według wzoru:</w:t>
      </w:r>
    </w:p>
    <w:p w14:paraId="45A59FE0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center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O = C + TRR</w:t>
      </w:r>
    </w:p>
    <w:p w14:paraId="7DF34058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gdzie:</w:t>
      </w:r>
    </w:p>
    <w:p w14:paraId="77F8665A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O – ostateczna ocena oferty, </w:t>
      </w:r>
    </w:p>
    <w:p w14:paraId="0F7B8A9A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C – wartość punktowa uzyskana przez badaną ofertę za kryterium cena,</w:t>
      </w:r>
    </w:p>
    <w:p w14:paraId="1180EBD2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TRR </w:t>
      </w:r>
      <w:r w:rsidRPr="00BA4EA1">
        <w:rPr>
          <w:rFonts w:eastAsia="Times New Roman" w:cstheme="minorHAnsi"/>
          <w:b/>
          <w:i/>
          <w:lang w:eastAsia="ar-SA"/>
        </w:rPr>
        <w:t>-</w:t>
      </w:r>
      <w:r w:rsidRPr="00BA4EA1">
        <w:rPr>
          <w:rFonts w:eastAsia="Times New Roman" w:cstheme="minorHAnsi"/>
          <w:i/>
          <w:lang w:eastAsia="ar-SA"/>
        </w:rPr>
        <w:t xml:space="preserve"> wartość punktowa uzyskana przez badaną ofertę za kryterium termin rozpatrzenia reklamacji oferowanych produktów,</w:t>
      </w:r>
    </w:p>
    <w:p w14:paraId="19E3A1C5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14:paraId="4CC1CB2C" w14:textId="48572536" w:rsidR="00BA4EA1" w:rsidRPr="00BA4EA1" w:rsidRDefault="00BA4EA1" w:rsidP="008A39E9">
      <w:pPr>
        <w:numPr>
          <w:ilvl w:val="0"/>
          <w:numId w:val="66"/>
        </w:numPr>
        <w:suppressAutoHyphens/>
        <w:autoSpaceDN w:val="0"/>
        <w:spacing w:after="0"/>
        <w:ind w:left="426"/>
        <w:jc w:val="both"/>
        <w:textAlignment w:val="baseline"/>
        <w:rPr>
          <w:rFonts w:eastAsia="Times New Roman" w:cstheme="minorHAnsi"/>
          <w:lang w:eastAsia="ar-SA"/>
        </w:rPr>
      </w:pPr>
      <w:r w:rsidRPr="00BA4EA1">
        <w:rPr>
          <w:rFonts w:eastAsia="Calibri" w:cstheme="minorHAnsi"/>
          <w:u w:val="single"/>
        </w:rPr>
        <w:t xml:space="preserve">W przypadku nie podania w ofercie terminu rozpatrzenia reklamacji, podania terminu rozpatrzenia reklamacji krótszego niż 7 dni roboczych i dłuższego niż 14 dni roboczych - </w:t>
      </w:r>
      <w:r w:rsidR="004E7884" w:rsidRPr="004E7884">
        <w:rPr>
          <w:rFonts w:eastAsia="Calibri" w:cstheme="minorHAnsi"/>
          <w:u w:val="single"/>
        </w:rPr>
        <w:t>oferta zostanie uznana za niezgodną z warunkami zamówienia i zostanie odrzucona na podstaw</w:t>
      </w:r>
      <w:r w:rsidR="004E7884">
        <w:rPr>
          <w:rFonts w:eastAsia="Calibri" w:cstheme="minorHAnsi"/>
          <w:u w:val="single"/>
        </w:rPr>
        <w:t>ie art. 226 ust. 1 pkt. 5) uPzp</w:t>
      </w:r>
      <w:r w:rsidRPr="00BA4EA1">
        <w:rPr>
          <w:rFonts w:eastAsia="Calibri" w:cstheme="minorHAnsi"/>
          <w:u w:val="single"/>
        </w:rPr>
        <w:t>.</w:t>
      </w:r>
    </w:p>
    <w:p w14:paraId="200DB8B9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</w:t>
      </w:r>
      <w:r w:rsidRPr="00252DA3">
        <w:rPr>
          <w:rFonts w:ascii="Calibri" w:eastAsia="Calibri" w:hAnsi="Calibri" w:cs="Calibri"/>
          <w:color w:val="000000"/>
        </w:rPr>
        <w:lastRenderedPageBreak/>
        <w:t xml:space="preserve">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</w:t>
      </w:r>
      <w:r w:rsidRPr="00252DA3">
        <w:rPr>
          <w:rFonts w:ascii="Calibri" w:eastAsia="Calibri" w:hAnsi="Calibri" w:cs="Calibri"/>
          <w:color w:val="000000"/>
        </w:rPr>
        <w:lastRenderedPageBreak/>
        <w:t xml:space="preserve">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57733DDC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892535">
        <w:rPr>
          <w:rFonts w:ascii="Calibri" w:eastAsia="Calibri" w:hAnsi="Calibri" w:cs="Calibri"/>
          <w:b/>
          <w:color w:val="000000"/>
        </w:rPr>
        <w:t>44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posiada Pani/Pan:</w:t>
      </w:r>
    </w:p>
    <w:p w14:paraId="357BE6FB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706EEDB5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892535">
        <w:rPr>
          <w:rFonts w:ascii="Calibri" w:eastAsia="Times New Roman" w:hAnsi="Calibri" w:cs="Calibri"/>
          <w:i/>
          <w:sz w:val="20"/>
          <w:szCs w:val="20"/>
          <w:lang w:eastAsia="ar-SA"/>
        </w:rPr>
        <w:t>em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  <w:r w:rsidR="00465D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14:paraId="37D7C078" w14:textId="484AC90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lastRenderedPageBreak/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36DBD1C0" w:rsidR="00A114FA" w:rsidRPr="00252DA3" w:rsidRDefault="00462BA1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ałącznik nr 5 </w:t>
      </w:r>
      <w:r w:rsidR="00461DEE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– 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oświadczenie sankcje</w:t>
      </w:r>
    </w:p>
    <w:p w14:paraId="7B63D6F6" w14:textId="453D79BA" w:rsidR="00462BA1" w:rsidRPr="00252DA3" w:rsidRDefault="00462BA1" w:rsidP="00462BA1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6 – opis przedmiotu zamówienia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1252C2" w:rsidRDefault="001252C2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1252C2" w:rsidRDefault="0012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69C73000" w:rsidR="001252C2" w:rsidRPr="00252DA3" w:rsidRDefault="001252C2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Szp-241/ZP-044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1A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15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1A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22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1252C2" w:rsidRDefault="001252C2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1252C2" w:rsidRDefault="0012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41E2EB2"/>
    <w:multiLevelType w:val="hybridMultilevel"/>
    <w:tmpl w:val="40AEC5A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0274"/>
    <w:multiLevelType w:val="multilevel"/>
    <w:tmpl w:val="A41A2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D76233"/>
    <w:multiLevelType w:val="multilevel"/>
    <w:tmpl w:val="F2146D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91988"/>
    <w:multiLevelType w:val="multilevel"/>
    <w:tmpl w:val="9A42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349158B0"/>
    <w:multiLevelType w:val="hybridMultilevel"/>
    <w:tmpl w:val="86FCD57C"/>
    <w:lvl w:ilvl="0" w:tplc="B0BA4D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5878F4"/>
    <w:multiLevelType w:val="hybridMultilevel"/>
    <w:tmpl w:val="FE3E4084"/>
    <w:lvl w:ilvl="0" w:tplc="4EBCD2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B3D2EBE"/>
    <w:multiLevelType w:val="hybridMultilevel"/>
    <w:tmpl w:val="A4749980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5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CB7E79"/>
    <w:multiLevelType w:val="hybridMultilevel"/>
    <w:tmpl w:val="3130628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E588094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306BAA"/>
    <w:multiLevelType w:val="hybridMultilevel"/>
    <w:tmpl w:val="40FC8FA2"/>
    <w:lvl w:ilvl="0" w:tplc="C3A4DCC4">
      <w:start w:val="4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2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6D3B8F"/>
    <w:multiLevelType w:val="hybridMultilevel"/>
    <w:tmpl w:val="3294BD86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43"/>
  </w:num>
  <w:num w:numId="2">
    <w:abstractNumId w:val="56"/>
  </w:num>
  <w:num w:numId="3">
    <w:abstractNumId w:val="50"/>
  </w:num>
  <w:num w:numId="4">
    <w:abstractNumId w:val="51"/>
  </w:num>
  <w:num w:numId="5">
    <w:abstractNumId w:val="2"/>
  </w:num>
  <w:num w:numId="6">
    <w:abstractNumId w:val="66"/>
  </w:num>
  <w:num w:numId="7">
    <w:abstractNumId w:val="58"/>
  </w:num>
  <w:num w:numId="8">
    <w:abstractNumId w:val="57"/>
  </w:num>
  <w:num w:numId="9">
    <w:abstractNumId w:val="62"/>
  </w:num>
  <w:num w:numId="10">
    <w:abstractNumId w:val="41"/>
  </w:num>
  <w:num w:numId="11">
    <w:abstractNumId w:val="40"/>
  </w:num>
  <w:num w:numId="12">
    <w:abstractNumId w:val="42"/>
  </w:num>
  <w:num w:numId="13">
    <w:abstractNumId w:val="13"/>
  </w:num>
  <w:num w:numId="14">
    <w:abstractNumId w:val="11"/>
  </w:num>
  <w:num w:numId="15">
    <w:abstractNumId w:val="15"/>
  </w:num>
  <w:num w:numId="16">
    <w:abstractNumId w:val="44"/>
  </w:num>
  <w:num w:numId="17">
    <w:abstractNumId w:val="55"/>
  </w:num>
  <w:num w:numId="18">
    <w:abstractNumId w:val="65"/>
  </w:num>
  <w:num w:numId="19">
    <w:abstractNumId w:val="45"/>
  </w:num>
  <w:num w:numId="20">
    <w:abstractNumId w:val="59"/>
  </w:num>
  <w:num w:numId="21">
    <w:abstractNumId w:val="4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8"/>
  </w:num>
  <w:num w:numId="30">
    <w:abstractNumId w:val="54"/>
  </w:num>
  <w:num w:numId="31">
    <w:abstractNumId w:val="22"/>
  </w:num>
  <w:num w:numId="32">
    <w:abstractNumId w:val="46"/>
  </w:num>
  <w:num w:numId="33">
    <w:abstractNumId w:val="20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"/>
  </w:num>
  <w:num w:numId="38">
    <w:abstractNumId w:val="24"/>
  </w:num>
  <w:num w:numId="39">
    <w:abstractNumId w:val="53"/>
  </w:num>
  <w:num w:numId="40">
    <w:abstractNumId w:val="68"/>
  </w:num>
  <w:num w:numId="41">
    <w:abstractNumId w:val="30"/>
  </w:num>
  <w:num w:numId="42">
    <w:abstractNumId w:val="28"/>
  </w:num>
  <w:num w:numId="43">
    <w:abstractNumId w:val="71"/>
  </w:num>
  <w:num w:numId="44">
    <w:abstractNumId w:val="60"/>
  </w:num>
  <w:num w:numId="45">
    <w:abstractNumId w:val="72"/>
  </w:num>
  <w:num w:numId="46">
    <w:abstractNumId w:val="35"/>
  </w:num>
  <w:num w:numId="47">
    <w:abstractNumId w:val="9"/>
  </w:num>
  <w:num w:numId="48">
    <w:abstractNumId w:val="3"/>
  </w:num>
  <w:num w:numId="49">
    <w:abstractNumId w:val="10"/>
  </w:num>
  <w:num w:numId="50">
    <w:abstractNumId w:val="29"/>
  </w:num>
  <w:num w:numId="51">
    <w:abstractNumId w:val="52"/>
  </w:num>
  <w:num w:numId="52">
    <w:abstractNumId w:val="19"/>
  </w:num>
  <w:num w:numId="53">
    <w:abstractNumId w:val="49"/>
  </w:num>
  <w:num w:numId="54">
    <w:abstractNumId w:val="18"/>
  </w:num>
  <w:num w:numId="55">
    <w:abstractNumId w:val="67"/>
  </w:num>
  <w:num w:numId="56">
    <w:abstractNumId w:val="34"/>
  </w:num>
  <w:num w:numId="57">
    <w:abstractNumId w:val="63"/>
  </w:num>
  <w:num w:numId="58">
    <w:abstractNumId w:val="14"/>
  </w:num>
  <w:num w:numId="59">
    <w:abstractNumId w:val="5"/>
  </w:num>
  <w:num w:numId="60">
    <w:abstractNumId w:val="27"/>
  </w:num>
  <w:num w:numId="61">
    <w:abstractNumId w:val="25"/>
  </w:num>
  <w:num w:numId="62">
    <w:abstractNumId w:val="70"/>
  </w:num>
  <w:num w:numId="63">
    <w:abstractNumId w:val="4"/>
  </w:num>
  <w:num w:numId="64">
    <w:abstractNumId w:val="73"/>
  </w:num>
  <w:num w:numId="65">
    <w:abstractNumId w:val="0"/>
  </w:num>
  <w:num w:numId="66">
    <w:abstractNumId w:val="12"/>
  </w:num>
  <w:num w:numId="67">
    <w:abstractNumId w:val="26"/>
  </w:num>
  <w:num w:numId="68">
    <w:abstractNumId w:val="36"/>
  </w:num>
  <w:num w:numId="69">
    <w:abstractNumId w:val="69"/>
  </w:num>
  <w:num w:numId="70">
    <w:abstractNumId w:val="39"/>
  </w:num>
  <w:num w:numId="71">
    <w:abstractNumId w:val="7"/>
  </w:num>
  <w:num w:numId="72">
    <w:abstractNumId w:val="21"/>
  </w:num>
  <w:num w:numId="73">
    <w:abstractNumId w:val="16"/>
  </w:num>
  <w:num w:numId="74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4686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171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52C2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965E0"/>
    <w:rsid w:val="001A06E4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046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1DEE"/>
    <w:rsid w:val="0046233A"/>
    <w:rsid w:val="00462BA1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E7884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4330"/>
    <w:rsid w:val="00524832"/>
    <w:rsid w:val="00524BB2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A3D94"/>
    <w:rsid w:val="005C0C0E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1FDC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20E5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1419"/>
    <w:rsid w:val="0071218D"/>
    <w:rsid w:val="00713B5E"/>
    <w:rsid w:val="00715A98"/>
    <w:rsid w:val="00716416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96E4B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1A18"/>
    <w:rsid w:val="00852A4A"/>
    <w:rsid w:val="00854A06"/>
    <w:rsid w:val="0086570D"/>
    <w:rsid w:val="00871D79"/>
    <w:rsid w:val="008814C6"/>
    <w:rsid w:val="00891286"/>
    <w:rsid w:val="00892535"/>
    <w:rsid w:val="008A00F6"/>
    <w:rsid w:val="008A0F6A"/>
    <w:rsid w:val="008A28DE"/>
    <w:rsid w:val="008A39E9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2C6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4099"/>
    <w:rsid w:val="009E5725"/>
    <w:rsid w:val="009F0084"/>
    <w:rsid w:val="00A0082C"/>
    <w:rsid w:val="00A0642D"/>
    <w:rsid w:val="00A110DA"/>
    <w:rsid w:val="00A114FA"/>
    <w:rsid w:val="00A124E3"/>
    <w:rsid w:val="00A1417A"/>
    <w:rsid w:val="00A1420B"/>
    <w:rsid w:val="00A16E58"/>
    <w:rsid w:val="00A2384B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45CB5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4EA1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E7A29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6DF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A0973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4759C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180A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20E3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19D8"/>
    <w:rsid w:val="00EF3654"/>
    <w:rsid w:val="00F0415C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52AFB3-F828-4270-A948-F3A31B7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10328</Words>
  <Characters>61973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4</cp:revision>
  <cp:lastPrinted>2023-06-14T06:01:00Z</cp:lastPrinted>
  <dcterms:created xsi:type="dcterms:W3CDTF">2023-07-12T08:43:00Z</dcterms:created>
  <dcterms:modified xsi:type="dcterms:W3CDTF">2023-07-12T08:56:00Z</dcterms:modified>
</cp:coreProperties>
</file>