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6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 i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usługi,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>usługi oraz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usługi 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218</Words>
  <Characters>1523</Characters>
  <CharactersWithSpaces>1722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2021-12-16T10:56:08Z</dcterms:modified>
  <cp:revision>2</cp:revision>
  <dc:subject/>
  <dc:title/>
</cp:coreProperties>
</file>