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proofErr w:type="spellStart"/>
      <w:r w:rsidR="00F85078">
        <w:rPr>
          <w:sz w:val="20"/>
          <w:szCs w:val="20"/>
        </w:rPr>
        <w:t>pn</w:t>
      </w:r>
      <w:proofErr w:type="spellEnd"/>
      <w:r w:rsidR="00F85078">
        <w:rPr>
          <w:sz w:val="20"/>
          <w:szCs w:val="20"/>
        </w:rPr>
        <w:t>:</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310483FC" w14:textId="77777777" w:rsidR="00460F7B" w:rsidRPr="00460F7B" w:rsidRDefault="00460F7B" w:rsidP="00460F7B">
      <w:pPr>
        <w:pStyle w:val="Default"/>
        <w:jc w:val="center"/>
        <w:rPr>
          <w:b/>
          <w:bCs/>
          <w:color w:val="auto"/>
          <w:sz w:val="36"/>
          <w:szCs w:val="36"/>
        </w:rPr>
      </w:pPr>
      <w:bookmarkStart w:id="0" w:name="_Hlk120870490"/>
      <w:r w:rsidRPr="00460F7B">
        <w:rPr>
          <w:b/>
          <w:bCs/>
          <w:color w:val="auto"/>
          <w:sz w:val="36"/>
          <w:szCs w:val="36"/>
        </w:rPr>
        <w:t xml:space="preserve">„Rozbiórka i budowa przepustu w </w:t>
      </w:r>
      <w:proofErr w:type="spellStart"/>
      <w:r w:rsidRPr="00460F7B">
        <w:rPr>
          <w:b/>
          <w:bCs/>
          <w:color w:val="auto"/>
          <w:sz w:val="36"/>
          <w:szCs w:val="36"/>
        </w:rPr>
        <w:t>Pudlikajmach</w:t>
      </w:r>
      <w:proofErr w:type="spellEnd"/>
      <w:r w:rsidRPr="00460F7B">
        <w:rPr>
          <w:b/>
          <w:bCs/>
          <w:color w:val="auto"/>
          <w:sz w:val="36"/>
          <w:szCs w:val="36"/>
        </w:rPr>
        <w:t xml:space="preserve"> ”</w:t>
      </w:r>
    </w:p>
    <w:bookmarkEnd w:id="0"/>
    <w:p w14:paraId="0BF65A28" w14:textId="1E0E98B1" w:rsidR="002D63C5" w:rsidRPr="00460F7B" w:rsidRDefault="002D63C5" w:rsidP="00460F7B">
      <w:pPr>
        <w:pStyle w:val="Default"/>
        <w:jc w:val="center"/>
        <w:rPr>
          <w:b/>
          <w:bCs/>
          <w:sz w:val="48"/>
          <w:szCs w:val="48"/>
        </w:rPr>
      </w:pPr>
    </w:p>
    <w:p w14:paraId="00000010" w14:textId="5500C832" w:rsidR="0085776F" w:rsidRDefault="0085776F">
      <w:pPr>
        <w:jc w:val="center"/>
        <w:rPr>
          <w:sz w:val="16"/>
          <w:szCs w:val="16"/>
        </w:rPr>
      </w:pPr>
    </w:p>
    <w:p w14:paraId="7B4FD92F" w14:textId="77777777" w:rsidR="002D63C5" w:rsidRDefault="002D63C5">
      <w:pPr>
        <w:jc w:val="center"/>
      </w:pPr>
    </w:p>
    <w:p w14:paraId="00000011" w14:textId="6C91DC87" w:rsidR="0085776F" w:rsidRPr="00825B32" w:rsidRDefault="00F85078">
      <w:pPr>
        <w:jc w:val="center"/>
        <w:rPr>
          <w:b/>
        </w:rPr>
      </w:pPr>
      <w:r w:rsidRPr="00825B32">
        <w:t xml:space="preserve">Nr postępowania: </w:t>
      </w:r>
      <w:r w:rsidR="003328BA" w:rsidRPr="0070013F">
        <w:t>RIZ.271.1.</w:t>
      </w:r>
      <w:r w:rsidR="00460F7B">
        <w:t>10</w:t>
      </w:r>
      <w:r w:rsidR="002D63C5">
        <w:t>.2024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1" w14:textId="77777777" w:rsidR="0085776F" w:rsidRPr="00825B32" w:rsidRDefault="0085776F">
      <w:pPr>
        <w:jc w:val="center"/>
      </w:pPr>
    </w:p>
    <w:p w14:paraId="00000023" w14:textId="77777777" w:rsidR="0085776F" w:rsidRPr="00825B32" w:rsidRDefault="0085776F">
      <w:pPr>
        <w:jc w:val="center"/>
      </w:pPr>
    </w:p>
    <w:p w14:paraId="00000024" w14:textId="77777777" w:rsidR="0085776F" w:rsidRPr="00825B32" w:rsidRDefault="0085776F"/>
    <w:p w14:paraId="10247F0F" w14:textId="77777777" w:rsidR="00EB7F2A" w:rsidRPr="00825B32" w:rsidRDefault="00EB7F2A"/>
    <w:p w14:paraId="14E82C90" w14:textId="77777777" w:rsidR="002D63C5" w:rsidRPr="00825B32" w:rsidRDefault="002D63C5"/>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74394321" w:rsidR="0085776F" w:rsidRPr="00825B32" w:rsidRDefault="00460F7B">
      <w:pPr>
        <w:jc w:val="center"/>
        <w:rPr>
          <w:b/>
        </w:rPr>
      </w:pPr>
      <w:r>
        <w:rPr>
          <w:b/>
        </w:rPr>
        <w:t>21.03</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2C5A0003"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447C4D">
            <w:rPr>
              <w:noProof/>
            </w:rPr>
            <w:t>3</w:t>
          </w:r>
          <w:r>
            <w:rPr>
              <w:noProof/>
            </w:rPr>
            <w:fldChar w:fldCharType="end"/>
          </w:r>
        </w:p>
        <w:p w14:paraId="0000002D" w14:textId="27E3D297"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447C4D">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sidRPr="003328BA">
        <w:rPr>
          <w:sz w:val="20"/>
          <w:szCs w:val="20"/>
        </w:rPr>
        <w:t>późn</w:t>
      </w:r>
      <w:proofErr w:type="spellEnd"/>
      <w:r w:rsidRPr="003328BA">
        <w:rPr>
          <w:sz w:val="20"/>
          <w:szCs w:val="20"/>
        </w:rPr>
        <w:t xml:space="preserve">.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5D470CD8" w:rsidR="00357E95" w:rsidRDefault="00357E95" w:rsidP="00460F7B">
      <w:pPr>
        <w:pStyle w:val="Akapitzlist"/>
        <w:numPr>
          <w:ilvl w:val="0"/>
          <w:numId w:val="36"/>
        </w:numPr>
        <w:autoSpaceDE w:val="0"/>
        <w:autoSpaceDN w:val="0"/>
        <w:adjustRightInd w:val="0"/>
        <w:spacing w:after="128" w:line="240" w:lineRule="auto"/>
        <w:rPr>
          <w:sz w:val="20"/>
          <w:szCs w:val="20"/>
          <w:lang w:val="pl-PL"/>
        </w:rPr>
      </w:pPr>
      <w:r w:rsidRPr="002F7D7B">
        <w:rPr>
          <w:sz w:val="20"/>
          <w:szCs w:val="20"/>
          <w:lang w:val="pl-PL"/>
        </w:rPr>
        <w:lastRenderedPageBreak/>
        <w:t xml:space="preserve">roboty ziemne, </w:t>
      </w:r>
    </w:p>
    <w:p w14:paraId="3967C6EC" w14:textId="165563B3" w:rsidR="00460F7B" w:rsidRPr="002F7D7B" w:rsidRDefault="00460F7B" w:rsidP="00460F7B">
      <w:pPr>
        <w:pStyle w:val="Akapitzlist"/>
        <w:numPr>
          <w:ilvl w:val="0"/>
          <w:numId w:val="36"/>
        </w:numPr>
        <w:autoSpaceDE w:val="0"/>
        <w:autoSpaceDN w:val="0"/>
        <w:adjustRightInd w:val="0"/>
        <w:spacing w:after="128" w:line="240" w:lineRule="auto"/>
        <w:rPr>
          <w:sz w:val="20"/>
          <w:szCs w:val="20"/>
          <w:lang w:val="pl-PL"/>
        </w:rPr>
      </w:pPr>
      <w:r>
        <w:rPr>
          <w:sz w:val="20"/>
          <w:szCs w:val="20"/>
          <w:lang w:val="pl-PL"/>
        </w:rPr>
        <w:t>roboty w zakresie wykonywania przepustów drogowych,</w:t>
      </w:r>
    </w:p>
    <w:p w14:paraId="440229FF" w14:textId="462E3349" w:rsidR="00357E95" w:rsidRPr="002F7D7B" w:rsidRDefault="00460F7B" w:rsidP="00357E95">
      <w:pPr>
        <w:pStyle w:val="Akapitzlist"/>
        <w:autoSpaceDE w:val="0"/>
        <w:autoSpaceDN w:val="0"/>
        <w:adjustRightInd w:val="0"/>
        <w:spacing w:after="128" w:line="240" w:lineRule="auto"/>
        <w:ind w:left="1004"/>
        <w:rPr>
          <w:sz w:val="20"/>
          <w:szCs w:val="20"/>
          <w:lang w:val="pl-PL"/>
        </w:rPr>
      </w:pPr>
      <w:r>
        <w:rPr>
          <w:sz w:val="20"/>
          <w:szCs w:val="20"/>
          <w:lang w:val="pl-PL"/>
        </w:rPr>
        <w:t>3</w:t>
      </w:r>
      <w:r w:rsidR="00357E95" w:rsidRPr="002F7D7B">
        <w:rPr>
          <w:sz w:val="20"/>
          <w:szCs w:val="20"/>
          <w:lang w:val="pl-PL"/>
        </w:rPr>
        <w:t xml:space="preserve">)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Pr="007F0A14"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3E40613D" w14:textId="4127D32B" w:rsidR="00460F7B" w:rsidRPr="00460F7B" w:rsidRDefault="00460F7B" w:rsidP="00460F7B">
      <w:pPr>
        <w:pStyle w:val="Default"/>
        <w:rPr>
          <w:color w:val="auto"/>
          <w:sz w:val="20"/>
          <w:szCs w:val="20"/>
        </w:rPr>
      </w:pPr>
      <w:r w:rsidRPr="00460F7B">
        <w:rPr>
          <w:color w:val="auto"/>
          <w:sz w:val="20"/>
          <w:szCs w:val="20"/>
        </w:rPr>
        <w:t xml:space="preserve">„Rozbiórka i budowa przepustu w </w:t>
      </w:r>
      <w:proofErr w:type="spellStart"/>
      <w:r w:rsidRPr="00460F7B">
        <w:rPr>
          <w:color w:val="auto"/>
          <w:sz w:val="20"/>
          <w:szCs w:val="20"/>
        </w:rPr>
        <w:t>Pudlikajmach</w:t>
      </w:r>
      <w:proofErr w:type="spellEnd"/>
      <w:r w:rsidRPr="00460F7B">
        <w:rPr>
          <w:color w:val="auto"/>
          <w:sz w:val="20"/>
          <w:szCs w:val="20"/>
        </w:rPr>
        <w:t xml:space="preserve"> ”</w:t>
      </w:r>
    </w:p>
    <w:p w14:paraId="2D91AAF7" w14:textId="125C55F4" w:rsidR="004C5472" w:rsidRPr="004C5472" w:rsidRDefault="004C5472" w:rsidP="004C5472">
      <w:pPr>
        <w:pStyle w:val="Default"/>
        <w:rPr>
          <w:b/>
          <w:bCs/>
          <w:sz w:val="20"/>
          <w:szCs w:val="20"/>
        </w:rPr>
      </w:pPr>
    </w:p>
    <w:p w14:paraId="742A219E" w14:textId="0E73BBA2"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4E289855" w14:textId="0BF463AA" w:rsidR="00613EC0"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rozbiórkowe (rozbiórka istniejącego przepustu),</w:t>
      </w:r>
    </w:p>
    <w:p w14:paraId="0A1C322A" w14:textId="35212D41"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(wykopy, korytowanie, zasypywanie, zagęszczanie),</w:t>
      </w:r>
    </w:p>
    <w:p w14:paraId="503BDC3A" w14:textId="57AF0C82"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podbudowy (wykonanie podbudowy zasadniczej z kruszywa łamanego, wykonanie fundamentu dla przepustu), </w:t>
      </w:r>
    </w:p>
    <w:p w14:paraId="15C8BAE4" w14:textId="33B8B1F1"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roboty konstrukcyjne (ułożenie przepustu z rury stalowej spiralnej, karbowanej), </w:t>
      </w:r>
    </w:p>
    <w:p w14:paraId="4C5C57F7" w14:textId="1FB6261C"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wykończeniowe (umocnienie skarp, rowów, profilowanie i humusowanie skarp, brukowanie),</w:t>
      </w:r>
    </w:p>
    <w:p w14:paraId="2C55D91B" w14:textId="38C117D9"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inne (wykonanie nawierzchni z płyt wielootworowych, montaż barier ochronnych, wykonanie palisady), </w:t>
      </w:r>
    </w:p>
    <w:p w14:paraId="04D011FA" w14:textId="423ADB52" w:rsidR="00265D77" w:rsidRPr="00613EC0"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5F49D64D" w14:textId="0BC7F874" w:rsidR="004C5472" w:rsidRPr="004C5472" w:rsidRDefault="00460F7B" w:rsidP="004C5472">
      <w:pPr>
        <w:autoSpaceDE w:val="0"/>
        <w:autoSpaceDN w:val="0"/>
        <w:adjustRightInd w:val="0"/>
        <w:spacing w:line="240" w:lineRule="auto"/>
        <w:ind w:left="720"/>
        <w:rPr>
          <w:sz w:val="20"/>
          <w:szCs w:val="20"/>
          <w:lang w:val="pl-PL"/>
        </w:rPr>
      </w:pPr>
      <w:bookmarkStart w:id="6" w:name="_Hlk156983435"/>
      <w:r>
        <w:rPr>
          <w:sz w:val="20"/>
          <w:szCs w:val="20"/>
          <w:lang w:val="pl-PL"/>
        </w:rPr>
        <w:t>45221111-3 Roboty budowlane w zakresie mostów drogowych</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38CE0EDF"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w:t>
      </w:r>
      <w:r w:rsidR="00EB2CA9">
        <w:rPr>
          <w:sz w:val="20"/>
          <w:szCs w:val="20"/>
        </w:rPr>
        <w:t>6</w:t>
      </w:r>
      <w:r w:rsidR="00126424">
        <w:rPr>
          <w:sz w:val="20"/>
          <w:szCs w:val="20"/>
        </w:rPr>
        <w:t>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7655FEA4"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E8252A">
        <w:rPr>
          <w:color w:val="000000"/>
          <w:sz w:val="20"/>
          <w:szCs w:val="20"/>
          <w:lang w:val="pl-PL"/>
        </w:rPr>
        <w:t>2</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47F77B6A" w:rsidR="001525A3" w:rsidRPr="00E53803" w:rsidRDefault="001525A3" w:rsidP="004223E3">
      <w:pPr>
        <w:pStyle w:val="Akapitzlist"/>
        <w:numPr>
          <w:ilvl w:val="1"/>
          <w:numId w:val="16"/>
        </w:numPr>
        <w:ind w:right="20"/>
        <w:jc w:val="both"/>
        <w:rPr>
          <w:sz w:val="20"/>
          <w:szCs w:val="20"/>
        </w:rPr>
      </w:pPr>
      <w:r w:rsidRPr="00E53803">
        <w:rPr>
          <w:sz w:val="20"/>
          <w:szCs w:val="20"/>
          <w:lang w:val="pl-PL"/>
        </w:rPr>
        <w:t>w okresie ostatnich 5 lat przed upływem terminu składania ofert, a jeżeli okres prowadzenia działalności jest krótszy - w tym okresie, wykonał należycie co najmniej 1 robotę budowlaną polegającą na budowie</w:t>
      </w:r>
      <w:r w:rsidR="006937D5">
        <w:rPr>
          <w:sz w:val="20"/>
          <w:szCs w:val="20"/>
          <w:lang w:val="pl-PL"/>
        </w:rPr>
        <w:t xml:space="preserve"> przepustu drogowego</w:t>
      </w:r>
      <w:r w:rsidR="00126424" w:rsidRPr="00E53803">
        <w:rPr>
          <w:sz w:val="20"/>
          <w:szCs w:val="20"/>
          <w:lang w:val="pl-PL"/>
        </w:rPr>
        <w:t xml:space="preserve"> </w:t>
      </w:r>
      <w:r w:rsidRPr="00E53803">
        <w:rPr>
          <w:sz w:val="20"/>
          <w:szCs w:val="20"/>
          <w:lang w:val="pl-PL"/>
        </w:rPr>
        <w:t xml:space="preserve">o wartości </w:t>
      </w:r>
      <w:r w:rsidR="006937D5">
        <w:rPr>
          <w:sz w:val="20"/>
          <w:szCs w:val="20"/>
          <w:lang w:val="pl-PL"/>
        </w:rPr>
        <w:t>2</w:t>
      </w:r>
      <w:r w:rsidR="00197347" w:rsidRPr="00E53803">
        <w:rPr>
          <w:sz w:val="20"/>
          <w:szCs w:val="20"/>
          <w:lang w:val="pl-PL"/>
        </w:rPr>
        <w:t>00</w:t>
      </w:r>
      <w:r w:rsidRPr="00E53803">
        <w:rPr>
          <w:sz w:val="20"/>
          <w:szCs w:val="20"/>
          <w:lang w:val="pl-PL"/>
        </w:rPr>
        <w:t>.000,00 zł brutto.</w:t>
      </w:r>
    </w:p>
    <w:p w14:paraId="3B7B0687" w14:textId="7E591592"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w:t>
      </w:r>
      <w:r w:rsidR="006937D5">
        <w:rPr>
          <w:color w:val="000000"/>
          <w:sz w:val="20"/>
          <w:szCs w:val="20"/>
          <w:lang w:val="pl-PL"/>
        </w:rPr>
        <w:t xml:space="preserve"> w specjalności odpowiadającej zakresowi robót zawartych w zamówieniu</w:t>
      </w:r>
      <w:r w:rsidRPr="004223E3">
        <w:rPr>
          <w:color w:val="000000"/>
          <w:sz w:val="20"/>
          <w:szCs w:val="20"/>
          <w:lang w:val="pl-PL"/>
        </w:rPr>
        <w:t xml:space="preserve">: </w:t>
      </w:r>
      <w:r w:rsidR="006937D5">
        <w:rPr>
          <w:color w:val="000000"/>
          <w:sz w:val="20"/>
          <w:szCs w:val="20"/>
          <w:lang w:val="pl-PL"/>
        </w:rPr>
        <w:t>mostowej i/lub drogowej.</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lastRenderedPageBreak/>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w:t>
      </w:r>
      <w:r w:rsidRPr="004A6B9A">
        <w:rPr>
          <w:sz w:val="20"/>
          <w:szCs w:val="20"/>
        </w:rPr>
        <w:lastRenderedPageBreak/>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58C12D2C" w:rsidR="00BD29E3" w:rsidRPr="004A6B9A" w:rsidRDefault="00BD29E3">
      <w:pPr>
        <w:pStyle w:val="Akapitzlist"/>
        <w:numPr>
          <w:ilvl w:val="0"/>
          <w:numId w:val="33"/>
        </w:numPr>
        <w:jc w:val="both"/>
        <w:rPr>
          <w:sz w:val="20"/>
          <w:szCs w:val="20"/>
        </w:rPr>
      </w:pPr>
      <w:r w:rsidRPr="004A6B9A">
        <w:rPr>
          <w:color w:val="000000"/>
          <w:sz w:val="20"/>
          <w:szCs w:val="20"/>
          <w:lang w:val="pl-PL"/>
        </w:rPr>
        <w:t xml:space="preserve">Wykaz osób skierowanych do realizacji zadania oraz dokumentów potwierdzających odpowiednie przygotowanie zawodowe kierownika budowy i kierowników odpowiednich branż wraz z zaświadczeniami o przynależności do Polskiej Izby Inżynierów Budownictwa </w:t>
      </w:r>
      <w:proofErr w:type="spellStart"/>
      <w:r w:rsidRPr="004A6B9A">
        <w:rPr>
          <w:color w:val="000000"/>
          <w:sz w:val="20"/>
          <w:szCs w:val="20"/>
          <w:lang w:val="pl-PL"/>
        </w:rPr>
        <w:t>t.j</w:t>
      </w:r>
      <w:proofErr w:type="spellEnd"/>
      <w:r w:rsidRPr="004A6B9A">
        <w:rPr>
          <w:color w:val="000000"/>
          <w:sz w:val="20"/>
          <w:szCs w:val="20"/>
          <w:lang w:val="pl-PL"/>
        </w:rPr>
        <w:t xml:space="preserve">.: branży </w:t>
      </w:r>
      <w:r w:rsidR="00E8252A">
        <w:rPr>
          <w:color w:val="000000"/>
          <w:sz w:val="20"/>
          <w:szCs w:val="20"/>
          <w:lang w:val="pl-PL"/>
        </w:rPr>
        <w:t>mostowej i/lub drogowej</w:t>
      </w:r>
      <w:r w:rsidR="00CB15CA">
        <w:rPr>
          <w:color w:val="000000"/>
          <w:sz w:val="20"/>
          <w:szCs w:val="20"/>
          <w:lang w:val="pl-PL"/>
        </w:rPr>
        <w:t xml:space="preserve"> – </w:t>
      </w:r>
      <w:r w:rsidR="00CB15CA" w:rsidRPr="00CB15CA">
        <w:rPr>
          <w:b/>
          <w:bCs/>
          <w:color w:val="000000"/>
          <w:sz w:val="20"/>
          <w:szCs w:val="20"/>
          <w:lang w:val="pl-PL"/>
        </w:rPr>
        <w:t>załącznik nr 9 do SWZ</w:t>
      </w:r>
      <w:r w:rsidR="00EB2CA9">
        <w:rPr>
          <w:b/>
          <w:bCs/>
          <w:color w:val="000000"/>
          <w:sz w:val="20"/>
          <w:szCs w:val="20"/>
          <w:lang w:val="pl-PL"/>
        </w:rPr>
        <w:t>,</w:t>
      </w:r>
    </w:p>
    <w:p w14:paraId="13857992" w14:textId="5BC4A050"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E8252A">
        <w:rPr>
          <w:color w:val="000000"/>
          <w:sz w:val="20"/>
          <w:szCs w:val="20"/>
          <w:lang w:val="pl-PL"/>
        </w:rPr>
        <w:t>2</w:t>
      </w:r>
      <w:r w:rsidRPr="004A6B9A">
        <w:rPr>
          <w:color w:val="000000"/>
          <w:sz w:val="20"/>
          <w:szCs w:val="20"/>
          <w:lang w:val="pl-PL"/>
        </w:rPr>
        <w:t>00.000,00 zł</w:t>
      </w:r>
      <w:r w:rsidR="00EB2CA9">
        <w:rPr>
          <w:color w:val="000000"/>
          <w:sz w:val="20"/>
          <w:szCs w:val="20"/>
          <w:lang w:val="pl-PL"/>
        </w:rPr>
        <w:t>.</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24394B1F" w:rsidR="0085776F" w:rsidRDefault="0079253B" w:rsidP="000D7668">
      <w:pPr>
        <w:ind w:left="720"/>
        <w:jc w:val="both"/>
        <w:rPr>
          <w:sz w:val="20"/>
          <w:szCs w:val="20"/>
        </w:rPr>
      </w:pPr>
      <w:r>
        <w:rPr>
          <w:sz w:val="20"/>
          <w:szCs w:val="20"/>
        </w:rPr>
        <w:t xml:space="preserve">Klaudia </w:t>
      </w:r>
      <w:proofErr w:type="spellStart"/>
      <w:r>
        <w:rPr>
          <w:sz w:val="20"/>
          <w:szCs w:val="20"/>
        </w:rPr>
        <w:t>Oleksińska</w:t>
      </w:r>
      <w:proofErr w:type="spellEnd"/>
      <w:r w:rsidR="004F7ED7">
        <w:rPr>
          <w:sz w:val="20"/>
          <w:szCs w:val="20"/>
        </w:rPr>
        <w:t xml:space="preserve"> tel</w:t>
      </w:r>
      <w:r w:rsidR="004F7ED7" w:rsidRPr="00E53803">
        <w:rPr>
          <w:sz w:val="20"/>
          <w:szCs w:val="20"/>
        </w:rPr>
        <w:t xml:space="preserve">.: </w:t>
      </w:r>
      <w:r w:rsidR="004F7ED7" w:rsidRPr="00E53803">
        <w:rPr>
          <w:b/>
          <w:bCs/>
          <w:sz w:val="20"/>
          <w:szCs w:val="20"/>
        </w:rPr>
        <w:t xml:space="preserve">+48 </w:t>
      </w:r>
      <w:r w:rsidR="00877B1A" w:rsidRPr="00E53803">
        <w:rPr>
          <w:b/>
          <w:bCs/>
          <w:sz w:val="20"/>
          <w:szCs w:val="20"/>
        </w:rPr>
        <w:t>89</w:t>
      </w:r>
      <w:r w:rsidR="004F7ED7" w:rsidRPr="00E53803">
        <w:rPr>
          <w:b/>
          <w:bCs/>
          <w:sz w:val="20"/>
          <w:szCs w:val="20"/>
        </w:rPr>
        <w:t xml:space="preserve"> 76</w:t>
      </w:r>
      <w:r w:rsidR="00974F01" w:rsidRPr="00E53803">
        <w:rPr>
          <w:b/>
          <w:bCs/>
          <w:sz w:val="20"/>
          <w:szCs w:val="20"/>
        </w:rPr>
        <w:t>1</w:t>
      </w:r>
      <w:r w:rsidR="004F7ED7" w:rsidRPr="00E53803">
        <w:rPr>
          <w:b/>
          <w:bCs/>
          <w:sz w:val="20"/>
          <w:szCs w:val="20"/>
        </w:rPr>
        <w:t xml:space="preserve"> </w:t>
      </w:r>
      <w:r w:rsidRPr="00E53803">
        <w:rPr>
          <w:b/>
          <w:bCs/>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lastRenderedPageBreak/>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lastRenderedPageBreak/>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41039E45" w:rsidR="00081707" w:rsidRDefault="00E8252A">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2</w:t>
      </w:r>
      <w:r w:rsidR="00D400FA" w:rsidRPr="00081707">
        <w:rPr>
          <w:rFonts w:cstheme="minorHAnsi"/>
          <w:color w:val="000000"/>
          <w:sz w:val="20"/>
          <w:szCs w:val="20"/>
        </w:rPr>
        <w:t>.</w:t>
      </w:r>
      <w:r>
        <w:rPr>
          <w:rFonts w:cstheme="minorHAnsi"/>
          <w:color w:val="000000"/>
          <w:sz w:val="20"/>
          <w:szCs w:val="20"/>
        </w:rPr>
        <w:t>0</w:t>
      </w:r>
      <w:r w:rsidR="00D400FA" w:rsidRPr="00081707">
        <w:rPr>
          <w:rFonts w:cstheme="minorHAnsi"/>
          <w:color w:val="000000"/>
          <w:sz w:val="20"/>
          <w:szCs w:val="20"/>
        </w:rPr>
        <w:t>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dwa tysiące</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lastRenderedPageBreak/>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1FED5BD9" w:rsidR="00934D19" w:rsidRPr="00F82F02" w:rsidRDefault="00E43D83" w:rsidP="00934D19">
      <w:pPr>
        <w:pStyle w:val="Default"/>
        <w:ind w:left="720"/>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E8252A">
        <w:rPr>
          <w:b/>
          <w:bCs/>
          <w:i/>
          <w:iCs/>
          <w:color w:val="auto"/>
          <w:sz w:val="20"/>
          <w:szCs w:val="20"/>
        </w:rPr>
        <w:t>10</w:t>
      </w:r>
      <w:r w:rsidR="00934D19" w:rsidRPr="00934D19">
        <w:rPr>
          <w:b/>
          <w:bCs/>
          <w:i/>
          <w:iCs/>
          <w:color w:val="auto"/>
          <w:sz w:val="20"/>
          <w:szCs w:val="20"/>
        </w:rPr>
        <w:t>.2024</w:t>
      </w:r>
      <w:r w:rsidRPr="00934D19">
        <w:rPr>
          <w:b/>
          <w:bCs/>
          <w:i/>
          <w:iCs/>
          <w:color w:val="auto"/>
          <w:sz w:val="20"/>
          <w:szCs w:val="20"/>
        </w:rPr>
        <w:t xml:space="preserve"> </w:t>
      </w:r>
      <w:r w:rsidRPr="00934D19">
        <w:rPr>
          <w:b/>
          <w:bCs/>
          <w:i/>
          <w:iCs/>
          <w:sz w:val="20"/>
          <w:szCs w:val="20"/>
        </w:rPr>
        <w:t xml:space="preserve">– </w:t>
      </w:r>
      <w:r w:rsidR="00934D19" w:rsidRPr="00934D19">
        <w:rPr>
          <w:b/>
          <w:bCs/>
          <w:color w:val="auto"/>
          <w:sz w:val="20"/>
          <w:szCs w:val="20"/>
        </w:rPr>
        <w:t>„</w:t>
      </w:r>
      <w:r w:rsidR="00E8252A">
        <w:rPr>
          <w:b/>
          <w:bCs/>
          <w:sz w:val="20"/>
          <w:szCs w:val="20"/>
        </w:rPr>
        <w:t xml:space="preserve">Rozbiórka i budowa przepustu w </w:t>
      </w:r>
      <w:proofErr w:type="spellStart"/>
      <w:r w:rsidR="00E8252A">
        <w:rPr>
          <w:b/>
          <w:bCs/>
          <w:sz w:val="20"/>
          <w:szCs w:val="20"/>
        </w:rPr>
        <w:t>Pudlikajmach</w:t>
      </w:r>
      <w:proofErr w:type="spellEnd"/>
      <w:r w:rsidR="00934D19" w:rsidRPr="00934D19">
        <w:rPr>
          <w:b/>
          <w:bCs/>
          <w:color w:val="auto"/>
          <w:sz w:val="20"/>
          <w:szCs w:val="20"/>
        </w:rPr>
        <w:t>”</w:t>
      </w:r>
      <w:r w:rsidR="00E8252A">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color w:val="000000"/>
          <w:sz w:val="20"/>
          <w:szCs w:val="20"/>
          <w:lang w:val="pl-PL"/>
        </w:rPr>
        <w:t xml:space="preserve">Wadium wnoszone w formie poręczeń lub gwarancji musi być złożone jako </w:t>
      </w:r>
      <w:r w:rsidRPr="00E43D83">
        <w:rPr>
          <w:b/>
          <w:bCs/>
          <w:color w:val="000000"/>
          <w:sz w:val="20"/>
          <w:szCs w:val="20"/>
          <w:lang w:val="pl-PL"/>
        </w:rPr>
        <w:t xml:space="preserve">oryginał </w:t>
      </w:r>
      <w:r w:rsidRPr="00E43D83">
        <w:rPr>
          <w:color w:val="000000"/>
          <w:sz w:val="20"/>
          <w:szCs w:val="20"/>
          <w:lang w:val="pl-PL"/>
        </w:rPr>
        <w:t xml:space="preserve">gwarancji lub poręczenia </w:t>
      </w:r>
      <w:r w:rsidRPr="00E43D83">
        <w:rPr>
          <w:b/>
          <w:bCs/>
          <w:color w:val="000000"/>
          <w:sz w:val="20"/>
          <w:szCs w:val="20"/>
          <w:lang w:val="pl-PL"/>
        </w:rPr>
        <w:t xml:space="preserve">w postaci elektronicznej </w:t>
      </w:r>
      <w:r w:rsidRPr="00E43D83">
        <w:rPr>
          <w:color w:val="000000"/>
          <w:sz w:val="20"/>
          <w:szCs w:val="20"/>
          <w:lang w:val="pl-PL"/>
        </w:rPr>
        <w:t xml:space="preserve">i spełniać co najmniej poniższe wymagania: </w:t>
      </w:r>
    </w:p>
    <w:p w14:paraId="11A3A22A"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70D2FDE4"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14559EA9" w14:textId="77777777" w:rsidR="00E43D83" w:rsidRPr="00E43D83" w:rsidRDefault="00E43D83">
      <w:pPr>
        <w:pStyle w:val="Akapitzlist"/>
        <w:numPr>
          <w:ilvl w:val="0"/>
          <w:numId w:val="29"/>
        </w:numPr>
        <w:autoSpaceDE w:val="0"/>
        <w:autoSpaceDN w:val="0"/>
        <w:adjustRightInd w:val="0"/>
        <w:spacing w:line="240" w:lineRule="auto"/>
        <w:rPr>
          <w:color w:val="000000"/>
          <w:sz w:val="20"/>
          <w:szCs w:val="20"/>
          <w:lang w:val="pl-PL"/>
        </w:rPr>
      </w:pPr>
    </w:p>
    <w:p w14:paraId="00000107" w14:textId="067CA5A1" w:rsidR="0085776F" w:rsidRDefault="00F85078" w:rsidP="00E43D83">
      <w:pPr>
        <w:pStyle w:val="Nagwek2"/>
        <w:spacing w:before="240" w:after="240"/>
      </w:pPr>
      <w:r>
        <w:t>XVI</w:t>
      </w:r>
      <w:r w:rsidR="000730AD">
        <w:t>I</w:t>
      </w:r>
      <w:r>
        <w:t>. Termin związania ofertą</w:t>
      </w:r>
    </w:p>
    <w:p w14:paraId="00000108" w14:textId="39A44D0C"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E8252A">
        <w:rPr>
          <w:sz w:val="20"/>
          <w:szCs w:val="20"/>
        </w:rPr>
        <w:t>14.05</w:t>
      </w:r>
      <w:r w:rsidR="00934D19">
        <w:rPr>
          <w:sz w:val="20"/>
          <w:szCs w:val="20"/>
        </w:rPr>
        <w:t>.2024</w:t>
      </w:r>
      <w:r w:rsidR="00065154" w:rsidRPr="00A63056">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7147D512"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E8252A">
        <w:rPr>
          <w:b/>
          <w:sz w:val="20"/>
          <w:szCs w:val="20"/>
        </w:rPr>
        <w:t>15.04</w:t>
      </w:r>
      <w:r w:rsidR="00A63056" w:rsidRPr="00A63056">
        <w:rPr>
          <w:b/>
          <w:sz w:val="20"/>
          <w:szCs w:val="20"/>
        </w:rPr>
        <w:t>.202</w:t>
      </w:r>
      <w:r w:rsidR="00934D19">
        <w:rPr>
          <w:b/>
          <w:sz w:val="20"/>
          <w:szCs w:val="20"/>
        </w:rPr>
        <w:t>4</w:t>
      </w:r>
      <w:r w:rsidR="00065154" w:rsidRPr="00A63056">
        <w:rPr>
          <w:b/>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C66E64">
        <w:rPr>
          <w:sz w:val="20"/>
          <w:szCs w:val="20"/>
        </w:rPr>
        <w:t>2</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lastRenderedPageBreak/>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670A036D"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E8252A">
        <w:rPr>
          <w:b/>
          <w:bCs/>
          <w:sz w:val="20"/>
          <w:szCs w:val="20"/>
        </w:rPr>
        <w:t>15.04</w:t>
      </w:r>
      <w:r w:rsidR="00A63056" w:rsidRPr="00A63056">
        <w:rPr>
          <w:b/>
          <w:bCs/>
          <w:sz w:val="20"/>
          <w:szCs w:val="20"/>
        </w:rPr>
        <w:t>.202</w:t>
      </w:r>
      <w:r w:rsidR="00934D19">
        <w:rPr>
          <w:b/>
          <w:bCs/>
          <w:sz w:val="20"/>
          <w:szCs w:val="20"/>
        </w:rPr>
        <w:t>4</w:t>
      </w:r>
      <w:r w:rsidR="00CF72C5" w:rsidRPr="00A63056">
        <w:rPr>
          <w:b/>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C66E64">
        <w:rPr>
          <w:sz w:val="20"/>
          <w:szCs w:val="20"/>
        </w:rPr>
        <w:t>2</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lastRenderedPageBreak/>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w:t>
      </w:r>
      <w:proofErr w:type="spellStart"/>
      <w:r w:rsidRPr="003E4091">
        <w:rPr>
          <w:color w:val="000000"/>
          <w:sz w:val="18"/>
          <w:szCs w:val="18"/>
        </w:rPr>
        <w:t>t.j</w:t>
      </w:r>
      <w:proofErr w:type="spellEnd"/>
      <w:r w:rsidRPr="003E4091">
        <w:rPr>
          <w:color w:val="000000"/>
          <w:sz w:val="18"/>
          <w:szCs w:val="18"/>
        </w:rPr>
        <w:t xml:space="preserve">. 108 miesięcy i więcej otrzyma </w:t>
      </w:r>
      <w:proofErr w:type="spellStart"/>
      <w:r w:rsidRPr="003E4091">
        <w:rPr>
          <w:color w:val="000000"/>
          <w:sz w:val="18"/>
          <w:szCs w:val="18"/>
        </w:rPr>
        <w:t>Pg</w:t>
      </w:r>
      <w:proofErr w:type="spellEnd"/>
      <w:r w:rsidRPr="003E4091">
        <w:rPr>
          <w:color w:val="000000"/>
          <w:sz w:val="18"/>
          <w:szCs w:val="18"/>
        </w:rPr>
        <w:t xml:space="preserve">=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60 m-</w:t>
      </w:r>
      <w:proofErr w:type="spellStart"/>
      <w:r w:rsidRPr="003E4091">
        <w:rPr>
          <w:color w:val="000000"/>
          <w:sz w:val="18"/>
          <w:szCs w:val="18"/>
        </w:rPr>
        <w:t>cy</w:t>
      </w:r>
      <w:proofErr w:type="spellEnd"/>
      <w:r w:rsidRPr="003E4091">
        <w:rPr>
          <w:color w:val="000000"/>
          <w:sz w:val="18"/>
          <w:szCs w:val="18"/>
        </w:rPr>
        <w:t xml:space="preserve"> - otrzymają liczbę punktów PR=10 </w:t>
      </w:r>
      <w:proofErr w:type="spellStart"/>
      <w:r w:rsidRPr="003E4091">
        <w:rPr>
          <w:color w:val="000000"/>
          <w:sz w:val="18"/>
          <w:szCs w:val="18"/>
        </w:rPr>
        <w:t>pkt.x</w:t>
      </w:r>
      <w:proofErr w:type="spellEnd"/>
      <w:r w:rsidRPr="003E4091">
        <w:rPr>
          <w:color w:val="000000"/>
          <w:sz w:val="18"/>
          <w:szCs w:val="18"/>
        </w:rPr>
        <w:t xml:space="preserve">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96 m-</w:t>
      </w:r>
      <w:proofErr w:type="spellStart"/>
      <w:r w:rsidRPr="003E4091">
        <w:rPr>
          <w:color w:val="000000"/>
          <w:sz w:val="18"/>
          <w:szCs w:val="18"/>
        </w:rPr>
        <w:t>cy</w:t>
      </w:r>
      <w:proofErr w:type="spellEnd"/>
      <w:r w:rsidRPr="003E4091">
        <w:rPr>
          <w:color w:val="000000"/>
          <w:sz w:val="18"/>
          <w:szCs w:val="18"/>
        </w:rPr>
        <w:t xml:space="preserve">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 xml:space="preserve">Oferty z okresem gwarancji równym 108 miesięcy i więcej - otrzymają liczbę punktów PR 100 </w:t>
      </w:r>
      <w:proofErr w:type="spellStart"/>
      <w:r w:rsidRPr="003E4091">
        <w:rPr>
          <w:color w:val="000000"/>
          <w:sz w:val="18"/>
          <w:szCs w:val="18"/>
        </w:rPr>
        <w:t>pkt.x</w:t>
      </w:r>
      <w:proofErr w:type="spellEnd"/>
      <w:r w:rsidRPr="003E4091">
        <w:rPr>
          <w:color w:val="000000"/>
          <w:sz w:val="18"/>
          <w:szCs w:val="18"/>
        </w:rPr>
        <w:t xml:space="preserve">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W przypadku niewskazania okresu oferowanej gwarancji Zamawiający przyjmie, iż Wykonawca oferuje najkrótszy okres gwarancji tj. 5 lat (60 m-</w:t>
      </w:r>
      <w:proofErr w:type="spellStart"/>
      <w:r w:rsidRPr="003E4091">
        <w:rPr>
          <w:color w:val="000000"/>
          <w:sz w:val="20"/>
          <w:szCs w:val="20"/>
        </w:rPr>
        <w:t>cy</w:t>
      </w:r>
      <w:proofErr w:type="spellEnd"/>
      <w:r w:rsidRPr="003E4091">
        <w:rPr>
          <w:color w:val="000000"/>
          <w:sz w:val="20"/>
          <w:szCs w:val="20"/>
        </w:rPr>
        <w:t xml:space="preserve">).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xml:space="preserve">+ </w:t>
      </w:r>
      <w:proofErr w:type="spellStart"/>
      <w:r w:rsidRPr="003E4091">
        <w:rPr>
          <w:b/>
          <w:bCs/>
          <w:color w:val="000000"/>
          <w:sz w:val="20"/>
          <w:szCs w:val="20"/>
        </w:rPr>
        <w:t>G</w:t>
      </w:r>
      <w:r w:rsidRPr="003E4091">
        <w:rPr>
          <w:b/>
          <w:bCs/>
          <w:color w:val="000000"/>
          <w:sz w:val="13"/>
          <w:szCs w:val="13"/>
        </w:rPr>
        <w:t>p</w:t>
      </w:r>
      <w:proofErr w:type="spellEnd"/>
      <w:r w:rsidRPr="003E4091">
        <w:rPr>
          <w:b/>
          <w:bCs/>
          <w:color w:val="000000"/>
          <w:sz w:val="13"/>
          <w:szCs w:val="13"/>
        </w:rPr>
        <w:t xml:space="preserve">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proofErr w:type="spellStart"/>
      <w:r w:rsidRPr="003E4091">
        <w:rPr>
          <w:color w:val="000000"/>
          <w:sz w:val="20"/>
          <w:szCs w:val="20"/>
        </w:rPr>
        <w:t>Gp</w:t>
      </w:r>
      <w:proofErr w:type="spellEnd"/>
      <w:r w:rsidRPr="003E4091">
        <w:rPr>
          <w:color w:val="000000"/>
          <w:sz w:val="20"/>
          <w:szCs w:val="20"/>
        </w:rPr>
        <w:t xml:space="preserve">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lastRenderedPageBreak/>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lastRenderedPageBreak/>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1BD874F7" w14:textId="77777777" w:rsidR="00447C4D" w:rsidRDefault="00447C4D" w:rsidP="00447C4D">
      <w:pPr>
        <w:numPr>
          <w:ilvl w:val="0"/>
          <w:numId w:val="19"/>
        </w:numPr>
        <w:rPr>
          <w:sz w:val="20"/>
          <w:szCs w:val="20"/>
        </w:rPr>
      </w:pPr>
      <w:r>
        <w:rPr>
          <w:sz w:val="20"/>
          <w:szCs w:val="20"/>
        </w:rPr>
        <w:t>Załącznik nr 9 – wykaz osób skierowanych do realizacji zadania</w:t>
      </w:r>
    </w:p>
    <w:p w14:paraId="52B2439B" w14:textId="77777777" w:rsidR="00447C4D" w:rsidRDefault="00447C4D" w:rsidP="00447C4D">
      <w:pPr>
        <w:ind w:left="720"/>
        <w:rPr>
          <w:sz w:val="20"/>
          <w:szCs w:val="20"/>
        </w:rPr>
      </w:pPr>
    </w:p>
    <w:p w14:paraId="19492680" w14:textId="2656ACD5" w:rsidR="002556D1" w:rsidRDefault="002556D1">
      <w:pPr>
        <w:spacing w:line="320" w:lineRule="auto"/>
        <w:jc w:val="both"/>
      </w:pPr>
    </w:p>
    <w:sectPr w:rsidR="002556D1" w:rsidSect="00AB3689">
      <w:headerReference w:type="default" r:id="rId36"/>
      <w:footerReference w:type="default" r:id="rId37"/>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F08E" w14:textId="77777777" w:rsidR="00AB3689" w:rsidRDefault="00AB3689">
      <w:pPr>
        <w:spacing w:line="240" w:lineRule="auto"/>
      </w:pPr>
      <w:r>
        <w:separator/>
      </w:r>
    </w:p>
  </w:endnote>
  <w:endnote w:type="continuationSeparator" w:id="0">
    <w:p w14:paraId="2F88D479" w14:textId="77777777" w:rsidR="00AB3689" w:rsidRDefault="00AB3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BAE2" w14:textId="77777777" w:rsidR="00AB3689" w:rsidRDefault="00AB3689">
      <w:pPr>
        <w:spacing w:line="240" w:lineRule="auto"/>
      </w:pPr>
      <w:r>
        <w:separator/>
      </w:r>
    </w:p>
  </w:footnote>
  <w:footnote w:type="continuationSeparator" w:id="0">
    <w:p w14:paraId="6CA2A2E4" w14:textId="77777777" w:rsidR="00AB3689" w:rsidRDefault="00AB36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743CBD8"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460F7B">
      <w:rPr>
        <w:rFonts w:ascii="Calibri" w:eastAsia="Calibri" w:hAnsi="Calibri" w:cs="Calibri"/>
      </w:rPr>
      <w:t>10</w:t>
    </w:r>
    <w:r w:rsidR="002D63C5">
      <w:rPr>
        <w:rFonts w:ascii="Calibri" w:eastAsia="Calibri" w:hAnsi="Calibri" w:cs="Calibr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F20D33"/>
    <w:multiLevelType w:val="hybridMultilevel"/>
    <w:tmpl w:val="36FE07D8"/>
    <w:lvl w:ilvl="0" w:tplc="DC2AF1F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9"/>
  </w:num>
  <w:num w:numId="4" w16cid:durableId="993410433">
    <w:abstractNumId w:val="33"/>
  </w:num>
  <w:num w:numId="5" w16cid:durableId="540168031">
    <w:abstractNumId w:val="7"/>
  </w:num>
  <w:num w:numId="6" w16cid:durableId="568275601">
    <w:abstractNumId w:val="15"/>
  </w:num>
  <w:num w:numId="7" w16cid:durableId="774324105">
    <w:abstractNumId w:val="24"/>
  </w:num>
  <w:num w:numId="8" w16cid:durableId="1402754591">
    <w:abstractNumId w:val="30"/>
  </w:num>
  <w:num w:numId="9" w16cid:durableId="619412352">
    <w:abstractNumId w:val="32"/>
  </w:num>
  <w:num w:numId="10" w16cid:durableId="1361275844">
    <w:abstractNumId w:val="20"/>
  </w:num>
  <w:num w:numId="11" w16cid:durableId="33896548">
    <w:abstractNumId w:val="6"/>
  </w:num>
  <w:num w:numId="12" w16cid:durableId="1573344740">
    <w:abstractNumId w:val="35"/>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4"/>
  </w:num>
  <w:num w:numId="18" w16cid:durableId="1456362455">
    <w:abstractNumId w:val="31"/>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 w:numId="36" w16cid:durableId="2576472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7A49"/>
    <w:rsid w:val="00043739"/>
    <w:rsid w:val="00044305"/>
    <w:rsid w:val="00061D90"/>
    <w:rsid w:val="00065154"/>
    <w:rsid w:val="000652AC"/>
    <w:rsid w:val="00065B44"/>
    <w:rsid w:val="00066810"/>
    <w:rsid w:val="0006799D"/>
    <w:rsid w:val="00070007"/>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97347"/>
    <w:rsid w:val="001C1A79"/>
    <w:rsid w:val="001C6D8F"/>
    <w:rsid w:val="001D3396"/>
    <w:rsid w:val="001E0C03"/>
    <w:rsid w:val="001F60DC"/>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D7B"/>
    <w:rsid w:val="003034D4"/>
    <w:rsid w:val="00304C3F"/>
    <w:rsid w:val="00330257"/>
    <w:rsid w:val="00331CC0"/>
    <w:rsid w:val="003328BA"/>
    <w:rsid w:val="00334222"/>
    <w:rsid w:val="0034026F"/>
    <w:rsid w:val="00342633"/>
    <w:rsid w:val="00343069"/>
    <w:rsid w:val="00354C3F"/>
    <w:rsid w:val="00357E95"/>
    <w:rsid w:val="00361D80"/>
    <w:rsid w:val="00362DDD"/>
    <w:rsid w:val="00364D3F"/>
    <w:rsid w:val="00364D9F"/>
    <w:rsid w:val="003A6EE9"/>
    <w:rsid w:val="003B242B"/>
    <w:rsid w:val="003B3F5F"/>
    <w:rsid w:val="003D2DB6"/>
    <w:rsid w:val="003F4EB3"/>
    <w:rsid w:val="004122A1"/>
    <w:rsid w:val="004223E3"/>
    <w:rsid w:val="00423E77"/>
    <w:rsid w:val="00425962"/>
    <w:rsid w:val="00432EAE"/>
    <w:rsid w:val="004336E3"/>
    <w:rsid w:val="0044083D"/>
    <w:rsid w:val="00440D76"/>
    <w:rsid w:val="0044595D"/>
    <w:rsid w:val="00447C4D"/>
    <w:rsid w:val="00460F7B"/>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424C1"/>
    <w:rsid w:val="00566921"/>
    <w:rsid w:val="005706E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937D5"/>
    <w:rsid w:val="006A1288"/>
    <w:rsid w:val="006A43EE"/>
    <w:rsid w:val="006A4D1E"/>
    <w:rsid w:val="006B2A82"/>
    <w:rsid w:val="006C19B1"/>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C3C0B"/>
    <w:rsid w:val="008E363D"/>
    <w:rsid w:val="008E6884"/>
    <w:rsid w:val="008F06FB"/>
    <w:rsid w:val="00914DE5"/>
    <w:rsid w:val="009310DD"/>
    <w:rsid w:val="00934D19"/>
    <w:rsid w:val="00937A52"/>
    <w:rsid w:val="00951380"/>
    <w:rsid w:val="009564C6"/>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B3689"/>
    <w:rsid w:val="00AB79EB"/>
    <w:rsid w:val="00B03B8B"/>
    <w:rsid w:val="00B30703"/>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15CA"/>
    <w:rsid w:val="00CB73A6"/>
    <w:rsid w:val="00CC0334"/>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86600"/>
    <w:rsid w:val="00D9352D"/>
    <w:rsid w:val="00DA0A5E"/>
    <w:rsid w:val="00DA6288"/>
    <w:rsid w:val="00DB4529"/>
    <w:rsid w:val="00DB6D1C"/>
    <w:rsid w:val="00DC1867"/>
    <w:rsid w:val="00DC1EB1"/>
    <w:rsid w:val="00DC3A63"/>
    <w:rsid w:val="00DC5AC7"/>
    <w:rsid w:val="00DC74A0"/>
    <w:rsid w:val="00DE3ED2"/>
    <w:rsid w:val="00DE6708"/>
    <w:rsid w:val="00DF75B7"/>
    <w:rsid w:val="00E00031"/>
    <w:rsid w:val="00E14C96"/>
    <w:rsid w:val="00E24B03"/>
    <w:rsid w:val="00E43D83"/>
    <w:rsid w:val="00E50D19"/>
    <w:rsid w:val="00E51C11"/>
    <w:rsid w:val="00E53803"/>
    <w:rsid w:val="00E72041"/>
    <w:rsid w:val="00E72BBB"/>
    <w:rsid w:val="00E75879"/>
    <w:rsid w:val="00E8252A"/>
    <w:rsid w:val="00E879FB"/>
    <w:rsid w:val="00E914AE"/>
    <w:rsid w:val="00E93B6F"/>
    <w:rsid w:val="00EA73CE"/>
    <w:rsid w:val="00EB1D3A"/>
    <w:rsid w:val="00EB2CA9"/>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8139</Words>
  <Characters>48836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13</cp:revision>
  <cp:lastPrinted>2024-03-20T11:37:00Z</cp:lastPrinted>
  <dcterms:created xsi:type="dcterms:W3CDTF">2024-02-01T13:19:00Z</dcterms:created>
  <dcterms:modified xsi:type="dcterms:W3CDTF">2024-03-20T11:38:00Z</dcterms:modified>
</cp:coreProperties>
</file>