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42973517"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9774C8">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774C8">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2"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5958F01" w:rsidR="00270AB2" w:rsidRPr="001371AB" w:rsidRDefault="00000000" w:rsidP="009774C8">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hyperlink r:id="rId12" w:history="1">
        <w:r w:rsidR="009774C8" w:rsidRPr="004A663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6085FB5C"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A67ABD">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A67ABD" w:rsidRPr="00A67ABD">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C8E39AB"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5" w:name="bookmark4"/>
      <w:r w:rsidRPr="000222D7">
        <w:rPr>
          <w:rFonts w:ascii="Times New Roman" w:hAnsi="Times New Roman" w:cs="Times New Roman"/>
          <w:b/>
          <w:bCs/>
          <w:lang w:eastAsia="ar-SA"/>
        </w:rPr>
        <w:t>„</w:t>
      </w:r>
      <w:r w:rsidR="0068423C">
        <w:rPr>
          <w:rFonts w:ascii="Times New Roman" w:hAnsi="Times New Roman" w:cs="Times New Roman"/>
          <w:b/>
          <w:bCs/>
          <w:lang w:eastAsia="ar-SA"/>
        </w:rPr>
        <w:t xml:space="preserve">Rozbudowa </w:t>
      </w:r>
      <w:r w:rsidR="00891441">
        <w:rPr>
          <w:rFonts w:ascii="Times New Roman" w:hAnsi="Times New Roman" w:cs="Times New Roman"/>
          <w:b/>
          <w:bCs/>
          <w:lang w:eastAsia="ar-SA"/>
        </w:rPr>
        <w:t xml:space="preserve">istniejącej </w:t>
      </w:r>
      <w:r w:rsidR="0068423C">
        <w:rPr>
          <w:rFonts w:ascii="Times New Roman" w:hAnsi="Times New Roman" w:cs="Times New Roman"/>
          <w:b/>
          <w:bCs/>
          <w:lang w:eastAsia="ar-SA"/>
        </w:rPr>
        <w:t xml:space="preserve">oczyszczalni ścieków </w:t>
      </w:r>
      <w:r w:rsidR="00891441">
        <w:rPr>
          <w:rFonts w:ascii="Times New Roman" w:hAnsi="Times New Roman" w:cs="Times New Roman"/>
          <w:b/>
          <w:bCs/>
          <w:lang w:eastAsia="ar-SA"/>
        </w:rPr>
        <w:t>w Ruszowie</w:t>
      </w:r>
      <w:r w:rsidR="007F7BC6">
        <w:rPr>
          <w:rFonts w:ascii="Times New Roman" w:hAnsi="Times New Roman" w:cs="Times New Roman"/>
          <w:b/>
          <w:bCs/>
          <w:lang w:eastAsia="ar-SA"/>
        </w:rPr>
        <w:t>”</w:t>
      </w:r>
    </w:p>
    <w:bookmarkEnd w:id="5"/>
    <w:p w14:paraId="11A69EFE" w14:textId="77777777" w:rsidR="00481225" w:rsidRPr="000222D7"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136A13DA"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E86641">
        <w:rPr>
          <w:rFonts w:ascii="Times New Roman" w:hAnsi="Times New Roman" w:cs="Times New Roman"/>
          <w:sz w:val="22"/>
          <w:szCs w:val="22"/>
        </w:rPr>
        <w:t>1</w:t>
      </w:r>
      <w:r w:rsidR="001E11B7">
        <w:rPr>
          <w:rFonts w:ascii="Times New Roman" w:hAnsi="Times New Roman" w:cs="Times New Roman"/>
          <w:sz w:val="22"/>
          <w:szCs w:val="22"/>
        </w:rPr>
        <w:t>4</w:t>
      </w:r>
      <w:r w:rsidR="00E86641">
        <w:rPr>
          <w:rFonts w:ascii="Times New Roman" w:hAnsi="Times New Roman" w:cs="Times New Roman"/>
          <w:sz w:val="22"/>
          <w:szCs w:val="22"/>
        </w:rPr>
        <w:t>.0</w:t>
      </w:r>
      <w:r w:rsidR="00641861">
        <w:rPr>
          <w:rFonts w:ascii="Times New Roman" w:hAnsi="Times New Roman" w:cs="Times New Roman"/>
          <w:sz w:val="22"/>
          <w:szCs w:val="22"/>
        </w:rPr>
        <w:t>4</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42973518"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11924443" w14:textId="1E3C3A18" w:rsidR="00994195" w:rsidRPr="00911194" w:rsidRDefault="007B5679" w:rsidP="00911194">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F86814">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8E9CF6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6FB3F22A"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71AF1BD7"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BB50B2">
        <w:rPr>
          <w:rFonts w:ascii="Times New Roman" w:hAnsi="Times New Roman" w:cs="Times New Roman"/>
          <w:color w:val="auto"/>
          <w:u w:val="single"/>
        </w:rPr>
        <w:t>(</w:t>
      </w:r>
      <w:r w:rsidR="00031470" w:rsidRPr="00BB50B2">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EE81FB5" w14:textId="01E7B661" w:rsidR="00911194" w:rsidRPr="00911194" w:rsidRDefault="00B479F5" w:rsidP="00911194">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3FBA0895"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6331355" w14:textId="77777777" w:rsidR="00911194" w:rsidRDefault="00911194">
      <w:pPr>
        <w:pStyle w:val="Teksttreci70"/>
        <w:shd w:val="clear" w:color="auto" w:fill="auto"/>
        <w:spacing w:before="0" w:after="150" w:line="240" w:lineRule="exact"/>
        <w:ind w:firstLine="0"/>
        <w:rPr>
          <w:rStyle w:val="PogrubienieTeksttreci712pt"/>
          <w:rFonts w:ascii="Times New Roman" w:hAnsi="Times New Roman" w:cs="Times New Roman"/>
          <w:i/>
          <w:iCs/>
          <w:color w:val="auto"/>
          <w:sz w:val="22"/>
          <w:szCs w:val="22"/>
        </w:rPr>
      </w:pPr>
    </w:p>
    <w:p w14:paraId="1852C4EE" w14:textId="314C4656"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lastRenderedPageBreak/>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6450842"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97162E">
        <w:rPr>
          <w:rFonts w:ascii="Times New Roman" w:hAnsi="Times New Roman" w:cs="Times New Roman"/>
          <w:color w:val="auto"/>
          <w:sz w:val="22"/>
          <w:szCs w:val="22"/>
        </w:rPr>
        <w:t>r</w:t>
      </w:r>
      <w:r w:rsidR="0097162E">
        <w:rPr>
          <w:rFonts w:ascii="Times New Roman" w:hAnsi="Times New Roman" w:cs="Times New Roman"/>
          <w:color w:val="auto"/>
          <w:sz w:val="22"/>
          <w:szCs w:val="22"/>
        </w:rPr>
        <w:t>.</w:t>
      </w:r>
      <w:r w:rsidRPr="0097162E">
        <w:rPr>
          <w:rStyle w:val="Teksttreci6Bezkursywy"/>
          <w:rFonts w:ascii="Times New Roman" w:hAnsi="Times New Roman" w:cs="Times New Roman"/>
          <w:color w:val="auto"/>
          <w:sz w:val="22"/>
          <w:szCs w:val="22"/>
        </w:rPr>
        <w:t xml:space="preserve"> </w:t>
      </w:r>
      <w:r w:rsidRPr="0097162E">
        <w:rPr>
          <w:rStyle w:val="Teksttreci6Bezkursywy"/>
          <w:rFonts w:ascii="Times New Roman" w:hAnsi="Times New Roman" w:cs="Times New Roman"/>
          <w:b/>
          <w:bCs/>
          <w:color w:val="auto"/>
          <w:sz w:val="22"/>
          <w:szCs w:val="22"/>
        </w:rPr>
        <w:t>-</w:t>
      </w:r>
      <w:r w:rsidRPr="0097162E">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EE066D">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015AB75A"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97162E">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97162E">
        <w:rPr>
          <w:rStyle w:val="Teksttreci6Pogrubienie"/>
          <w:rFonts w:ascii="Times New Roman" w:hAnsi="Times New Roman" w:cs="Times New Roman"/>
          <w:b w:val="0"/>
          <w:bCs w:val="0"/>
          <w:i/>
          <w:iCs/>
          <w:color w:val="000000" w:themeColor="text1"/>
          <w:sz w:val="22"/>
          <w:szCs w:val="22"/>
        </w:rPr>
        <w:t>r</w:t>
      </w:r>
      <w:r w:rsidR="0097162E">
        <w:rPr>
          <w:rStyle w:val="Teksttreci6Pogrubienie"/>
          <w:rFonts w:ascii="Times New Roman" w:hAnsi="Times New Roman" w:cs="Times New Roman"/>
          <w:b w:val="0"/>
          <w:bCs w:val="0"/>
          <w:i/>
          <w:iCs/>
          <w:color w:val="000000" w:themeColor="text1"/>
          <w:sz w:val="22"/>
          <w:szCs w:val="22"/>
        </w:rPr>
        <w:t>.</w:t>
      </w:r>
      <w:r w:rsidRPr="0097162E">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65CC0223"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BB50B2">
        <w:rPr>
          <w:rStyle w:val="Teksttreci811ptBezpogrubieniaMaelitery"/>
          <w:rFonts w:ascii="Times New Roman" w:hAnsi="Times New Roman" w:cs="Times New Roman"/>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5DCD0827"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8"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9" w:name="_Hlk127180967"/>
      <w:r w:rsidR="00B71093" w:rsidRPr="004F1F9C">
        <w:rPr>
          <w:rFonts w:ascii="Times New Roman" w:hAnsi="Times New Roman" w:cs="Times New Roman"/>
          <w:color w:val="000000" w:themeColor="text1"/>
          <w:sz w:val="22"/>
          <w:szCs w:val="22"/>
          <w:lang w:eastAsia="ar-SA"/>
        </w:rPr>
        <w:t>„</w:t>
      </w:r>
      <w:r w:rsidR="00E86641" w:rsidRPr="00F21419">
        <w:rPr>
          <w:rFonts w:ascii="Times New Roman" w:eastAsia="Times New Roman" w:hAnsi="Times New Roman" w:cs="Times New Roman"/>
          <w:color w:val="000000" w:themeColor="text1"/>
          <w:sz w:val="22"/>
          <w:szCs w:val="22"/>
        </w:rPr>
        <w:t>Rozbudowa istniejącej oczyszczalni ścieków w Ruszowie przy ul.</w:t>
      </w:r>
      <w:r w:rsidR="007B2F19">
        <w:rPr>
          <w:rFonts w:ascii="Times New Roman" w:eastAsia="Times New Roman" w:hAnsi="Times New Roman" w:cs="Times New Roman"/>
          <w:color w:val="000000" w:themeColor="text1"/>
          <w:sz w:val="22"/>
          <w:szCs w:val="22"/>
        </w:rPr>
        <w:t> </w:t>
      </w:r>
      <w:r w:rsidR="00E86641" w:rsidRPr="00F21419">
        <w:rPr>
          <w:rFonts w:ascii="Times New Roman" w:eastAsia="Times New Roman" w:hAnsi="Times New Roman" w:cs="Times New Roman"/>
          <w:color w:val="000000" w:themeColor="text1"/>
          <w:sz w:val="22"/>
          <w:szCs w:val="22"/>
        </w:rPr>
        <w:t>Brzozowej</w:t>
      </w:r>
      <w:bookmarkStart w:id="10" w:name="_Hlk127180981"/>
      <w:bookmarkStart w:id="11" w:name="_Hlk39473926"/>
      <w:bookmarkEnd w:id="9"/>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54D78355"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Roboty rozbiórkowe i likwidacyjne</w:t>
      </w:r>
    </w:p>
    <w:p w14:paraId="0C093BAD"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Komora z sitem kanałowym</w:t>
      </w:r>
    </w:p>
    <w:p w14:paraId="78FD794E"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nowej oczyszczalni</w:t>
      </w:r>
    </w:p>
    <w:p w14:paraId="5F3DEC6D" w14:textId="65A3F03B"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Przebudowa istniejącej przepompowni ścieków – dołożenie pompy</w:t>
      </w:r>
    </w:p>
    <w:p w14:paraId="6CBF1ACC"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dwóch kolektorów ścieków surowych na dwa ciągi</w:t>
      </w:r>
    </w:p>
    <w:p w14:paraId="13C1C96E"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Ogrodzenie</w:t>
      </w:r>
    </w:p>
    <w:p w14:paraId="1DDF1920"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Droga</w:t>
      </w:r>
    </w:p>
    <w:p w14:paraId="24D70BD6" w14:textId="00313F2E" w:rsidR="00891441" w:rsidRPr="007B2F19" w:rsidRDefault="00C474AF" w:rsidP="007B2F19">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Czynności towarzyszące</w:t>
      </w:r>
    </w:p>
    <w:p w14:paraId="6B43B32D" w14:textId="5BB0B32F" w:rsidR="00891441" w:rsidRPr="007B2F19" w:rsidRDefault="00891441" w:rsidP="007B2F19">
      <w:pPr>
        <w:rPr>
          <w:rFonts w:ascii="Times New Roman" w:hAnsi="Times New Roman" w:cs="Times New Roman"/>
          <w:b/>
          <w:bCs/>
          <w:color w:val="000000" w:themeColor="text1"/>
          <w:sz w:val="22"/>
          <w:szCs w:val="22"/>
        </w:rPr>
      </w:pPr>
      <w:r w:rsidRPr="007B2F19">
        <w:rPr>
          <w:rFonts w:ascii="Times New Roman" w:hAnsi="Times New Roman" w:cs="Times New Roman"/>
          <w:b/>
          <w:bCs/>
          <w:color w:val="000000" w:themeColor="text1"/>
          <w:sz w:val="22"/>
          <w:szCs w:val="22"/>
        </w:rPr>
        <w:t>Wytyczne dot. sterowania</w:t>
      </w:r>
    </w:p>
    <w:p w14:paraId="1F97068F" w14:textId="06EFAA1F" w:rsidR="00891441" w:rsidRDefault="00891441" w:rsidP="00891441">
      <w:pPr>
        <w:jc w:val="both"/>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Projektuje się system monitoringu umożliwiający sterowanie procesem oczyszczania ścieków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przekazywanie istotnych sygnałów do komputera kompatybilnego z systemem komunikacji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 xml:space="preserve">sterowania Zakładu Usług Komunalnych w Węglińcu. Dobrany system komunikacji musi zapewniać możliwość sterowania oraz </w:t>
      </w:r>
      <w:proofErr w:type="spellStart"/>
      <w:r w:rsidRPr="00F21419">
        <w:rPr>
          <w:rFonts w:ascii="Times New Roman" w:hAnsi="Times New Roman" w:cs="Times New Roman"/>
          <w:b/>
          <w:bCs/>
          <w:color w:val="000000" w:themeColor="text1"/>
          <w:sz w:val="22"/>
          <w:szCs w:val="22"/>
        </w:rPr>
        <w:t>przesyłu</w:t>
      </w:r>
      <w:proofErr w:type="spellEnd"/>
      <w:r w:rsidRPr="00F21419">
        <w:rPr>
          <w:rFonts w:ascii="Times New Roman" w:hAnsi="Times New Roman" w:cs="Times New Roman"/>
          <w:b/>
          <w:bCs/>
          <w:color w:val="000000" w:themeColor="text1"/>
          <w:sz w:val="22"/>
          <w:szCs w:val="22"/>
        </w:rPr>
        <w:t xml:space="preserve"> danych do ZUK w Węglińcu z sygnałami alarmowymi w</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przypadku nieprawidłowej pracy lub stanów awaryjnych. Dodatkowo należy przewidzieć moduł telemetryczny u</w:t>
      </w:r>
      <w:r w:rsidRPr="00F21419">
        <w:rPr>
          <w:rFonts w:ascii="Times New Roman" w:hAnsi="Times New Roman" w:cs="Times New Roman"/>
          <w:b/>
          <w:bCs/>
          <w:color w:val="000000" w:themeColor="text1"/>
          <w:spacing w:val="-1"/>
          <w:sz w:val="22"/>
          <w:szCs w:val="22"/>
        </w:rPr>
        <w:t xml:space="preserve">możliwia transmisję danych w sieci GSM w trybie </w:t>
      </w:r>
      <w:r w:rsidRPr="00F21419">
        <w:rPr>
          <w:rFonts w:ascii="Times New Roman" w:hAnsi="Times New Roman" w:cs="Times New Roman"/>
          <w:b/>
          <w:bCs/>
          <w:color w:val="000000" w:themeColor="text1"/>
          <w:sz w:val="22"/>
          <w:szCs w:val="22"/>
        </w:rPr>
        <w:t>transmisji pakietowej GPRS, wysyłanie wiadomości tekstowych SMS oraz wydzwanianie.</w:t>
      </w:r>
    </w:p>
    <w:p w14:paraId="4C9513BC" w14:textId="77777777" w:rsidR="009F2CB5" w:rsidRPr="00F21419" w:rsidRDefault="009F2CB5" w:rsidP="00891441">
      <w:pPr>
        <w:jc w:val="both"/>
        <w:rPr>
          <w:rFonts w:ascii="Times New Roman" w:hAnsi="Times New Roman" w:cs="Times New Roman"/>
          <w:b/>
          <w:bCs/>
          <w:color w:val="000000" w:themeColor="text1"/>
          <w:sz w:val="22"/>
          <w:szCs w:val="22"/>
        </w:rPr>
      </w:pPr>
    </w:p>
    <w:bookmarkEnd w:id="10"/>
    <w:p w14:paraId="683B1CA6" w14:textId="640C12FB" w:rsidR="00177AD3" w:rsidRPr="009F2CB5" w:rsidRDefault="009F2CB5" w:rsidP="009F2CB5">
      <w:pPr>
        <w:pStyle w:val="Akapitzlist"/>
        <w:widowControl/>
        <w:numPr>
          <w:ilvl w:val="0"/>
          <w:numId w:val="68"/>
        </w:numPr>
        <w:autoSpaceDE w:val="0"/>
        <w:autoSpaceDN w:val="0"/>
        <w:adjustRightInd w:val="0"/>
        <w:ind w:left="284" w:hanging="284"/>
        <w:rPr>
          <w:rFonts w:ascii="Times New Roman" w:hAnsi="Times New Roman" w:cs="Times New Roman"/>
          <w:b/>
          <w:bCs/>
          <w:color w:val="000000" w:themeColor="text1"/>
          <w:lang w:bidi="ar-SA"/>
        </w:rPr>
      </w:pPr>
      <w:r>
        <w:rPr>
          <w:rFonts w:ascii="Times New Roman" w:hAnsi="Times New Roman" w:cs="Times New Roman"/>
          <w:b/>
          <w:bCs/>
          <w:color w:val="000000" w:themeColor="text1"/>
          <w:sz w:val="22"/>
          <w:szCs w:val="22"/>
          <w:lang w:bidi="ar-SA"/>
        </w:rPr>
        <w:t>UWAGA!</w:t>
      </w:r>
    </w:p>
    <w:p w14:paraId="3E410E36" w14:textId="488A3858" w:rsidR="009F2CB5" w:rsidRPr="009F2CB5" w:rsidRDefault="009F2CB5"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 xml:space="preserve">Zakres robót elektrycznych będących przedmiotem zamówienia </w:t>
      </w:r>
      <w:r>
        <w:rPr>
          <w:rFonts w:ascii="Times New Roman" w:hAnsi="Times New Roman" w:cs="Times New Roman"/>
          <w:b/>
          <w:bCs/>
          <w:color w:val="000000" w:themeColor="text1"/>
          <w:sz w:val="22"/>
          <w:szCs w:val="22"/>
          <w:lang w:bidi="ar-SA"/>
        </w:rPr>
        <w:t>obejmował będzie:</w:t>
      </w:r>
    </w:p>
    <w:p w14:paraId="7A215200" w14:textId="7A365E4D" w:rsidR="009F2CB5" w:rsidRPr="009F2CB5" w:rsidRDefault="009F2CB5"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w:t>
      </w:r>
      <w:r w:rsidR="00D61A03">
        <w:rPr>
          <w:rFonts w:ascii="Times New Roman" w:hAnsi="Times New Roman" w:cs="Times New Roman"/>
          <w:b/>
          <w:bCs/>
          <w:color w:val="000000" w:themeColor="text1"/>
          <w:sz w:val="22"/>
          <w:szCs w:val="22"/>
          <w:lang w:bidi="ar-SA"/>
        </w:rPr>
        <w:t xml:space="preserve"> </w:t>
      </w:r>
      <w:r w:rsidRPr="009F2CB5">
        <w:rPr>
          <w:rFonts w:ascii="Times New Roman" w:hAnsi="Times New Roman" w:cs="Times New Roman"/>
          <w:b/>
          <w:bCs/>
          <w:color w:val="000000" w:themeColor="text1"/>
          <w:sz w:val="22"/>
          <w:szCs w:val="22"/>
          <w:lang w:bidi="ar-SA"/>
        </w:rPr>
        <w:t>wykonacie wewnętrznej linii zasilającej do pompowni ścieków o długości 20,0 m z</w:t>
      </w:r>
      <w:r w:rsidR="00D61A03">
        <w:rPr>
          <w:rFonts w:ascii="Times New Roman" w:hAnsi="Times New Roman" w:cs="Times New Roman"/>
          <w:b/>
          <w:bCs/>
          <w:color w:val="000000" w:themeColor="text1"/>
          <w:sz w:val="22"/>
          <w:szCs w:val="22"/>
          <w:lang w:bidi="ar-SA"/>
        </w:rPr>
        <w:t> </w:t>
      </w:r>
      <w:r w:rsidRPr="009F2CB5">
        <w:rPr>
          <w:rFonts w:ascii="Times New Roman" w:hAnsi="Times New Roman" w:cs="Times New Roman"/>
          <w:b/>
          <w:bCs/>
          <w:color w:val="000000" w:themeColor="text1"/>
          <w:sz w:val="22"/>
          <w:szCs w:val="22"/>
          <w:lang w:bidi="ar-SA"/>
        </w:rPr>
        <w:t>przewodów YAKY 4x5 mm 2,p</w:t>
      </w:r>
    </w:p>
    <w:p w14:paraId="6B53B4C5" w14:textId="1036F9ED" w:rsidR="009F2CB5" w:rsidRPr="009F2CB5" w:rsidRDefault="009F2CB5"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w:t>
      </w:r>
      <w:r w:rsidR="00D61A03">
        <w:rPr>
          <w:rFonts w:ascii="Times New Roman" w:hAnsi="Times New Roman" w:cs="Times New Roman"/>
          <w:b/>
          <w:bCs/>
          <w:color w:val="000000" w:themeColor="text1"/>
          <w:sz w:val="22"/>
          <w:szCs w:val="22"/>
          <w:lang w:bidi="ar-SA"/>
        </w:rPr>
        <w:t xml:space="preserve"> </w:t>
      </w:r>
      <w:r w:rsidRPr="009F2CB5">
        <w:rPr>
          <w:rFonts w:ascii="Times New Roman" w:hAnsi="Times New Roman" w:cs="Times New Roman"/>
          <w:b/>
          <w:bCs/>
          <w:color w:val="000000" w:themeColor="text1"/>
          <w:sz w:val="22"/>
          <w:szCs w:val="22"/>
          <w:lang w:bidi="ar-SA"/>
        </w:rPr>
        <w:t>wykonacie wewnętrznej linii zasilającej do oczyszczalni ścieków - II-</w:t>
      </w:r>
      <w:proofErr w:type="spellStart"/>
      <w:r w:rsidRPr="009F2CB5">
        <w:rPr>
          <w:rFonts w:ascii="Times New Roman" w:hAnsi="Times New Roman" w:cs="Times New Roman"/>
          <w:b/>
          <w:bCs/>
          <w:color w:val="000000" w:themeColor="text1"/>
          <w:sz w:val="22"/>
          <w:szCs w:val="22"/>
          <w:lang w:bidi="ar-SA"/>
        </w:rPr>
        <w:t>gi</w:t>
      </w:r>
      <w:proofErr w:type="spellEnd"/>
      <w:r w:rsidRPr="009F2CB5">
        <w:rPr>
          <w:rFonts w:ascii="Times New Roman" w:hAnsi="Times New Roman" w:cs="Times New Roman"/>
          <w:b/>
          <w:bCs/>
          <w:color w:val="000000" w:themeColor="text1"/>
          <w:sz w:val="22"/>
          <w:szCs w:val="22"/>
          <w:lang w:bidi="ar-SA"/>
        </w:rPr>
        <w:t xml:space="preserve"> etap, o długości 25,0 m z przewodów YAKY 4x5 mm 2,</w:t>
      </w:r>
    </w:p>
    <w:p w14:paraId="1195F9E9" w14:textId="0BE25FD7" w:rsidR="009F2CB5" w:rsidRDefault="009F2CB5"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sidRPr="009F2CB5">
        <w:rPr>
          <w:rFonts w:ascii="Times New Roman" w:hAnsi="Times New Roman" w:cs="Times New Roman"/>
          <w:b/>
          <w:bCs/>
          <w:color w:val="000000" w:themeColor="text1"/>
          <w:sz w:val="22"/>
          <w:szCs w:val="22"/>
          <w:lang w:bidi="ar-SA"/>
        </w:rPr>
        <w:t>- włączenie projektowanego obiektu do istniejącego systemu monitoringu na terenie gminy</w:t>
      </w:r>
      <w:r>
        <w:rPr>
          <w:rFonts w:ascii="Times New Roman" w:hAnsi="Times New Roman" w:cs="Times New Roman"/>
          <w:b/>
          <w:bCs/>
          <w:color w:val="000000" w:themeColor="text1"/>
          <w:sz w:val="22"/>
          <w:szCs w:val="22"/>
          <w:lang w:bidi="ar-SA"/>
        </w:rPr>
        <w:t>,</w:t>
      </w:r>
    </w:p>
    <w:p w14:paraId="0F262525" w14:textId="68C18973"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Przebudowa przepompowni polegać będzie na:</w:t>
      </w:r>
    </w:p>
    <w:p w14:paraId="456BB8E9" w14:textId="1D0261B5" w:rsidR="00D61A03" w:rsidRPr="00D61A03" w:rsidRDefault="00D61A03"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 xml:space="preserve">wymianie dwóch pomp pracujących i jedna rezerwa magazynowa, z wolnym przelotem oraz stopą </w:t>
      </w:r>
      <w:proofErr w:type="spellStart"/>
      <w:r w:rsidRPr="00D61A03">
        <w:rPr>
          <w:rFonts w:ascii="Times New Roman" w:hAnsi="Times New Roman" w:cs="Times New Roman"/>
          <w:b/>
          <w:bCs/>
          <w:color w:val="000000" w:themeColor="text1"/>
          <w:sz w:val="22"/>
          <w:szCs w:val="22"/>
          <w:lang w:bidi="ar-SA"/>
        </w:rPr>
        <w:t>sprzęgajacą</w:t>
      </w:r>
      <w:proofErr w:type="spellEnd"/>
      <w:r w:rsidRPr="00D61A03">
        <w:rPr>
          <w:rFonts w:ascii="Times New Roman" w:hAnsi="Times New Roman" w:cs="Times New Roman"/>
          <w:b/>
          <w:bCs/>
          <w:color w:val="000000" w:themeColor="text1"/>
          <w:sz w:val="22"/>
          <w:szCs w:val="22"/>
          <w:lang w:bidi="ar-SA"/>
        </w:rPr>
        <w:t xml:space="preserve"> o parametrach (każda):</w:t>
      </w:r>
    </w:p>
    <w:p w14:paraId="50A18C86" w14:textId="77777777" w:rsidR="00D61A03" w:rsidRPr="00D61A03" w:rsidRDefault="00D61A03" w:rsidP="00D61A03">
      <w:pPr>
        <w:pStyle w:val="Akapitzlist"/>
        <w:widowControl/>
        <w:autoSpaceDE w:val="0"/>
        <w:autoSpaceDN w:val="0"/>
        <w:adjustRightInd w:val="0"/>
        <w:ind w:left="1134" w:hanging="142"/>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Q = 3,0 m^3/h    ;H = 10,0 mH2O</w:t>
      </w:r>
    </w:p>
    <w:p w14:paraId="6098CE43" w14:textId="4A3D8EE3"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przewodach w przepompowni  wykonanych ze stali kwasoodporne,</w:t>
      </w:r>
    </w:p>
    <w:p w14:paraId="612DDB85" w14:textId="515A4570"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armatury ( zasuwy odcinające i klapy  zwrotne)</w:t>
      </w:r>
    </w:p>
    <w:p w14:paraId="3502A13E" w14:textId="77777777"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Kanał grawitacyjny z rur PVC DN 200 SN 8 o długości pomiędzy studniami: S40 – SK jest przedmiotem zamówienia.</w:t>
      </w:r>
    </w:p>
    <w:p w14:paraId="78CE70C7" w14:textId="2D83D156"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0"/>
          <w:szCs w:val="20"/>
          <w:lang w:bidi="ar-SA"/>
        </w:rPr>
      </w:pPr>
      <w:r w:rsidRPr="00D61A03">
        <w:rPr>
          <w:rFonts w:ascii="Times New Roman" w:hAnsi="Times New Roman" w:cs="Times New Roman"/>
          <w:b/>
          <w:bCs/>
          <w:sz w:val="22"/>
          <w:szCs w:val="22"/>
        </w:rPr>
        <w:t>Rysunek osadnika wstępnego OW jest zawarty na rysunkach nr 3.0 i nr 4.0. Wymiary osadnika wstępnego:</w:t>
      </w:r>
    </w:p>
    <w:p w14:paraId="22C987F8" w14:textId="7777777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zbiornik czterokomorowy wykonany w technologii rury strukturalnej PEHD,</w:t>
      </w:r>
    </w:p>
    <w:p w14:paraId="2871EA5F" w14:textId="1C2662F9"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pojemność czynna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25</w:t>
      </w:r>
      <w:r w:rsidRPr="00D61A03">
        <w:rPr>
          <w:rFonts w:ascii="Times New Roman" w:hAnsi="Times New Roman" w:cs="Times New Roman"/>
          <w:b/>
          <w:bCs/>
          <w:sz w:val="22"/>
          <w:szCs w:val="22"/>
        </w:rPr>
        <w:tab/>
        <w:t>m</w:t>
      </w:r>
      <w:r w:rsidRPr="00D61A03">
        <w:rPr>
          <w:rFonts w:ascii="Times New Roman" w:hAnsi="Times New Roman" w:cs="Times New Roman"/>
          <w:b/>
          <w:bCs/>
          <w:sz w:val="22"/>
          <w:szCs w:val="22"/>
          <w:vertAlign w:val="superscript"/>
        </w:rPr>
        <w:t>3</w:t>
      </w:r>
    </w:p>
    <w:p w14:paraId="3538F79C" w14:textId="1851578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lastRenderedPageBreak/>
        <w:t>średnica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2,0</w:t>
      </w:r>
      <w:r w:rsidRPr="00D61A03">
        <w:rPr>
          <w:rFonts w:ascii="Times New Roman" w:hAnsi="Times New Roman" w:cs="Times New Roman"/>
          <w:b/>
          <w:bCs/>
          <w:sz w:val="22"/>
          <w:szCs w:val="22"/>
        </w:rPr>
        <w:tab/>
        <w:t>m</w:t>
      </w:r>
    </w:p>
    <w:p w14:paraId="657FDEE1" w14:textId="7A1BD1ED"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długość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9,3</w:t>
      </w:r>
      <w:r w:rsidRPr="00D61A03">
        <w:rPr>
          <w:rFonts w:ascii="Times New Roman" w:hAnsi="Times New Roman" w:cs="Times New Roman"/>
          <w:b/>
          <w:bCs/>
          <w:sz w:val="22"/>
          <w:szCs w:val="22"/>
        </w:rPr>
        <w:tab/>
        <w:t>m</w:t>
      </w:r>
    </w:p>
    <w:p w14:paraId="75965B51" w14:textId="1F361DA4"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1,8</w:t>
      </w:r>
      <w:r w:rsidRPr="00D61A03">
        <w:rPr>
          <w:rFonts w:ascii="Times New Roman" w:hAnsi="Times New Roman" w:cs="Times New Roman"/>
          <w:b/>
          <w:bCs/>
          <w:sz w:val="22"/>
          <w:szCs w:val="22"/>
        </w:rPr>
        <w:tab/>
        <w:t>m</w:t>
      </w:r>
    </w:p>
    <w:p w14:paraId="243A1CC0" w14:textId="3D451B53"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wylotowego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1,7</w:t>
      </w:r>
      <w:r w:rsidRPr="00D61A03">
        <w:rPr>
          <w:rFonts w:ascii="Times New Roman" w:hAnsi="Times New Roman" w:cs="Times New Roman"/>
          <w:b/>
          <w:bCs/>
          <w:sz w:val="22"/>
          <w:szCs w:val="22"/>
        </w:rPr>
        <w:tab/>
        <w:t>m</w:t>
      </w:r>
    </w:p>
    <w:p w14:paraId="541734AB" w14:textId="2383B346" w:rsidR="00D61A03" w:rsidRPr="00D61A03" w:rsidRDefault="00D61A03"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Lokalizację miejsca do składowania materiałów z rozbiórki poda ZUK w Węglińcu.</w:t>
      </w:r>
    </w:p>
    <w:p w14:paraId="6EFEE6EA" w14:textId="064EE512" w:rsidR="009F2CB5" w:rsidRPr="007E18B3" w:rsidRDefault="00D61A03" w:rsidP="007E18B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Zamawiający nie posiada rysunku komory przeznaczonej do rozbiórki. Z rysunku odczytano wymiary istniejącej komory: 8,3 x 2,2 x1,5 m.</w:t>
      </w: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2" w:name="_Hlk127181027"/>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64DB61CE"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dokumentacja projektowa</w:t>
      </w:r>
      <w:r w:rsidR="00EE066D">
        <w:rPr>
          <w:rFonts w:ascii="Times New Roman" w:hAnsi="Times New Roman" w:cs="Times New Roman"/>
          <w:bCs/>
          <w:color w:val="000000" w:themeColor="text1"/>
          <w:sz w:val="22"/>
          <w:szCs w:val="22"/>
        </w:rPr>
        <w:t>,</w:t>
      </w:r>
    </w:p>
    <w:p w14:paraId="1965A78D" w14:textId="07AFAC06"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(STWiOR</w:t>
      </w:r>
      <w:r w:rsidR="007A7A50">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29CD81D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r w:rsidR="00EE066D">
        <w:rPr>
          <w:rFonts w:ascii="Times New Roman" w:hAnsi="Times New Roman" w:cs="Times New Roman"/>
          <w:bCs/>
          <w:color w:val="000000" w:themeColor="text1"/>
          <w:sz w:val="22"/>
          <w:szCs w:val="22"/>
        </w:rPr>
        <w:t>.</w:t>
      </w:r>
    </w:p>
    <w:p w14:paraId="51B2934F" w14:textId="3A127A68" w:rsidR="009F2CB5" w:rsidRDefault="004A2045" w:rsidP="009F2CB5">
      <w:pPr>
        <w:autoSpaceDE w:val="0"/>
        <w:autoSpaceDN w:val="0"/>
        <w:adjustRightInd w:val="0"/>
        <w:ind w:left="567"/>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w:t>
      </w:r>
      <w:r w:rsidR="00BB50B2">
        <w:rPr>
          <w:rFonts w:ascii="Times New Roman" w:hAnsi="Times New Roman" w:cs="Times New Roman"/>
          <w:iCs/>
          <w:color w:val="000000" w:themeColor="text1"/>
          <w:sz w:val="22"/>
          <w:szCs w:val="22"/>
        </w:rPr>
        <w:t> </w:t>
      </w:r>
      <w:r w:rsidRPr="005F4152">
        <w:rPr>
          <w:rFonts w:ascii="Times New Roman" w:hAnsi="Times New Roman" w:cs="Times New Roman"/>
          <w:iCs/>
          <w:color w:val="000000" w:themeColor="text1"/>
          <w:sz w:val="22"/>
          <w:szCs w:val="22"/>
        </w:rPr>
        <w:t>dokumentacji projektowej o której mowa w pkt 1) lub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p>
    <w:p w14:paraId="4B41FA78"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F2CB5">
        <w:rPr>
          <w:rFonts w:ascii="Times New Roman" w:hAnsi="Times New Roman" w:cs="Times New Roman"/>
          <w:bCs/>
          <w:i/>
          <w:color w:val="000000" w:themeColor="text1"/>
          <w:sz w:val="22"/>
          <w:szCs w:val="22"/>
        </w:rPr>
        <w:t>„lub równoważne”.</w:t>
      </w:r>
    </w:p>
    <w:p w14:paraId="4797CEEB"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42718C6A"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3AEB10D0"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7735A0C" w14:textId="25A6A82E"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w:t>
      </w:r>
      <w:r w:rsidR="0097162E">
        <w:rPr>
          <w:rFonts w:ascii="Times New Roman" w:eastAsia="Times New Roman" w:hAnsi="Times New Roman" w:cs="Times New Roman"/>
          <w:color w:val="000000" w:themeColor="text1"/>
          <w:sz w:val="22"/>
          <w:szCs w:val="22"/>
        </w:rPr>
        <w:t> </w:t>
      </w:r>
      <w:r w:rsidRPr="009F2CB5">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3" w:name="_Hlk89255602"/>
      <w:bookmarkEnd w:id="11"/>
    </w:p>
    <w:p w14:paraId="03E2E3C3" w14:textId="4477EAB1" w:rsidR="00500F8F" w:rsidRPr="009F2CB5" w:rsidRDefault="00500F8F"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6437E884" w14:textId="77D1BE51" w:rsidR="006A3062" w:rsidRPr="009F2CB5"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FF0000"/>
          <w:sz w:val="22"/>
          <w:szCs w:val="22"/>
          <w:lang w:eastAsia="en-US" w:bidi="ar-SA"/>
        </w:rPr>
      </w:pPr>
      <w:r w:rsidRPr="009F2CB5">
        <w:rPr>
          <w:rFonts w:ascii="Times New Roman" w:eastAsia="Times New Roman" w:hAnsi="Times New Roman" w:cs="Times New Roman"/>
          <w:color w:val="000000" w:themeColor="text1"/>
          <w:sz w:val="22"/>
          <w:szCs w:val="22"/>
          <w:lang w:eastAsia="en-US" w:bidi="ar-SA"/>
        </w:rPr>
        <w:t>oznakowania i zabezpieczenia placu budowy, zapewnienie bezpieczeństwa ruchu (obejmujące też poruszanie się po terenie budowy) ze szczególnym uwzględnieniem bezpieczeństwa osób;</w:t>
      </w:r>
      <w:r w:rsidRPr="009F2CB5">
        <w:rPr>
          <w:rFonts w:ascii="Times New Roman" w:eastAsia="Times New Roman" w:hAnsi="Times New Roman" w:cs="Times New Roman"/>
          <w:color w:val="0070C0"/>
          <w:sz w:val="22"/>
          <w:szCs w:val="22"/>
          <w:lang w:eastAsia="en-US" w:bidi="ar-SA"/>
        </w:rPr>
        <w:t xml:space="preserve"> </w:t>
      </w:r>
      <w:r w:rsidRPr="009F2CB5">
        <w:rPr>
          <w:rFonts w:ascii="Times New Roman" w:eastAsia="Times New Roman" w:hAnsi="Times New Roman" w:cs="Times New Roman"/>
          <w:color w:val="000000" w:themeColor="text1"/>
          <w:sz w:val="22"/>
          <w:szCs w:val="22"/>
          <w:lang w:eastAsia="en-US" w:bidi="ar-SA"/>
        </w:rPr>
        <w:t>oraz zapewnienie możliwości dojścia okolicznych mieszkańców do budynków i dojazdu służb specjalnych;</w:t>
      </w:r>
    </w:p>
    <w:p w14:paraId="274C0CE3" w14:textId="28EC8888" w:rsidR="006A3062"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utrzymania ciągłoś</w:t>
      </w:r>
      <w:r w:rsidR="00F921BA" w:rsidRPr="00F21419">
        <w:rPr>
          <w:rFonts w:ascii="Times New Roman" w:eastAsia="Times New Roman" w:hAnsi="Times New Roman" w:cs="Times New Roman"/>
          <w:color w:val="000000" w:themeColor="text1"/>
          <w:sz w:val="22"/>
          <w:szCs w:val="22"/>
          <w:lang w:eastAsia="en-US" w:bidi="ar-SA"/>
        </w:rPr>
        <w:t>ci</w:t>
      </w:r>
      <w:r w:rsidRPr="00F21419">
        <w:rPr>
          <w:rFonts w:ascii="Times New Roman" w:eastAsia="Times New Roman" w:hAnsi="Times New Roman" w:cs="Times New Roman"/>
          <w:color w:val="000000" w:themeColor="text1"/>
          <w:sz w:val="22"/>
          <w:szCs w:val="22"/>
          <w:lang w:eastAsia="en-US" w:bidi="ar-SA"/>
        </w:rPr>
        <w:t xml:space="preserve"> dojazdu do </w:t>
      </w:r>
      <w:r w:rsidR="00F921BA" w:rsidRPr="00F21419">
        <w:rPr>
          <w:rFonts w:ascii="Times New Roman" w:eastAsia="Times New Roman" w:hAnsi="Times New Roman" w:cs="Times New Roman"/>
          <w:color w:val="000000" w:themeColor="text1"/>
          <w:sz w:val="22"/>
          <w:szCs w:val="22"/>
          <w:lang w:eastAsia="en-US" w:bidi="ar-SA"/>
        </w:rPr>
        <w:t xml:space="preserve">istniejącej przepompowni </w:t>
      </w:r>
      <w:r w:rsidRPr="00F21419">
        <w:rPr>
          <w:rFonts w:ascii="Times New Roman" w:eastAsia="Times New Roman" w:hAnsi="Times New Roman" w:cs="Times New Roman"/>
          <w:color w:val="000000" w:themeColor="text1"/>
          <w:sz w:val="22"/>
          <w:szCs w:val="22"/>
          <w:lang w:eastAsia="en-US" w:bidi="ar-SA"/>
        </w:rPr>
        <w:t xml:space="preserve">w </w:t>
      </w:r>
      <w:r w:rsidR="00F921BA" w:rsidRPr="00F21419">
        <w:rPr>
          <w:rFonts w:ascii="Times New Roman" w:eastAsia="Times New Roman" w:hAnsi="Times New Roman" w:cs="Times New Roman"/>
          <w:color w:val="000000" w:themeColor="text1"/>
          <w:sz w:val="22"/>
          <w:szCs w:val="22"/>
          <w:lang w:eastAsia="en-US" w:bidi="ar-SA"/>
        </w:rPr>
        <w:t>Ruszowie.</w:t>
      </w:r>
      <w:r w:rsidR="00096285" w:rsidRPr="00F21419">
        <w:rPr>
          <w:rFonts w:ascii="Times New Roman" w:eastAsia="Times New Roman" w:hAnsi="Times New Roman" w:cs="Times New Roman"/>
          <w:color w:val="000000" w:themeColor="text1"/>
          <w:sz w:val="22"/>
          <w:szCs w:val="22"/>
          <w:lang w:eastAsia="en-US" w:bidi="ar-SA"/>
        </w:rPr>
        <w:t xml:space="preserve"> </w:t>
      </w:r>
    </w:p>
    <w:p w14:paraId="44CCC643" w14:textId="1C37E458"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w</w:t>
      </w:r>
      <w:r w:rsidRPr="00F21419">
        <w:rPr>
          <w:rFonts w:ascii="Times New Roman" w:eastAsia="Times New Roman" w:hAnsi="Times New Roman" w:cs="Times New Roman"/>
          <w:bCs/>
          <w:color w:val="000000" w:themeColor="text1"/>
          <w:sz w:val="22"/>
          <w:szCs w:val="22"/>
          <w:lang w:eastAsia="en-US" w:bidi="ar-SA"/>
        </w:rPr>
        <w:t xml:space="preserve">szystkie roboty dotyczące budowy kanalizacji </w:t>
      </w:r>
      <w:r w:rsidR="00F921BA" w:rsidRPr="00F21419">
        <w:rPr>
          <w:rFonts w:ascii="Times New Roman" w:eastAsia="Times New Roman" w:hAnsi="Times New Roman" w:cs="Times New Roman"/>
          <w:bCs/>
          <w:color w:val="000000" w:themeColor="text1"/>
          <w:sz w:val="22"/>
          <w:szCs w:val="22"/>
          <w:lang w:eastAsia="en-US" w:bidi="ar-SA"/>
        </w:rPr>
        <w:t>sanitarnej</w:t>
      </w:r>
      <w:r w:rsidRPr="00F21419">
        <w:rPr>
          <w:rFonts w:ascii="Times New Roman" w:eastAsia="Times New Roman" w:hAnsi="Times New Roman" w:cs="Times New Roman"/>
          <w:bCs/>
          <w:color w:val="000000" w:themeColor="text1"/>
          <w:sz w:val="22"/>
          <w:szCs w:val="22"/>
          <w:lang w:eastAsia="en-US" w:bidi="ar-SA"/>
        </w:rPr>
        <w:t xml:space="preserve"> wraz z przyłączami muszą być prowadzone przy  utrzymaniu ciągłości odbioru ścieków. Wykonawca ujmie w cenie ofertowej koszt zabezpieczenia odbioru ścieków  </w:t>
      </w:r>
      <w:r w:rsidR="00F921BA" w:rsidRPr="00F21419">
        <w:rPr>
          <w:rFonts w:ascii="Times New Roman" w:eastAsia="Times New Roman" w:hAnsi="Times New Roman" w:cs="Times New Roman"/>
          <w:bCs/>
          <w:color w:val="000000" w:themeColor="text1"/>
          <w:sz w:val="22"/>
          <w:szCs w:val="22"/>
          <w:lang w:eastAsia="en-US" w:bidi="ar-SA"/>
        </w:rPr>
        <w:t>na czas realizacji robót.</w:t>
      </w:r>
      <w:r w:rsidR="00096285" w:rsidRPr="00F21419">
        <w:rPr>
          <w:rFonts w:ascii="Times New Roman" w:eastAsia="Times New Roman" w:hAnsi="Times New Roman" w:cs="Times New Roman"/>
          <w:bCs/>
          <w:color w:val="000000" w:themeColor="text1"/>
          <w:sz w:val="22"/>
          <w:szCs w:val="22"/>
          <w:lang w:eastAsia="en-US" w:bidi="ar-SA"/>
        </w:rPr>
        <w:t xml:space="preserve"> </w:t>
      </w:r>
    </w:p>
    <w:p w14:paraId="47884566" w14:textId="491C6B7C"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bCs/>
          <w:color w:val="000000" w:themeColor="text1"/>
          <w:sz w:val="22"/>
          <w:szCs w:val="22"/>
          <w:lang w:eastAsia="en-US" w:bidi="ar-SA"/>
        </w:rPr>
        <w:t xml:space="preserve"> przed przystąpieniem do realizacji budowy sieci kanalizacyjnej należy protokolarnie uzgodnić z</w:t>
      </w:r>
      <w:r w:rsidR="007E18B3">
        <w:rPr>
          <w:rFonts w:ascii="Times New Roman" w:eastAsia="Times New Roman" w:hAnsi="Times New Roman" w:cs="Times New Roman"/>
          <w:bCs/>
          <w:color w:val="000000" w:themeColor="text1"/>
          <w:sz w:val="22"/>
          <w:szCs w:val="22"/>
          <w:lang w:eastAsia="en-US" w:bidi="ar-SA"/>
        </w:rPr>
        <w:t> </w:t>
      </w:r>
      <w:r w:rsidRPr="00F21419">
        <w:rPr>
          <w:rFonts w:ascii="Times New Roman" w:eastAsia="Times New Roman" w:hAnsi="Times New Roman" w:cs="Times New Roman"/>
          <w:bCs/>
          <w:color w:val="000000" w:themeColor="text1"/>
          <w:sz w:val="22"/>
          <w:szCs w:val="22"/>
          <w:lang w:eastAsia="en-US" w:bidi="ar-SA"/>
        </w:rPr>
        <w:t xml:space="preserve">Zamawiającym i Zakładem Usług Komunalnych  w Węglińcu technologie i sposób realizacji uwarunkowań określonych w pkt. </w:t>
      </w:r>
      <w:r w:rsidR="0025249A" w:rsidRPr="00F21419">
        <w:rPr>
          <w:rFonts w:ascii="Times New Roman" w:eastAsia="Times New Roman" w:hAnsi="Times New Roman" w:cs="Times New Roman"/>
          <w:bCs/>
          <w:color w:val="000000" w:themeColor="text1"/>
          <w:sz w:val="22"/>
          <w:szCs w:val="22"/>
          <w:lang w:eastAsia="en-US" w:bidi="ar-SA"/>
        </w:rPr>
        <w:t>9.3</w:t>
      </w:r>
      <w:r w:rsidRPr="00F21419">
        <w:rPr>
          <w:rFonts w:ascii="Times New Roman" w:eastAsia="Times New Roman" w:hAnsi="Times New Roman" w:cs="Times New Roman"/>
          <w:bCs/>
          <w:color w:val="000000" w:themeColor="text1"/>
          <w:sz w:val="22"/>
          <w:szCs w:val="22"/>
          <w:lang w:eastAsia="en-US" w:bidi="ar-SA"/>
        </w:rPr>
        <w:t>.</w:t>
      </w:r>
    </w:p>
    <w:p w14:paraId="5D880B81" w14:textId="7460F99D" w:rsidR="00500F8F" w:rsidRPr="00F21419"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rozwiązania kwestii poboru wody  i energii elektrycznej; </w:t>
      </w:r>
    </w:p>
    <w:p w14:paraId="472E4D9F" w14:textId="77777777"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lastRenderedPageBreak/>
        <w:t>uczestniczenia w radach budowy zwoływanych nie rzadziej niż dwa w miesiącu oraz na każde wezwanie Zamawiającego);</w:t>
      </w:r>
    </w:p>
    <w:p w14:paraId="5664ACF8" w14:textId="77777777" w:rsidR="00500F8F" w:rsidRPr="00F21419" w:rsidRDefault="00500F8F" w:rsidP="009F2CB5">
      <w:pPr>
        <w:widowControl/>
        <w:numPr>
          <w:ilvl w:val="1"/>
          <w:numId w:val="68"/>
        </w:numPr>
        <w:ind w:left="851" w:hanging="502"/>
        <w:contextualSpacing/>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pozyskania, przygotowanie i transportu do miejsca wskazanego przez Zamawiającego materiałów rozbiórkowych, oraz utylizacja pozostałych materiałów.  </w:t>
      </w:r>
    </w:p>
    <w:p w14:paraId="6664E2E4" w14:textId="77777777" w:rsidR="0049657E"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uporządkowania terenu po zakończeniu budowy;</w:t>
      </w:r>
    </w:p>
    <w:p w14:paraId="6622367E" w14:textId="6254487D"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F21419">
        <w:rPr>
          <w:rFonts w:ascii="Times New Roman" w:eastAsia="Times New Roman" w:hAnsi="Times New Roman" w:cs="Times New Roman"/>
          <w:color w:val="000000" w:themeColor="text1"/>
          <w:sz w:val="22"/>
          <w:szCs w:val="22"/>
          <w:lang w:eastAsia="en-US" w:bidi="ar-SA"/>
        </w:rPr>
        <w:t>Sposób utylizacji e</w:t>
      </w:r>
      <w:r w:rsidRPr="00F21419">
        <w:rPr>
          <w:rFonts w:ascii="Times New Roman" w:eastAsia="Times New Roman" w:hAnsi="Times New Roman" w:cs="Times New Roman"/>
          <w:color w:val="000000" w:themeColor="text1"/>
          <w:sz w:val="22"/>
          <w:szCs w:val="22"/>
          <w:lang w:eastAsia="en-US" w:bidi="ar-SA"/>
        </w:rPr>
        <w:t>lement</w:t>
      </w:r>
      <w:r w:rsidR="00096285" w:rsidRPr="00F21419">
        <w:rPr>
          <w:rFonts w:ascii="Times New Roman" w:eastAsia="Times New Roman" w:hAnsi="Times New Roman" w:cs="Times New Roman"/>
          <w:color w:val="000000" w:themeColor="text1"/>
          <w:sz w:val="22"/>
          <w:szCs w:val="22"/>
          <w:lang w:eastAsia="en-US" w:bidi="ar-SA"/>
        </w:rPr>
        <w:t>ów</w:t>
      </w:r>
      <w:r w:rsidRPr="00F21419">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F21419">
        <w:rPr>
          <w:rFonts w:ascii="Times New Roman" w:eastAsia="Times New Roman" w:hAnsi="Times New Roman" w:cs="Times New Roman"/>
          <w:color w:val="000000" w:themeColor="text1"/>
          <w:sz w:val="22"/>
          <w:szCs w:val="22"/>
          <w:lang w:eastAsia="en-US" w:bidi="ar-SA"/>
        </w:rPr>
        <w:t>ą</w:t>
      </w:r>
      <w:r w:rsidRPr="00F21419">
        <w:rPr>
          <w:rFonts w:ascii="Times New Roman" w:eastAsia="Times New Roman" w:hAnsi="Times New Roman" w:cs="Times New Roman"/>
          <w:color w:val="000000" w:themeColor="text1"/>
          <w:sz w:val="22"/>
          <w:szCs w:val="22"/>
          <w:lang w:eastAsia="en-US" w:bidi="ar-SA"/>
        </w:rPr>
        <w:t xml:space="preserve"> uzgodnić z Zakładem Usług Komunalnych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Węglińcu</w:t>
      </w:r>
    </w:p>
    <w:p w14:paraId="49916DFE" w14:textId="5A7A368C" w:rsidR="00500F8F" w:rsidRPr="00F21419" w:rsidRDefault="00500F8F" w:rsidP="009F2CB5">
      <w:pPr>
        <w:widowControl/>
        <w:numPr>
          <w:ilvl w:val="1"/>
          <w:numId w:val="68"/>
        </w:numPr>
        <w:autoSpaceDE w:val="0"/>
        <w:autoSpaceDN w:val="0"/>
        <w:adjustRightInd w:val="0"/>
        <w:spacing w:after="160" w:line="259" w:lineRule="auto"/>
        <w:ind w:left="851" w:hanging="567"/>
        <w:contextualSpacing/>
        <w:jc w:val="both"/>
        <w:rPr>
          <w:rFonts w:asciiTheme="minorHAnsi" w:eastAsiaTheme="minorHAnsi" w:hAnsiTheme="minorHAnsi" w:cstheme="minorBidi"/>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przedłożenia p</w:t>
      </w:r>
      <w:r w:rsidR="00EC49FA" w:rsidRPr="00F21419">
        <w:rPr>
          <w:rFonts w:ascii="Times New Roman" w:eastAsia="Times New Roman" w:hAnsi="Times New Roman" w:cs="Times New Roman"/>
          <w:color w:val="000000" w:themeColor="text1"/>
          <w:sz w:val="22"/>
          <w:szCs w:val="22"/>
          <w:lang w:eastAsia="en-US" w:bidi="ar-SA"/>
        </w:rPr>
        <w:t>o</w:t>
      </w:r>
      <w:r w:rsidRPr="00F21419">
        <w:rPr>
          <w:rFonts w:ascii="Times New Roman" w:eastAsia="Times New Roman" w:hAnsi="Times New Roman" w:cs="Times New Roman"/>
          <w:color w:val="000000" w:themeColor="text1"/>
          <w:sz w:val="22"/>
          <w:szCs w:val="22"/>
          <w:lang w:eastAsia="en-US" w:bidi="ar-SA"/>
        </w:rPr>
        <w:t xml:space="preserve"> zawarc</w:t>
      </w:r>
      <w:r w:rsidR="00EC49FA" w:rsidRPr="00F21419">
        <w:rPr>
          <w:rFonts w:ascii="Times New Roman" w:eastAsia="Times New Roman" w:hAnsi="Times New Roman" w:cs="Times New Roman"/>
          <w:color w:val="000000" w:themeColor="text1"/>
          <w:sz w:val="22"/>
          <w:szCs w:val="22"/>
          <w:lang w:eastAsia="en-US" w:bidi="ar-SA"/>
        </w:rPr>
        <w:t>iu</w:t>
      </w:r>
      <w:r w:rsidRPr="00F21419">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F21419">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F21419">
        <w:rPr>
          <w:rFonts w:ascii="Times New Roman" w:eastAsia="Times New Roman" w:hAnsi="Times New Roman" w:cs="Times New Roman"/>
          <w:b/>
          <w:bCs/>
          <w:color w:val="000000" w:themeColor="text1"/>
          <w:sz w:val="22"/>
          <w:szCs w:val="22"/>
          <w:lang w:eastAsia="en-US" w:bidi="ar-SA"/>
        </w:rPr>
        <w:t>1</w:t>
      </w:r>
      <w:r w:rsidRPr="00F21419">
        <w:rPr>
          <w:rFonts w:ascii="Times New Roman" w:eastAsia="Times New Roman" w:hAnsi="Times New Roman" w:cs="Times New Roman"/>
          <w:b/>
          <w:bCs/>
          <w:color w:val="000000" w:themeColor="text1"/>
          <w:sz w:val="22"/>
          <w:szCs w:val="22"/>
          <w:lang w:eastAsia="en-US" w:bidi="ar-SA"/>
        </w:rPr>
        <w:t xml:space="preserve"> 000 000 zł,</w:t>
      </w:r>
      <w:r w:rsidRPr="00F21419">
        <w:rPr>
          <w:rFonts w:ascii="Times New Roman" w:eastAsia="Times New Roman" w:hAnsi="Times New Roman" w:cs="Times New Roman"/>
          <w:color w:val="000000" w:themeColor="text1"/>
          <w:sz w:val="22"/>
          <w:szCs w:val="22"/>
          <w:lang w:eastAsia="en-US" w:bidi="ar-SA"/>
        </w:rPr>
        <w:t xml:space="preserve">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 xml:space="preserve">całym okresie trwania umowy, a na 7 dni przed zakończeniem obowiązywania złożonej polisy, przedłoży nowy, aktualny dokument kontynuacji ubezpieczenia  pod rygorem wstrzymania budowy z winy Wykonawcy; </w:t>
      </w:r>
    </w:p>
    <w:p w14:paraId="6BFA49DC" w14:textId="46907318" w:rsidR="008A49C0" w:rsidRPr="00F21419" w:rsidRDefault="008961F7"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 </w:t>
      </w:r>
      <w:r w:rsidR="00500F8F" w:rsidRPr="00F21419">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096285" w:rsidRPr="00F21419">
        <w:rPr>
          <w:rFonts w:ascii="Times New Roman" w:eastAsiaTheme="minorHAnsi" w:hAnsi="Times New Roman" w:cs="Times New Roman"/>
          <w:color w:val="000000" w:themeColor="text1"/>
          <w:sz w:val="22"/>
          <w:szCs w:val="22"/>
          <w:lang w:eastAsia="en-US" w:bidi="ar-SA"/>
        </w:rPr>
        <w:t xml:space="preserve"> </w:t>
      </w:r>
    </w:p>
    <w:p w14:paraId="69C9B35A" w14:textId="517B3E04" w:rsidR="00500F8F" w:rsidRPr="00F21419" w:rsidRDefault="00500F8F"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77777777" w:rsidR="00500F8F" w:rsidRPr="00F21419" w:rsidRDefault="00500F8F" w:rsidP="009F2CB5">
      <w:pPr>
        <w:widowControl/>
        <w:numPr>
          <w:ilvl w:val="1"/>
          <w:numId w:val="68"/>
        </w:numPr>
        <w:ind w:left="851" w:hanging="567"/>
        <w:jc w:val="both"/>
        <w:rPr>
          <w:rFonts w:ascii="Times New Roman" w:eastAsiaTheme="minorHAnsi"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bookmarkEnd w:id="8"/>
    <w:bookmarkEnd w:id="12"/>
    <w:p w14:paraId="6410D576" w14:textId="03CC331F" w:rsidR="00500F8F" w:rsidRPr="00CA2D56" w:rsidRDefault="00500F8F" w:rsidP="0097162E">
      <w:pPr>
        <w:pStyle w:val="Akapitzlist"/>
        <w:widowControl/>
        <w:numPr>
          <w:ilvl w:val="0"/>
          <w:numId w:val="68"/>
        </w:numPr>
        <w:autoSpaceDE w:val="0"/>
        <w:autoSpaceDN w:val="0"/>
        <w:adjustRightInd w:val="0"/>
        <w:spacing w:line="259" w:lineRule="auto"/>
        <w:ind w:left="284"/>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04820F56"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r w:rsidR="007B19BB" w:rsidRPr="007B19BB">
        <w:rPr>
          <w:rFonts w:ascii="Times New Roman" w:eastAsiaTheme="minorHAnsi" w:hAnsi="Times New Roman" w:cs="Times New Roman"/>
          <w:color w:val="000000" w:themeColor="text1"/>
          <w:sz w:val="23"/>
          <w:szCs w:val="23"/>
          <w:lang w:eastAsia="en-US" w:bidi="ar-SA"/>
        </w:rPr>
        <w:t>–</w:t>
      </w:r>
      <w:r w:rsidRPr="008825CE">
        <w:rPr>
          <w:rFonts w:ascii="Times New Roman" w:eastAsiaTheme="minorHAnsi" w:hAnsi="Times New Roman" w:cs="Times New Roman"/>
          <w:color w:val="000000" w:themeColor="text1"/>
          <w:sz w:val="23"/>
          <w:szCs w:val="23"/>
          <w:lang w:eastAsia="en-US" w:bidi="ar-SA"/>
        </w:rPr>
        <w:t xml:space="preserve"> 45100000-8 </w:t>
      </w:r>
      <w:r w:rsidR="00F8720B">
        <w:rPr>
          <w:rFonts w:ascii="Times New Roman" w:eastAsiaTheme="minorHAnsi" w:hAnsi="Times New Roman" w:cs="Times New Roman"/>
          <w:color w:val="000000" w:themeColor="text1"/>
          <w:sz w:val="23"/>
          <w:szCs w:val="23"/>
          <w:lang w:eastAsia="en-US" w:bidi="ar-SA"/>
        </w:rPr>
        <w:t>Przygotowanie terenu pod budowę</w:t>
      </w:r>
      <w:r w:rsidRPr="008825CE">
        <w:rPr>
          <w:rFonts w:ascii="Times New Roman" w:eastAsiaTheme="minorHAnsi" w:hAnsi="Times New Roman" w:cs="Times New Roman"/>
          <w:color w:val="000000" w:themeColor="text1"/>
          <w:sz w:val="23"/>
          <w:szCs w:val="23"/>
          <w:lang w:eastAsia="en-US" w:bidi="ar-SA"/>
        </w:rPr>
        <w:t xml:space="preserve">. </w:t>
      </w:r>
    </w:p>
    <w:p w14:paraId="5874339D" w14:textId="68EB99B7"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bookmarkStart w:id="14" w:name="_Hlk127529928"/>
      <w:r w:rsidR="00F8720B">
        <w:rPr>
          <w:rFonts w:ascii="Times New Roman" w:eastAsiaTheme="minorHAnsi" w:hAnsi="Times New Roman" w:cs="Times New Roman"/>
          <w:color w:val="000000" w:themeColor="text1"/>
          <w:sz w:val="23"/>
          <w:szCs w:val="23"/>
          <w:lang w:eastAsia="en-US" w:bidi="ar-SA"/>
        </w:rPr>
        <w:t>–</w:t>
      </w:r>
      <w:bookmarkEnd w:id="14"/>
      <w:r w:rsidRPr="008825CE">
        <w:rPr>
          <w:rFonts w:ascii="Times New Roman" w:eastAsiaTheme="minorHAnsi" w:hAnsi="Times New Roman" w:cs="Times New Roman"/>
          <w:color w:val="000000" w:themeColor="text1"/>
          <w:sz w:val="23"/>
          <w:szCs w:val="23"/>
          <w:lang w:eastAsia="en-US" w:bidi="ar-SA"/>
        </w:rPr>
        <w:t xml:space="preserve"> 452</w:t>
      </w:r>
      <w:r w:rsidR="00F8720B">
        <w:rPr>
          <w:rFonts w:ascii="Times New Roman" w:eastAsiaTheme="minorHAnsi" w:hAnsi="Times New Roman" w:cs="Times New Roman"/>
          <w:color w:val="000000" w:themeColor="text1"/>
          <w:sz w:val="23"/>
          <w:szCs w:val="23"/>
          <w:lang w:eastAsia="en-US" w:bidi="ar-SA"/>
        </w:rPr>
        <w:t>22100-0</w:t>
      </w:r>
      <w:r w:rsidRPr="008825CE">
        <w:rPr>
          <w:rFonts w:ascii="Times New Roman" w:eastAsiaTheme="minorHAnsi" w:hAnsi="Times New Roman" w:cs="Times New Roman"/>
          <w:color w:val="000000" w:themeColor="text1"/>
          <w:sz w:val="23"/>
          <w:szCs w:val="23"/>
          <w:lang w:eastAsia="en-US" w:bidi="ar-SA"/>
        </w:rPr>
        <w:t xml:space="preserve"> Roboty budowlane w zakresie</w:t>
      </w:r>
      <w:r w:rsidR="00F8720B">
        <w:rPr>
          <w:rFonts w:ascii="Times New Roman" w:eastAsiaTheme="minorHAnsi" w:hAnsi="Times New Roman" w:cs="Times New Roman"/>
          <w:color w:val="000000" w:themeColor="text1"/>
          <w:sz w:val="23"/>
          <w:szCs w:val="23"/>
          <w:lang w:eastAsia="en-US" w:bidi="ar-SA"/>
        </w:rPr>
        <w:t xml:space="preserve"> zakładów uzdatniania odpadów</w:t>
      </w:r>
    </w:p>
    <w:p w14:paraId="7CED010C" w14:textId="15D39C48" w:rsidR="00500F8F" w:rsidRPr="008825CE" w:rsidRDefault="00500F8F" w:rsidP="009F2CB5">
      <w:pPr>
        <w:widowControl/>
        <w:autoSpaceDE w:val="0"/>
        <w:autoSpaceDN w:val="0"/>
        <w:adjustRightInd w:val="0"/>
        <w:ind w:left="2127" w:hanging="1843"/>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w:t>
      </w:r>
      <w:r w:rsidR="00F8720B">
        <w:rPr>
          <w:rFonts w:ascii="Times New Roman" w:eastAsiaTheme="minorHAnsi" w:hAnsi="Times New Roman" w:cs="Times New Roman"/>
          <w:color w:val="000000" w:themeColor="text1"/>
          <w:sz w:val="23"/>
          <w:szCs w:val="23"/>
          <w:lang w:eastAsia="en-US" w:bidi="ar-SA"/>
        </w:rPr>
        <w:t xml:space="preserve">231300-8 </w:t>
      </w:r>
      <w:r w:rsidRPr="008825CE">
        <w:rPr>
          <w:rFonts w:ascii="Times New Roman" w:eastAsiaTheme="minorHAnsi" w:hAnsi="Times New Roman" w:cs="Times New Roman"/>
          <w:color w:val="000000" w:themeColor="text1"/>
          <w:sz w:val="23"/>
          <w:szCs w:val="23"/>
          <w:lang w:eastAsia="en-US" w:bidi="ar-SA"/>
        </w:rPr>
        <w:t xml:space="preserve">Roboty </w:t>
      </w:r>
      <w:r w:rsidR="00F8720B">
        <w:rPr>
          <w:rFonts w:ascii="Times New Roman" w:eastAsiaTheme="minorHAnsi" w:hAnsi="Times New Roman" w:cs="Times New Roman"/>
          <w:color w:val="000000" w:themeColor="text1"/>
          <w:sz w:val="23"/>
          <w:szCs w:val="23"/>
          <w:lang w:eastAsia="en-US" w:bidi="ar-SA"/>
        </w:rPr>
        <w:t xml:space="preserve">budowlane </w:t>
      </w:r>
      <w:r w:rsidRPr="008825CE">
        <w:rPr>
          <w:rFonts w:ascii="Times New Roman" w:eastAsiaTheme="minorHAnsi" w:hAnsi="Times New Roman" w:cs="Times New Roman"/>
          <w:color w:val="000000" w:themeColor="text1"/>
          <w:sz w:val="23"/>
          <w:szCs w:val="23"/>
          <w:lang w:eastAsia="en-US" w:bidi="ar-SA"/>
        </w:rPr>
        <w:t xml:space="preserve">w zakresie </w:t>
      </w:r>
      <w:r w:rsidR="00F8720B">
        <w:rPr>
          <w:rFonts w:ascii="Times New Roman" w:eastAsiaTheme="minorHAnsi" w:hAnsi="Times New Roman" w:cs="Times New Roman"/>
          <w:color w:val="000000" w:themeColor="text1"/>
          <w:sz w:val="23"/>
          <w:szCs w:val="23"/>
          <w:lang w:eastAsia="en-US" w:bidi="ar-SA"/>
        </w:rPr>
        <w:t>budowy wodociągów i rurociągów do odpr</w:t>
      </w:r>
      <w:r w:rsidR="00B0287E">
        <w:rPr>
          <w:rFonts w:ascii="Times New Roman" w:eastAsiaTheme="minorHAnsi" w:hAnsi="Times New Roman" w:cs="Times New Roman"/>
          <w:color w:val="000000" w:themeColor="text1"/>
          <w:sz w:val="23"/>
          <w:szCs w:val="23"/>
          <w:lang w:eastAsia="en-US" w:bidi="ar-SA"/>
        </w:rPr>
        <w:t>o</w:t>
      </w:r>
      <w:r w:rsidR="00F8720B">
        <w:rPr>
          <w:rFonts w:ascii="Times New Roman" w:eastAsiaTheme="minorHAnsi" w:hAnsi="Times New Roman" w:cs="Times New Roman"/>
          <w:color w:val="000000" w:themeColor="text1"/>
          <w:sz w:val="23"/>
          <w:szCs w:val="23"/>
          <w:lang w:eastAsia="en-US" w:bidi="ar-SA"/>
        </w:rPr>
        <w:t xml:space="preserve">wadzania </w:t>
      </w:r>
      <w:r w:rsidR="00B0287E">
        <w:rPr>
          <w:rFonts w:ascii="Times New Roman" w:eastAsiaTheme="minorHAnsi" w:hAnsi="Times New Roman" w:cs="Times New Roman"/>
          <w:color w:val="000000" w:themeColor="text1"/>
          <w:sz w:val="23"/>
          <w:szCs w:val="23"/>
          <w:lang w:eastAsia="en-US" w:bidi="ar-SA"/>
        </w:rPr>
        <w:t>ś</w:t>
      </w:r>
      <w:r w:rsidR="00F8720B">
        <w:rPr>
          <w:rFonts w:ascii="Times New Roman" w:eastAsiaTheme="minorHAnsi" w:hAnsi="Times New Roman" w:cs="Times New Roman"/>
          <w:color w:val="000000" w:themeColor="text1"/>
          <w:sz w:val="23"/>
          <w:szCs w:val="23"/>
          <w:lang w:eastAsia="en-US" w:bidi="ar-SA"/>
        </w:rPr>
        <w:t xml:space="preserve">cieków </w:t>
      </w:r>
    </w:p>
    <w:p w14:paraId="6F91F729" w14:textId="1E90AE35"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4523</w:t>
      </w:r>
      <w:r w:rsidR="00F8720B">
        <w:rPr>
          <w:rFonts w:ascii="Times New Roman" w:eastAsiaTheme="minorHAnsi" w:hAnsi="Times New Roman" w:cs="Times New Roman"/>
          <w:color w:val="000000" w:themeColor="text1"/>
          <w:sz w:val="23"/>
          <w:szCs w:val="23"/>
          <w:lang w:eastAsia="en-US" w:bidi="ar-SA"/>
        </w:rPr>
        <w:t>2421-9</w:t>
      </w:r>
      <w:r w:rsidRPr="008825CE">
        <w:rPr>
          <w:rFonts w:ascii="Times New Roman" w:eastAsiaTheme="minorHAnsi" w:hAnsi="Times New Roman" w:cs="Times New Roman"/>
          <w:color w:val="000000" w:themeColor="text1"/>
          <w:sz w:val="23"/>
          <w:szCs w:val="23"/>
          <w:lang w:eastAsia="en-US" w:bidi="ar-SA"/>
        </w:rPr>
        <w:t xml:space="preserve"> Roboty w zakresie </w:t>
      </w:r>
      <w:r w:rsidR="00F8720B">
        <w:rPr>
          <w:rFonts w:ascii="Times New Roman" w:eastAsiaTheme="minorHAnsi" w:hAnsi="Times New Roman" w:cs="Times New Roman"/>
          <w:color w:val="000000" w:themeColor="text1"/>
          <w:sz w:val="23"/>
          <w:szCs w:val="23"/>
          <w:lang w:eastAsia="en-US" w:bidi="ar-SA"/>
        </w:rPr>
        <w:t>oczyszczania</w:t>
      </w:r>
      <w:r w:rsidRPr="008825CE">
        <w:rPr>
          <w:rFonts w:ascii="Times New Roman" w:eastAsiaTheme="minorHAnsi" w:hAnsi="Times New Roman" w:cs="Times New Roman"/>
          <w:color w:val="000000" w:themeColor="text1"/>
          <w:sz w:val="23"/>
          <w:szCs w:val="23"/>
          <w:lang w:eastAsia="en-US" w:bidi="ar-SA"/>
        </w:rPr>
        <w:t xml:space="preserve"> ścieków</w:t>
      </w:r>
    </w:p>
    <w:p w14:paraId="65722AEF" w14:textId="77777777" w:rsidR="00500F8F" w:rsidRPr="008825CE"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DF0F9E" w:rsidRDefault="00DF0F9E" w:rsidP="00235E99">
      <w:pPr>
        <w:widowControl/>
        <w:suppressAutoHyphens/>
        <w:autoSpaceDE w:val="0"/>
        <w:autoSpaceDN w:val="0"/>
        <w:adjustRightInd w:val="0"/>
        <w:jc w:val="both"/>
        <w:rPr>
          <w:rFonts w:ascii="Times New Roman" w:eastAsia="Times New Roman" w:hAnsi="Times New Roman" w:cs="Times New Roman"/>
          <w:b/>
          <w:bCs/>
          <w:lang w:eastAsia="ar-SA" w:bidi="ar-SA"/>
        </w:rPr>
      </w:pPr>
      <w:bookmarkStart w:id="15" w:name="_Hlk89256071"/>
      <w:bookmarkEnd w:id="13"/>
      <w:r w:rsidRPr="00235E99">
        <w:rPr>
          <w:rFonts w:ascii="Times New Roman" w:eastAsia="Times New Roman" w:hAnsi="Times New Roman" w:cs="Times New Roman"/>
          <w:b/>
          <w:bCs/>
          <w:color w:val="auto"/>
          <w:lang w:eastAsia="ar-SA" w:bidi="ar-SA"/>
        </w:rPr>
        <w:t xml:space="preserve">Zamówienie jest </w:t>
      </w:r>
      <w:r w:rsidRPr="00DF0F9E">
        <w:rPr>
          <w:rFonts w:ascii="Times New Roman" w:eastAsia="Times New Roman" w:hAnsi="Times New Roman" w:cs="Times New Roman"/>
          <w:b/>
          <w:bCs/>
          <w:color w:val="auto"/>
          <w:lang w:eastAsia="ar-SA" w:bidi="ar-SA"/>
        </w:rPr>
        <w:t xml:space="preserve">dofinansowane ze środków Europejskiego Funduszu Rolnego na rzecz Rozwoju Obszarów Wiejskich w ramach Programu Rozwoju Obszarów Wiejskich na lata 2014-2020, poddziałanie </w:t>
      </w:r>
      <w:r w:rsidRPr="00DF0F9E">
        <w:rPr>
          <w:rFonts w:ascii="Times New Roman" w:eastAsia="Times New Roman" w:hAnsi="Times New Roman" w:cs="Times New Roman"/>
          <w:b/>
          <w:bCs/>
          <w:lang w:eastAsia="ar-SA" w:bidi="ar-SA"/>
        </w:rPr>
        <w:t>„Wsparcie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5"/>
    <w:p w14:paraId="017A10BC" w14:textId="0A74CC36" w:rsidR="00481225" w:rsidRPr="007E18B3" w:rsidRDefault="00B479F5">
      <w:pPr>
        <w:pStyle w:val="Teksttreci70"/>
        <w:shd w:val="clear" w:color="auto" w:fill="auto"/>
        <w:spacing w:before="0" w:after="238" w:line="260" w:lineRule="exact"/>
        <w:ind w:firstLine="0"/>
        <w:jc w:val="both"/>
        <w:rPr>
          <w:rFonts w:ascii="Times New Roman" w:hAnsi="Times New Roman" w:cs="Times New Roman"/>
          <w:i w:val="0"/>
          <w:iCs w:val="0"/>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EE066D">
        <w:rPr>
          <w:rStyle w:val="Teksttreci7FranklinGothicBook13ptBezkursywy"/>
          <w:rFonts w:ascii="Times New Roman" w:hAnsi="Times New Roman" w:cs="Times New Roman"/>
          <w:i/>
          <w:iCs/>
          <w:color w:val="auto"/>
          <w:sz w:val="22"/>
          <w:szCs w:val="22"/>
        </w:rPr>
        <w:t>7</w:t>
      </w:r>
      <w:r w:rsidRPr="00EE066D">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7E18B3">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77777777"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20FAFB6E"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97162E">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1810388"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lastRenderedPageBreak/>
        <w:t>Przy tego typu robotach wykonywanych przez różnych wykonawców opóźnienie jednego z</w:t>
      </w:r>
      <w:r w:rsidR="00427245">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4DECDBF2"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w:t>
      </w:r>
      <w:r w:rsidR="00427245">
        <w:rPr>
          <w:rFonts w:ascii="Times New Roman" w:hAnsi="Times New Roman" w:cs="Times New Roman"/>
          <w:sz w:val="22"/>
          <w:szCs w:val="22"/>
        </w:rPr>
        <w:t> </w:t>
      </w:r>
      <w:r w:rsidRPr="00CA2D56">
        <w:rPr>
          <w:rFonts w:ascii="Times New Roman" w:hAnsi="Times New Roman" w:cs="Times New Roman"/>
          <w:sz w:val="22"/>
          <w:szCs w:val="22"/>
        </w:rPr>
        <w:t>ofert częściowych wykonawca musiałby założyć odrębną wycenę użycia tego samego rodzaju sprzętu, w sytuacji, w której, składając jedną ofertę, użycie sprzętu wyceniłby jednokrotnie. W</w:t>
      </w:r>
      <w:r w:rsidR="00427245">
        <w:rPr>
          <w:rFonts w:ascii="Times New Roman" w:hAnsi="Times New Roman" w:cs="Times New Roman"/>
          <w:sz w:val="22"/>
          <w:szCs w:val="22"/>
        </w:rPr>
        <w:t> </w:t>
      </w:r>
      <w:r w:rsidRPr="00CA2D56">
        <w:rPr>
          <w:rFonts w:ascii="Times New Roman" w:hAnsi="Times New Roman" w:cs="Times New Roman"/>
          <w:sz w:val="22"/>
          <w:szCs w:val="22"/>
        </w:rPr>
        <w:t xml:space="preserve">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3B26950F"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427245">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7E18B3" w:rsidRDefault="00B479F5">
      <w:pPr>
        <w:pStyle w:val="Teksttreci60"/>
        <w:shd w:val="clear" w:color="auto" w:fill="auto"/>
        <w:spacing w:after="242" w:line="240" w:lineRule="exact"/>
        <w:ind w:firstLine="0"/>
        <w:rPr>
          <w:rFonts w:ascii="Times New Roman" w:hAnsi="Times New Roman" w:cs="Times New Roman"/>
          <w:i w:val="0"/>
          <w:iCs w:val="0"/>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7E18B3">
        <w:rPr>
          <w:rStyle w:val="Teksttreci69ptMaelitery"/>
          <w:rFonts w:ascii="Times New Roman" w:hAnsi="Times New Roman" w:cs="Times New Roman"/>
          <w:i/>
          <w:iCs/>
          <w:color w:val="auto"/>
          <w:sz w:val="22"/>
          <w:szCs w:val="22"/>
        </w:rPr>
        <w:t>(ART. 281 UST. 2</w:t>
      </w:r>
      <w:r w:rsidR="0097753A" w:rsidRPr="007E18B3">
        <w:rPr>
          <w:rStyle w:val="Teksttreci69pt"/>
          <w:rFonts w:ascii="Times New Roman" w:hAnsi="Times New Roman" w:cs="Times New Roman"/>
          <w:i/>
          <w:iCs/>
          <w:color w:val="auto"/>
          <w:sz w:val="22"/>
          <w:szCs w:val="22"/>
        </w:rPr>
        <w:t xml:space="preserve"> PKT 6</w:t>
      </w:r>
      <w:r w:rsidR="0097753A" w:rsidRPr="007E18B3">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EE066D">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3C08A74C" w:rsidR="00843B72" w:rsidRPr="00135324"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Pr>
          <w:rFonts w:ascii="Times New Roman" w:hAnsi="Times New Roman" w:cs="Times New Roman"/>
          <w:color w:val="auto"/>
          <w:sz w:val="22"/>
          <w:szCs w:val="22"/>
        </w:rPr>
        <w:t>:</w:t>
      </w:r>
      <w:r w:rsidR="00910B7C">
        <w:rPr>
          <w:rFonts w:ascii="Times New Roman" w:hAnsi="Times New Roman" w:cs="Times New Roman"/>
          <w:color w:val="auto"/>
          <w:sz w:val="22"/>
          <w:szCs w:val="22"/>
        </w:rPr>
        <w:t xml:space="preserve"> </w:t>
      </w:r>
      <w:r w:rsidR="00910B7C" w:rsidRPr="00135324">
        <w:rPr>
          <w:rFonts w:ascii="Times New Roman" w:hAnsi="Times New Roman" w:cs="Times New Roman"/>
          <w:b/>
          <w:bCs/>
          <w:color w:val="auto"/>
          <w:sz w:val="22"/>
          <w:szCs w:val="22"/>
        </w:rPr>
        <w:t xml:space="preserve">do </w:t>
      </w:r>
      <w:r w:rsidR="003333D6">
        <w:rPr>
          <w:rFonts w:ascii="Times New Roman" w:hAnsi="Times New Roman" w:cs="Times New Roman"/>
          <w:b/>
          <w:bCs/>
          <w:color w:val="auto"/>
          <w:sz w:val="22"/>
          <w:szCs w:val="22"/>
        </w:rPr>
        <w:t>7</w:t>
      </w:r>
      <w:r w:rsidR="00843B72" w:rsidRPr="00135324">
        <w:rPr>
          <w:rFonts w:ascii="Times New Roman" w:hAnsi="Times New Roman" w:cs="Times New Roman"/>
          <w:b/>
          <w:bCs/>
          <w:color w:val="auto"/>
          <w:sz w:val="22"/>
          <w:szCs w:val="22"/>
        </w:rPr>
        <w:t xml:space="preserve"> miesięcy od dnia podpisania umowy</w:t>
      </w:r>
      <w:r w:rsidR="00641861" w:rsidRPr="00135324">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PUBLICZNEGO, KTÓRE ZOSTANĄ WPROWADZONE DO TREŚCI TEJ UMOWY</w:t>
      </w:r>
      <w:r w:rsidR="0097753A" w:rsidRPr="00EE066D">
        <w:rPr>
          <w:rStyle w:val="Teksttreci61"/>
          <w:rFonts w:ascii="Times New Roman" w:hAnsi="Times New Roman" w:cs="Times New Roman"/>
          <w:i/>
          <w:iCs/>
          <w:color w:val="auto"/>
          <w:sz w:val="22"/>
          <w:szCs w:val="22"/>
        </w:rPr>
        <w:t xml:space="preserve"> </w:t>
      </w:r>
      <w:r w:rsidR="0097753A" w:rsidRPr="00EE066D">
        <w:rPr>
          <w:rStyle w:val="PogrubienieTeksttreci6Calibri10ptMaelitery"/>
          <w:rFonts w:ascii="Times New Roman" w:hAnsi="Times New Roman" w:cs="Times New Roman"/>
          <w:b w:val="0"/>
          <w:bCs w:val="0"/>
          <w:i/>
          <w:iCs/>
          <w:color w:val="auto"/>
          <w:sz w:val="22"/>
          <w:szCs w:val="22"/>
        </w:rPr>
        <w:t>(ART.</w:t>
      </w:r>
      <w:r w:rsidR="0097753A" w:rsidRPr="00EE066D">
        <w:rPr>
          <w:rStyle w:val="PogrubienieTeksttreci6Calibri10ptMaelitery"/>
          <w:rFonts w:ascii="Times New Roman" w:hAnsi="Times New Roman" w:cs="Times New Roman"/>
          <w:i/>
          <w:iCs/>
          <w:color w:val="auto"/>
          <w:sz w:val="22"/>
          <w:szCs w:val="22"/>
        </w:rPr>
        <w:t xml:space="preserve"> </w:t>
      </w:r>
      <w:r w:rsidR="0097753A" w:rsidRPr="00EE066D">
        <w:rPr>
          <w:rStyle w:val="Teksttreci69ptMaelitery"/>
          <w:rFonts w:ascii="Times New Roman" w:hAnsi="Times New Roman" w:cs="Times New Roman"/>
          <w:i/>
          <w:iCs/>
          <w:color w:val="auto"/>
          <w:sz w:val="22"/>
          <w:szCs w:val="22"/>
        </w:rPr>
        <w:t xml:space="preserve">281 UST. 1 PKT 7 USTAWY </w:t>
      </w:r>
      <w:r w:rsidR="0097753A" w:rsidRPr="00EE066D">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EE066D">
        <w:rPr>
          <w:rStyle w:val="Teksttreci71"/>
          <w:rFonts w:ascii="Times New Roman" w:hAnsi="Times New Roman" w:cs="Times New Roman"/>
          <w:i/>
          <w:iCs/>
          <w:color w:val="auto"/>
          <w:sz w:val="22"/>
          <w:szCs w:val="22"/>
        </w:rPr>
        <w:t xml:space="preserve">(ART. 281 </w:t>
      </w:r>
      <w:r w:rsidR="0097753A" w:rsidRPr="00EE066D">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433FF01F"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przesyłania odpowiedzi na wezwanie Zamawiającego do złożenia/poprawienia/uzupełnienia oświadczenia, o którym mowa w art. 125 ust. 1, podmiotowych środków dowodowych, innych </w:t>
      </w:r>
      <w:r w:rsidRPr="00EA6353">
        <w:rPr>
          <w:rFonts w:ascii="Times New Roman" w:hAnsi="Times New Roman" w:cs="Times New Roman"/>
          <w:b w:val="0"/>
          <w:bCs w:val="0"/>
          <w:color w:val="auto"/>
          <w:sz w:val="22"/>
          <w:szCs w:val="22"/>
        </w:rPr>
        <w:lastRenderedPageBreak/>
        <w:t>dokumentów lub oświadczeń składanych w postępowaniu;</w:t>
      </w:r>
    </w:p>
    <w:p w14:paraId="4D5164D2"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1A336F6C"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w:t>
      </w:r>
      <w:r w:rsidR="0097753A" w:rsidRPr="00816A8D">
        <w:rPr>
          <w:rStyle w:val="Teksttreci61"/>
          <w:rFonts w:ascii="Times New Roman" w:hAnsi="Times New Roman" w:cs="Times New Roman"/>
          <w:color w:val="auto"/>
          <w:sz w:val="22"/>
          <w:szCs w:val="22"/>
        </w:rPr>
        <w:lastRenderedPageBreak/>
        <w:t xml:space="preserve">65 UST. 1. ART. 66 I ART. 69. </w:t>
      </w:r>
      <w:r w:rsidR="0097753A" w:rsidRPr="00EE066D">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EE066D">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33887BA" w:rsidR="00481225" w:rsidRPr="00204224"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204224" w:rsidRPr="00204224">
        <w:rPr>
          <w:rFonts w:ascii="Times New Roman" w:hAnsi="Times New Roman" w:cs="Times New Roman"/>
          <w:color w:val="auto"/>
          <w:sz w:val="22"/>
          <w:szCs w:val="22"/>
        </w:rPr>
        <w:t>yszard Sokołowski</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204224" w:rsidRPr="00204224">
        <w:rPr>
          <w:rFonts w:ascii="Times New Roman" w:hAnsi="Times New Roman" w:cs="Times New Roman"/>
          <w:color w:val="auto"/>
          <w:sz w:val="22"/>
          <w:szCs w:val="22"/>
        </w:rPr>
        <w:t>66</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6E436105" w:rsidR="00E0258A" w:rsidRDefault="00B479F5" w:rsidP="00BB50B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9EDDCF3" w14:textId="77777777" w:rsidR="00BB50B2" w:rsidRPr="00BB50B2" w:rsidRDefault="00BB50B2" w:rsidP="00BB50B2">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4F4402F0" w:rsidR="00481225" w:rsidRPr="00BB50B2" w:rsidRDefault="00B479F5">
      <w:pPr>
        <w:pStyle w:val="Teksttreci70"/>
        <w:shd w:val="clear" w:color="auto" w:fill="auto"/>
        <w:spacing w:before="0" w:after="210" w:line="240" w:lineRule="exact"/>
        <w:ind w:left="340" w:hanging="340"/>
        <w:jc w:val="both"/>
        <w:rPr>
          <w:rFonts w:ascii="Times New Roman" w:hAnsi="Times New Roman" w:cs="Times New Roman"/>
          <w:i w:val="0"/>
          <w:iCs w:val="0"/>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BB50B2">
        <w:rPr>
          <w:rStyle w:val="Teksttreci7Maelitery"/>
          <w:rFonts w:ascii="Times New Roman" w:hAnsi="Times New Roman" w:cs="Times New Roman"/>
          <w:i/>
          <w:iCs/>
          <w:color w:val="auto"/>
          <w:sz w:val="22"/>
          <w:szCs w:val="22"/>
        </w:rPr>
        <w:t xml:space="preserve">(ART.281 UST. </w:t>
      </w:r>
      <w:r w:rsidR="00D13F8C" w:rsidRPr="00BB50B2">
        <w:rPr>
          <w:rStyle w:val="Teksttreci7Maelitery"/>
          <w:rFonts w:ascii="Times New Roman" w:hAnsi="Times New Roman" w:cs="Times New Roman"/>
          <w:i/>
          <w:iCs/>
          <w:color w:val="auto"/>
          <w:sz w:val="22"/>
          <w:szCs w:val="22"/>
        </w:rPr>
        <w:t>1</w:t>
      </w:r>
      <w:r w:rsidR="005E391B" w:rsidRPr="00BB50B2">
        <w:rPr>
          <w:rStyle w:val="Teksttreci7Maelitery"/>
          <w:rFonts w:ascii="Times New Roman" w:hAnsi="Times New Roman" w:cs="Times New Roman"/>
          <w:i/>
          <w:iCs/>
          <w:color w:val="auto"/>
          <w:sz w:val="22"/>
          <w:szCs w:val="22"/>
        </w:rPr>
        <w:t xml:space="preserve"> PKT 11 USTAWY PZP)</w:t>
      </w:r>
    </w:p>
    <w:p w14:paraId="28037CFF" w14:textId="56D1BC02"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427245">
        <w:rPr>
          <w:rStyle w:val="Teksttreci2Kursywa"/>
          <w:rFonts w:ascii="Times New Roman" w:hAnsi="Times New Roman" w:cs="Times New Roman"/>
          <w:color w:val="auto"/>
          <w:sz w:val="22"/>
          <w:szCs w:val="22"/>
        </w:rPr>
        <w:t>dnia</w:t>
      </w:r>
      <w:r w:rsidR="00CA22BC" w:rsidRPr="00427245">
        <w:rPr>
          <w:rStyle w:val="Teksttreci2Kursywa"/>
          <w:rFonts w:ascii="Times New Roman" w:hAnsi="Times New Roman" w:cs="Times New Roman"/>
          <w:color w:val="auto"/>
          <w:sz w:val="22"/>
          <w:szCs w:val="22"/>
        </w:rPr>
        <w:t xml:space="preserve"> </w:t>
      </w:r>
      <w:r w:rsidR="001E11B7" w:rsidRPr="00427245">
        <w:rPr>
          <w:rStyle w:val="Teksttreci2Kursywa"/>
          <w:rFonts w:ascii="Times New Roman" w:hAnsi="Times New Roman" w:cs="Times New Roman"/>
          <w:b/>
          <w:bCs/>
          <w:color w:val="auto"/>
          <w:sz w:val="22"/>
          <w:szCs w:val="22"/>
        </w:rPr>
        <w:t>02</w:t>
      </w:r>
      <w:r w:rsidR="005E13F4" w:rsidRPr="00427245">
        <w:rPr>
          <w:rStyle w:val="Teksttreci2Kursywa"/>
          <w:rFonts w:ascii="Times New Roman" w:hAnsi="Times New Roman" w:cs="Times New Roman"/>
          <w:b/>
          <w:bCs/>
          <w:color w:val="auto"/>
          <w:sz w:val="22"/>
          <w:szCs w:val="22"/>
        </w:rPr>
        <w:t>.0</w:t>
      </w:r>
      <w:r w:rsidR="001E11B7" w:rsidRPr="00427245">
        <w:rPr>
          <w:rStyle w:val="Teksttreci2Kursywa"/>
          <w:rFonts w:ascii="Times New Roman" w:hAnsi="Times New Roman" w:cs="Times New Roman"/>
          <w:b/>
          <w:bCs/>
          <w:color w:val="auto"/>
          <w:sz w:val="22"/>
          <w:szCs w:val="22"/>
        </w:rPr>
        <w:t>6</w:t>
      </w:r>
      <w:r w:rsidR="007E083E" w:rsidRPr="00427245">
        <w:rPr>
          <w:rStyle w:val="Teksttreci2Kursywa"/>
          <w:rFonts w:ascii="Times New Roman" w:hAnsi="Times New Roman" w:cs="Times New Roman"/>
          <w:b/>
          <w:bCs/>
          <w:color w:val="auto"/>
          <w:sz w:val="22"/>
          <w:szCs w:val="22"/>
        </w:rPr>
        <w:t>.202</w:t>
      </w:r>
      <w:r w:rsidR="00B0287E" w:rsidRPr="00427245">
        <w:rPr>
          <w:rStyle w:val="Teksttreci2Kursywa"/>
          <w:rFonts w:ascii="Times New Roman" w:hAnsi="Times New Roman" w:cs="Times New Roman"/>
          <w:b/>
          <w:bCs/>
          <w:color w:val="auto"/>
          <w:sz w:val="22"/>
          <w:szCs w:val="22"/>
        </w:rPr>
        <w:t>3</w:t>
      </w:r>
      <w:r w:rsidR="0097162E" w:rsidRPr="00427245">
        <w:rPr>
          <w:rStyle w:val="Teksttreci2Kursywa"/>
          <w:rFonts w:ascii="Times New Roman" w:hAnsi="Times New Roman" w:cs="Times New Roman"/>
          <w:b/>
          <w:bCs/>
          <w:color w:val="auto"/>
          <w:sz w:val="22"/>
          <w:szCs w:val="22"/>
        </w:rPr>
        <w:t xml:space="preserve"> </w:t>
      </w:r>
      <w:r w:rsidR="00DC3FAE" w:rsidRPr="00427245">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pkt 2</w:t>
      </w:r>
      <w:r w:rsidRPr="00641861">
        <w:rPr>
          <w:rStyle w:val="Teksttreci2Pogrubienie"/>
          <w:rFonts w:ascii="Times New Roman" w:hAnsi="Times New Roman" w:cs="Times New Roman"/>
          <w:b w:val="0"/>
          <w:bCs w:val="0"/>
          <w:color w:val="auto"/>
          <w:sz w:val="22"/>
          <w:szCs w:val="22"/>
        </w:rPr>
        <w:t xml:space="preserve">,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BB50B2"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BB50B2">
        <w:rPr>
          <w:rStyle w:val="Teksttreci69ptMaelitery"/>
          <w:rFonts w:ascii="Times New Roman" w:hAnsi="Times New Roman" w:cs="Times New Roman"/>
          <w:i/>
          <w:iCs/>
          <w:color w:val="auto"/>
          <w:sz w:val="22"/>
          <w:szCs w:val="22"/>
        </w:rPr>
        <w:t xml:space="preserve">(ART. </w:t>
      </w:r>
      <w:r w:rsidR="005E391B" w:rsidRPr="00BB50B2">
        <w:rPr>
          <w:rStyle w:val="Teksttreci6Calibri"/>
          <w:rFonts w:ascii="Times New Roman" w:hAnsi="Times New Roman" w:cs="Times New Roman"/>
          <w:i/>
          <w:iCs/>
          <w:color w:val="auto"/>
          <w:sz w:val="22"/>
          <w:szCs w:val="22"/>
        </w:rPr>
        <w:t>28</w:t>
      </w:r>
      <w:r w:rsidR="005E391B" w:rsidRPr="00BB50B2">
        <w:rPr>
          <w:rStyle w:val="PogrubienieTeksttreci612pt"/>
          <w:rFonts w:ascii="Times New Roman" w:hAnsi="Times New Roman" w:cs="Times New Roman"/>
          <w:b w:val="0"/>
          <w:bCs w:val="0"/>
          <w:i/>
          <w:iCs/>
          <w:color w:val="auto"/>
          <w:sz w:val="22"/>
          <w:szCs w:val="22"/>
        </w:rPr>
        <w:t>1</w:t>
      </w:r>
      <w:r w:rsidR="005E391B" w:rsidRPr="00BB50B2">
        <w:rPr>
          <w:rStyle w:val="PogrubienieTeksttreci612pt"/>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 1</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PKT 12</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1199125" w:rsidR="00287FBA" w:rsidRPr="00FF6BDF" w:rsidRDefault="00287FBA" w:rsidP="00FF6BDF">
      <w:pPr>
        <w:pStyle w:val="Akapitzlist"/>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FF6BDF">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69A5D921"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w:t>
      </w:r>
      <w:r w:rsidR="00FF6BDF">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4F1582FA"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art. 18 ust. 3 ustawy Pzp, nie ujawnia się informacji stanowiących tajemnicę przedsiębiorstwa, </w:t>
      </w:r>
      <w:r w:rsidRPr="00287FBA">
        <w:rPr>
          <w:rFonts w:ascii="Times New Roman" w:eastAsia="Palatino Linotype" w:hAnsi="Times New Roman" w:cs="Times New Roman"/>
          <w:color w:val="auto"/>
          <w:sz w:val="22"/>
          <w:szCs w:val="22"/>
        </w:rPr>
        <w:lastRenderedPageBreak/>
        <w:t>w rozumieniu przepisów o zwalczaniu nieuczciwej konkurencji. Jeżeli wykonawca, nie później niż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6B21A774"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7A1E7A86"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przygotować z należytą starannością dla podmiotu ubiegającego się o udzielenie zamówienia publicznego i zachowaniem odpowiedniego odstępu czasu do zakończenia </w:t>
      </w:r>
      <w:r w:rsidRPr="00287FBA">
        <w:rPr>
          <w:rFonts w:ascii="Times New Roman" w:eastAsia="Palatino Linotype" w:hAnsi="Times New Roman" w:cs="Times New Roman"/>
          <w:color w:val="auto"/>
          <w:sz w:val="22"/>
          <w:szCs w:val="22"/>
        </w:rPr>
        <w:lastRenderedPageBreak/>
        <w:t>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4530D49C" w:rsidR="00287FBA" w:rsidRPr="00287FBA" w:rsidRDefault="00287FBA" w:rsidP="007E18B3">
      <w:pPr>
        <w:widowControl/>
        <w:numPr>
          <w:ilvl w:val="2"/>
          <w:numId w:val="5"/>
        </w:numPr>
        <w:tabs>
          <w:tab w:val="left" w:pos="1276"/>
        </w:tabs>
        <w:autoSpaceDE w:val="0"/>
        <w:autoSpaceDN w:val="0"/>
        <w:adjustRightInd w:val="0"/>
        <w:ind w:left="1276" w:hanging="556"/>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materiał pomocniczy dla Zamawiającego, niezbędny do aktualizacji budżetu zadania.</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w:t>
      </w:r>
      <w:r w:rsidRPr="00287FBA">
        <w:rPr>
          <w:rFonts w:ascii="Times New Roman" w:eastAsia="Palatino Linotype" w:hAnsi="Times New Roman" w:cs="Times New Roman"/>
          <w:color w:val="auto"/>
          <w:sz w:val="22"/>
          <w:szCs w:val="22"/>
        </w:rPr>
        <w:lastRenderedPageBreak/>
        <w:t xml:space="preserve">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1E441DCA"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094CA8">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Jeżeli do podpisania oferty upoważnione są łącznie dwie lub więcej osób, elektroniczne kopie </w:t>
      </w:r>
      <w:r w:rsidRPr="00287FBA">
        <w:rPr>
          <w:rFonts w:ascii="Times New Roman" w:eastAsia="Palatino Linotype" w:hAnsi="Times New Roman" w:cs="Times New Roman"/>
          <w:color w:val="auto"/>
          <w:sz w:val="22"/>
          <w:szCs w:val="22"/>
        </w:rPr>
        <w:lastRenderedPageBreak/>
        <w:t>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139A8EA8"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1E11B7" w:rsidRPr="00427245">
        <w:rPr>
          <w:rFonts w:ascii="Times New Roman" w:eastAsia="Palatino Linotype" w:hAnsi="Times New Roman" w:cs="Times New Roman"/>
          <w:b/>
          <w:bCs/>
          <w:color w:val="auto"/>
          <w:sz w:val="22"/>
          <w:szCs w:val="22"/>
        </w:rPr>
        <w:t>04</w:t>
      </w:r>
      <w:r w:rsidRPr="00427245">
        <w:rPr>
          <w:rFonts w:ascii="Times New Roman" w:eastAsia="Palatino Linotype" w:hAnsi="Times New Roman" w:cs="Times New Roman"/>
          <w:b/>
          <w:bCs/>
          <w:color w:val="auto"/>
          <w:sz w:val="22"/>
          <w:szCs w:val="22"/>
        </w:rPr>
        <w:t>/0</w:t>
      </w:r>
      <w:r w:rsidR="001E11B7" w:rsidRPr="00427245">
        <w:rPr>
          <w:rFonts w:ascii="Times New Roman" w:eastAsia="Palatino Linotype" w:hAnsi="Times New Roman" w:cs="Times New Roman"/>
          <w:b/>
          <w:bCs/>
          <w:color w:val="auto"/>
          <w:sz w:val="22"/>
          <w:szCs w:val="22"/>
        </w:rPr>
        <w:t>5</w:t>
      </w:r>
      <w:r w:rsidRPr="00427245">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20E3A61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1E11B7" w:rsidRPr="00427245">
        <w:rPr>
          <w:rFonts w:ascii="Times New Roman" w:eastAsia="Palatino Linotype" w:hAnsi="Times New Roman" w:cs="Times New Roman"/>
          <w:b/>
          <w:bCs/>
          <w:color w:val="auto"/>
          <w:sz w:val="22"/>
          <w:szCs w:val="22"/>
        </w:rPr>
        <w:t>04</w:t>
      </w:r>
      <w:r w:rsidRPr="00427245">
        <w:rPr>
          <w:rFonts w:ascii="Times New Roman" w:eastAsia="Palatino Linotype" w:hAnsi="Times New Roman" w:cs="Times New Roman"/>
          <w:b/>
          <w:bCs/>
          <w:color w:val="auto"/>
          <w:sz w:val="22"/>
          <w:szCs w:val="22"/>
        </w:rPr>
        <w:t>/0</w:t>
      </w:r>
      <w:r w:rsidR="001E11B7" w:rsidRPr="00427245">
        <w:rPr>
          <w:rFonts w:ascii="Times New Roman" w:eastAsia="Palatino Linotype" w:hAnsi="Times New Roman" w:cs="Times New Roman"/>
          <w:b/>
          <w:bCs/>
          <w:color w:val="auto"/>
          <w:sz w:val="22"/>
          <w:szCs w:val="22"/>
        </w:rPr>
        <w:t>5</w:t>
      </w:r>
      <w:r w:rsidRPr="00427245">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lastRenderedPageBreak/>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BB50B2">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BB50B2"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BB50B2">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BB50B2">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 stosunku do którego otwarto likwidację, ogłoszono upadłość, którego aktywami zarządza </w:t>
      </w:r>
      <w:r w:rsidRPr="001D67DE">
        <w:rPr>
          <w:rFonts w:ascii="Times New Roman" w:hAnsi="Times New Roman" w:cs="Times New Roman"/>
          <w:color w:val="auto"/>
          <w:sz w:val="22"/>
          <w:szCs w:val="22"/>
        </w:rPr>
        <w:lastRenderedPageBreak/>
        <w:t>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BB50B2">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BB50B2">
        <w:rPr>
          <w:rStyle w:val="Teksttreci11Maelitery"/>
          <w:rFonts w:ascii="Times New Roman" w:hAnsi="Times New Roman" w:cs="Times New Roman"/>
          <w:i/>
          <w:iCs/>
          <w:color w:val="auto"/>
        </w:rPr>
        <w:t xml:space="preserve">(ART.  281 UST. </w:t>
      </w:r>
      <w:r w:rsidR="00864528" w:rsidRPr="00BB50B2">
        <w:rPr>
          <w:rStyle w:val="Teksttreci11Maelitery"/>
          <w:rFonts w:ascii="Times New Roman" w:hAnsi="Times New Roman" w:cs="Times New Roman"/>
          <w:i/>
          <w:iCs/>
          <w:color w:val="auto"/>
        </w:rPr>
        <w:t>1</w:t>
      </w:r>
      <w:r w:rsidR="00266D50" w:rsidRPr="00BB50B2">
        <w:rPr>
          <w:rStyle w:val="Teksttreci11Maelitery"/>
          <w:rFonts w:ascii="Times New Roman" w:hAnsi="Times New Roman" w:cs="Times New Roman"/>
          <w:i/>
          <w:iCs/>
          <w:color w:val="auto"/>
        </w:rPr>
        <w:t xml:space="preserve"> PKT 16 USTAWY </w:t>
      </w:r>
      <w:r w:rsidR="00266D50" w:rsidRPr="00BB50B2">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FD5B4A6"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792FFF">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wskazania stawki podatku od towarów i usług, która zgodnie zwiedzą wykonawcy, będzie miała </w:t>
      </w:r>
      <w:r w:rsidRPr="00E97763">
        <w:rPr>
          <w:rFonts w:ascii="Times New Roman" w:hAnsi="Times New Roman" w:cs="Times New Roman"/>
          <w:color w:val="auto"/>
          <w:sz w:val="22"/>
          <w:szCs w:val="22"/>
        </w:rPr>
        <w:lastRenderedPageBreak/>
        <w:t>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3809C965" w:rsidR="004F1F9C" w:rsidRPr="00BA58EC" w:rsidRDefault="00B479F5" w:rsidP="00BA58EC">
      <w:pPr>
        <w:pStyle w:val="Teksttreci20"/>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0B366F17" w:rsidR="00BE731C" w:rsidRDefault="00B479F5" w:rsidP="00BA58EC">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BB50B2">
        <w:rPr>
          <w:rStyle w:val="Teksttreci7Maelitery"/>
          <w:rFonts w:ascii="Times New Roman" w:hAnsi="Times New Roman" w:cs="Times New Roman"/>
          <w:i/>
          <w:iCs/>
          <w:color w:val="auto"/>
          <w:sz w:val="22"/>
          <w:szCs w:val="22"/>
        </w:rPr>
        <w:t>(</w:t>
      </w:r>
      <w:r w:rsidR="00BB50B2">
        <w:rPr>
          <w:rStyle w:val="Teksttreci7Maelitery"/>
          <w:rFonts w:ascii="Times New Roman" w:hAnsi="Times New Roman" w:cs="Times New Roman"/>
          <w:i/>
          <w:iCs/>
          <w:color w:val="auto"/>
          <w:sz w:val="22"/>
          <w:szCs w:val="22"/>
        </w:rPr>
        <w:t>ART.</w:t>
      </w:r>
      <w:r w:rsidR="00864528" w:rsidRPr="00BB50B2">
        <w:rPr>
          <w:rStyle w:val="Teksttreci7Maelitery"/>
          <w:rFonts w:ascii="Times New Roman" w:hAnsi="Times New Roman" w:cs="Times New Roman"/>
          <w:i/>
          <w:iCs/>
          <w:color w:val="auto"/>
          <w:sz w:val="22"/>
          <w:szCs w:val="22"/>
        </w:rPr>
        <w:t xml:space="preserve"> 281 UST. 1 PKT 17 USTAWY PZP)</w:t>
      </w:r>
    </w:p>
    <w:p w14:paraId="69EACBA4" w14:textId="77777777" w:rsidR="00BA58EC" w:rsidRPr="00BA58EC" w:rsidRDefault="00BA58EC" w:rsidP="00BA58EC">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lastRenderedPageBreak/>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76FA4AAC"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476810">
        <w:rPr>
          <w:rStyle w:val="Teksttreci69ptMaelitery"/>
          <w:rFonts w:ascii="Times New Roman" w:hAnsi="Times New Roman" w:cs="Times New Roman"/>
          <w:i/>
          <w:iCs/>
          <w:color w:val="auto"/>
          <w:sz w:val="22"/>
          <w:szCs w:val="22"/>
        </w:rPr>
        <w:t xml:space="preserve">(ART. 281 </w:t>
      </w:r>
      <w:r w:rsidR="002B5DFF" w:rsidRPr="00476810">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446A65E2"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49251B">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0E44F6A"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76810">
        <w:rPr>
          <w:rStyle w:val="Teksttreci6Maelitery"/>
          <w:rFonts w:ascii="Times New Roman" w:hAnsi="Times New Roman" w:cs="Times New Roman"/>
          <w:color w:val="auto"/>
          <w:sz w:val="22"/>
          <w:szCs w:val="22"/>
        </w:rPr>
        <w:t xml:space="preserve"> </w:t>
      </w:r>
      <w:r w:rsidR="002B5DFF" w:rsidRPr="00476810">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t>
      </w:r>
      <w:r w:rsidRPr="00593138">
        <w:rPr>
          <w:rFonts w:ascii="Times New Roman" w:hAnsi="Times New Roman" w:cs="Times New Roman"/>
          <w:color w:val="auto"/>
          <w:sz w:val="22"/>
          <w:szCs w:val="22"/>
        </w:rPr>
        <w:lastRenderedPageBreak/>
        <w:t xml:space="preserve">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EE066D">
        <w:rPr>
          <w:rStyle w:val="Teksttreci69pt"/>
          <w:rFonts w:ascii="Times New Roman" w:hAnsi="Times New Roman" w:cs="Times New Roman"/>
          <w:i/>
          <w:iCs/>
          <w:color w:val="auto"/>
          <w:sz w:val="22"/>
          <w:szCs w:val="22"/>
        </w:rPr>
        <w:t>(</w:t>
      </w:r>
      <w:r w:rsidR="0082554C" w:rsidRPr="00EE066D">
        <w:rPr>
          <w:rStyle w:val="Teksttreci69ptMaelitery"/>
          <w:rFonts w:ascii="Times New Roman" w:hAnsi="Times New Roman" w:cs="Times New Roman"/>
          <w:i/>
          <w:iCs/>
          <w:color w:val="auto"/>
          <w:sz w:val="22"/>
          <w:szCs w:val="22"/>
        </w:rPr>
        <w:t>ART.</w:t>
      </w:r>
      <w:r w:rsidR="0082554C" w:rsidRPr="00EE066D">
        <w:rPr>
          <w:rStyle w:val="Teksttreci69pt"/>
          <w:rFonts w:ascii="Times New Roman" w:hAnsi="Times New Roman" w:cs="Times New Roman"/>
          <w:i/>
          <w:iCs/>
          <w:color w:val="auto"/>
          <w:sz w:val="22"/>
          <w:szCs w:val="22"/>
        </w:rPr>
        <w:t xml:space="preserve"> 281 </w:t>
      </w:r>
      <w:r w:rsidR="0082554C" w:rsidRPr="00EE066D">
        <w:rPr>
          <w:rStyle w:val="Teksttreci69ptMaelitery"/>
          <w:rFonts w:ascii="Times New Roman" w:hAnsi="Times New Roman" w:cs="Times New Roman"/>
          <w:i/>
          <w:iCs/>
          <w:color w:val="auto"/>
          <w:sz w:val="22"/>
          <w:szCs w:val="22"/>
        </w:rPr>
        <w:t xml:space="preserve">UST. 2 PKT 2 USTAWY </w:t>
      </w:r>
      <w:r w:rsidR="0082554C" w:rsidRPr="00EE066D">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48F35C07" w14:textId="44EC0275" w:rsidR="00FE1E2B" w:rsidRPr="00FE1E2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wykaże, że wykonał</w:t>
      </w:r>
      <w:r w:rsidR="00276764" w:rsidRPr="00FE1E2B">
        <w:rPr>
          <w:rFonts w:ascii="Times New Roman" w:hAnsi="Times New Roman" w:cs="Times New Roman"/>
          <w:color w:val="auto"/>
          <w:sz w:val="22"/>
          <w:szCs w:val="22"/>
        </w:rPr>
        <w:t xml:space="preserve"> </w:t>
      </w:r>
      <w:r w:rsidR="007752B3" w:rsidRPr="00FE1E2B">
        <w:rPr>
          <w:rFonts w:ascii="Times New Roman" w:eastAsia="Calibri" w:hAnsi="Times New Roman" w:cs="Times New Roman"/>
          <w:color w:val="auto"/>
          <w:sz w:val="22"/>
          <w:szCs w:val="22"/>
        </w:rPr>
        <w:t>w okresie ostatnich pięciu lat przed upływem terminu składania ofert, a</w:t>
      </w:r>
      <w:r w:rsidR="00251E0A" w:rsidRPr="00FE1E2B">
        <w:rPr>
          <w:rFonts w:ascii="Times New Roman" w:eastAsia="Calibri" w:hAnsi="Times New Roman" w:cs="Times New Roman"/>
          <w:color w:val="auto"/>
          <w:sz w:val="22"/>
          <w:szCs w:val="22"/>
        </w:rPr>
        <w:t> </w:t>
      </w:r>
      <w:r w:rsidR="007752B3" w:rsidRPr="00FE1E2B">
        <w:rPr>
          <w:rFonts w:ascii="Times New Roman" w:eastAsia="Calibri" w:hAnsi="Times New Roman" w:cs="Times New Roman"/>
          <w:color w:val="auto"/>
          <w:sz w:val="22"/>
          <w:szCs w:val="22"/>
        </w:rPr>
        <w:t xml:space="preserve">jeżeli okres prowadzenia działalności jest krótszy - w tym okresie, </w:t>
      </w:r>
      <w:r w:rsidR="00276764" w:rsidRPr="00FE1E2B">
        <w:rPr>
          <w:rFonts w:ascii="Times New Roman" w:eastAsia="Calibri" w:hAnsi="Times New Roman" w:cs="Times New Roman"/>
          <w:color w:val="auto"/>
          <w:sz w:val="22"/>
          <w:szCs w:val="22"/>
        </w:rPr>
        <w:t>z należytą starannością oraz zgodnie z</w:t>
      </w:r>
      <w:r w:rsidR="00A655D8" w:rsidRPr="00FE1E2B">
        <w:rPr>
          <w:rFonts w:ascii="Times New Roman" w:eastAsia="Calibri" w:hAnsi="Times New Roman" w:cs="Times New Roman"/>
          <w:color w:val="auto"/>
          <w:sz w:val="22"/>
          <w:szCs w:val="22"/>
        </w:rPr>
        <w:t> </w:t>
      </w:r>
      <w:r w:rsidR="00276764" w:rsidRPr="00FE1E2B">
        <w:rPr>
          <w:rFonts w:ascii="Times New Roman" w:eastAsia="Calibri" w:hAnsi="Times New Roman" w:cs="Times New Roman"/>
          <w:color w:val="auto"/>
          <w:sz w:val="22"/>
          <w:szCs w:val="22"/>
        </w:rPr>
        <w:t xml:space="preserve">przepisami prawa budowlanego </w:t>
      </w:r>
      <w:r w:rsidR="00A7411A" w:rsidRPr="007B58D9">
        <w:rPr>
          <w:rFonts w:ascii="Times New Roman" w:eastAsia="Calibri" w:hAnsi="Times New Roman" w:cs="Times New Roman"/>
          <w:color w:val="000000" w:themeColor="text1"/>
          <w:sz w:val="22"/>
          <w:szCs w:val="22"/>
          <w:u w:val="single"/>
        </w:rPr>
        <w:t>co najmniej dwa zamówienia</w:t>
      </w:r>
      <w:r w:rsidR="00A7411A" w:rsidRPr="007B58D9">
        <w:rPr>
          <w:rFonts w:ascii="Times New Roman" w:eastAsia="Calibri" w:hAnsi="Times New Roman" w:cs="Times New Roman"/>
          <w:color w:val="000000" w:themeColor="text1"/>
          <w:sz w:val="22"/>
          <w:szCs w:val="22"/>
        </w:rPr>
        <w:t xml:space="preserve"> o wartości co najmniej </w:t>
      </w:r>
      <w:r w:rsidR="007B58D9" w:rsidRPr="007B58D9">
        <w:rPr>
          <w:rFonts w:ascii="Times New Roman" w:eastAsia="Calibri" w:hAnsi="Times New Roman" w:cs="Times New Roman"/>
          <w:color w:val="000000" w:themeColor="text1"/>
          <w:sz w:val="22"/>
          <w:szCs w:val="22"/>
        </w:rPr>
        <w:t>7</w:t>
      </w:r>
      <w:r w:rsidR="00A7411A" w:rsidRPr="007B58D9">
        <w:rPr>
          <w:rFonts w:ascii="Times New Roman" w:eastAsia="Calibri" w:hAnsi="Times New Roman" w:cs="Times New Roman"/>
          <w:color w:val="000000" w:themeColor="text1"/>
          <w:sz w:val="22"/>
          <w:szCs w:val="22"/>
        </w:rPr>
        <w:t>00 000,00 zł brutto każde, przy czym każde zamówienie powinno obejmować</w:t>
      </w:r>
      <w:r w:rsidR="00F86814">
        <w:rPr>
          <w:rFonts w:ascii="Times New Roman" w:eastAsia="Calibri" w:hAnsi="Times New Roman" w:cs="Times New Roman"/>
          <w:color w:val="000000" w:themeColor="text1"/>
          <w:sz w:val="22"/>
          <w:szCs w:val="22"/>
        </w:rPr>
        <w:t xml:space="preserve"> </w:t>
      </w:r>
      <w:r w:rsidR="00F86814" w:rsidRPr="00F86814">
        <w:rPr>
          <w:rFonts w:ascii="Times New Roman" w:eastAsia="Calibri" w:hAnsi="Times New Roman" w:cs="Times New Roman"/>
          <w:color w:val="000000" w:themeColor="text1"/>
          <w:sz w:val="22"/>
          <w:szCs w:val="22"/>
        </w:rPr>
        <w:t>zakres zgodny z</w:t>
      </w:r>
      <w:r w:rsidR="00F86814">
        <w:rPr>
          <w:rFonts w:ascii="Times New Roman" w:eastAsia="Calibri" w:hAnsi="Times New Roman" w:cs="Times New Roman"/>
          <w:color w:val="000000" w:themeColor="text1"/>
          <w:sz w:val="22"/>
          <w:szCs w:val="22"/>
        </w:rPr>
        <w:t> </w:t>
      </w:r>
      <w:r w:rsidR="00F86814" w:rsidRPr="00F86814">
        <w:rPr>
          <w:rFonts w:ascii="Times New Roman" w:eastAsia="Calibri" w:hAnsi="Times New Roman" w:cs="Times New Roman"/>
          <w:color w:val="000000" w:themeColor="text1"/>
          <w:sz w:val="22"/>
          <w:szCs w:val="22"/>
        </w:rPr>
        <w:t>przedmiotem zamówienia</w:t>
      </w:r>
      <w:r w:rsidR="00F86814">
        <w:rPr>
          <w:rFonts w:ascii="Times New Roman" w:eastAsia="Calibri" w:hAnsi="Times New Roman" w:cs="Times New Roman"/>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F86814" w:rsidRDefault="00251E0A">
      <w:pPr>
        <w:pStyle w:val="Teksttreci20"/>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J</w:t>
      </w:r>
      <w:r w:rsidR="00B479F5" w:rsidRPr="00F8681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F86814" w:rsidRDefault="00B479F5">
      <w:pPr>
        <w:pStyle w:val="Teksttreci20"/>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F86814">
        <w:rPr>
          <w:rFonts w:ascii="Times New Roman" w:hAnsi="Times New Roman" w:cs="Times New Roman"/>
          <w:color w:val="auto"/>
          <w:sz w:val="22"/>
          <w:szCs w:val="22"/>
        </w:rPr>
        <w:t>robót budowlanych</w:t>
      </w:r>
      <w:r w:rsidRPr="00F86814">
        <w:rPr>
          <w:rFonts w:ascii="Times New Roman" w:hAnsi="Times New Roman" w:cs="Times New Roman"/>
          <w:color w:val="auto"/>
          <w:sz w:val="22"/>
          <w:szCs w:val="22"/>
        </w:rPr>
        <w:t xml:space="preserve"> od </w:t>
      </w:r>
      <w:r w:rsidRPr="00F86814">
        <w:rPr>
          <w:rFonts w:ascii="Times New Roman" w:hAnsi="Times New Roman" w:cs="Times New Roman"/>
          <w:color w:val="auto"/>
          <w:sz w:val="22"/>
          <w:szCs w:val="22"/>
        </w:rPr>
        <w:lastRenderedPageBreak/>
        <w:t>wymaganych przez zamawiającego.</w:t>
      </w:r>
    </w:p>
    <w:p w14:paraId="47AD8894" w14:textId="053D5662" w:rsidR="00745332" w:rsidRPr="00EE066D" w:rsidRDefault="00B479F5" w:rsidP="00EE066D">
      <w:pPr>
        <w:pStyle w:val="Teksttreci20"/>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F86814">
        <w:rPr>
          <w:rFonts w:ascii="Times New Roman" w:hAnsi="Times New Roman" w:cs="Times New Roman"/>
          <w:color w:val="auto"/>
          <w:sz w:val="22"/>
          <w:szCs w:val="22"/>
        </w:rPr>
        <w:t> </w:t>
      </w:r>
      <w:r w:rsidRPr="00F8681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F86814" w:rsidRDefault="00B479F5" w:rsidP="004F1F9C">
      <w:pPr>
        <w:pStyle w:val="Teksttreci20"/>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7" w:name="_Hlk78176643"/>
      <w:r w:rsidRPr="00F86814">
        <w:rPr>
          <w:rFonts w:ascii="Times New Roman" w:hAnsi="Times New Roman" w:cs="Times New Roman"/>
          <w:color w:val="auto"/>
          <w:sz w:val="22"/>
          <w:szCs w:val="22"/>
        </w:rPr>
        <w:t>wykaże, że dysponuje co najmniej</w:t>
      </w:r>
      <w:r w:rsidR="00175A06" w:rsidRPr="00F86814">
        <w:rPr>
          <w:rFonts w:ascii="Times New Roman" w:hAnsi="Times New Roman" w:cs="Times New Roman"/>
          <w:color w:val="auto"/>
          <w:sz w:val="22"/>
          <w:szCs w:val="22"/>
        </w:rPr>
        <w:t>:</w:t>
      </w:r>
      <w:r w:rsidRPr="00F86814">
        <w:rPr>
          <w:rFonts w:ascii="Times New Roman" w:hAnsi="Times New Roman" w:cs="Times New Roman"/>
          <w:color w:val="auto"/>
          <w:sz w:val="22"/>
          <w:szCs w:val="22"/>
        </w:rPr>
        <w:t xml:space="preserve"> </w:t>
      </w:r>
    </w:p>
    <w:bookmarkEnd w:id="17"/>
    <w:p w14:paraId="075EBE13" w14:textId="77777777" w:rsidR="004F1F9C"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4F1F9C">
        <w:rPr>
          <w:rFonts w:ascii="Times New Roman" w:eastAsia="Times New Roman" w:hAnsi="Times New Roman" w:cs="Times New Roman"/>
          <w:color w:val="000000" w:themeColor="text1"/>
          <w:sz w:val="22"/>
          <w:szCs w:val="22"/>
        </w:rPr>
        <w:t xml:space="preserve"> (</w:t>
      </w:r>
      <w:r w:rsidR="00C11DB4" w:rsidRPr="004F1F9C">
        <w:rPr>
          <w:rFonts w:ascii="Times New Roman" w:hAnsi="Times New Roman" w:cs="Times New Roman"/>
          <w:color w:val="000000" w:themeColor="text1"/>
          <w:sz w:val="22"/>
          <w:szCs w:val="22"/>
        </w:rPr>
        <w:t>Dz. U. z 2020r., poz. 1333 ze zm.)</w:t>
      </w:r>
      <w:r w:rsidR="00C11DB4" w:rsidRPr="004F1F9C">
        <w:rPr>
          <w:rFonts w:ascii="Times New Roman" w:eastAsia="Times New Roman" w:hAnsi="Times New Roman" w:cs="Times New Roman"/>
          <w:color w:val="000000" w:themeColor="text1"/>
          <w:sz w:val="22"/>
          <w:szCs w:val="22"/>
        </w:rPr>
        <w:t xml:space="preserve"> </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4F1F9C">
        <w:rPr>
          <w:rFonts w:ascii="Times New Roman" w:hAnsi="Times New Roman" w:cs="Times New Roman"/>
          <w:color w:val="000000" w:themeColor="text1"/>
          <w:sz w:val="22"/>
          <w:szCs w:val="22"/>
        </w:rPr>
        <w:t>Dz. U. z 20</w:t>
      </w:r>
      <w:r w:rsidR="00C11DB4" w:rsidRPr="004F1F9C">
        <w:rPr>
          <w:rFonts w:ascii="Times New Roman" w:hAnsi="Times New Roman" w:cs="Times New Roman"/>
          <w:color w:val="000000" w:themeColor="text1"/>
          <w:sz w:val="22"/>
          <w:szCs w:val="22"/>
        </w:rPr>
        <w:t>20</w:t>
      </w:r>
      <w:r w:rsidRPr="004F1F9C">
        <w:rPr>
          <w:rFonts w:ascii="Times New Roman" w:hAnsi="Times New Roman" w:cs="Times New Roman"/>
          <w:color w:val="000000" w:themeColor="text1"/>
          <w:sz w:val="22"/>
          <w:szCs w:val="22"/>
        </w:rPr>
        <w:t>r., poz. 1</w:t>
      </w:r>
      <w:r w:rsidR="00C11DB4" w:rsidRPr="004F1F9C">
        <w:rPr>
          <w:rFonts w:ascii="Times New Roman" w:hAnsi="Times New Roman" w:cs="Times New Roman"/>
          <w:color w:val="000000" w:themeColor="text1"/>
          <w:sz w:val="22"/>
          <w:szCs w:val="22"/>
        </w:rPr>
        <w:t>333 ze zm.</w:t>
      </w:r>
      <w:r w:rsidRPr="004F1F9C">
        <w:rPr>
          <w:rFonts w:ascii="Times New Roman" w:hAnsi="Times New Roman" w:cs="Times New Roman"/>
          <w:color w:val="000000" w:themeColor="text1"/>
          <w:sz w:val="22"/>
          <w:szCs w:val="22"/>
        </w:rPr>
        <w:t>)</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1C7515F" w:rsidR="004F1F9C" w:rsidRPr="00476810" w:rsidRDefault="00BA3ADD" w:rsidP="00476810">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w:t>
      </w:r>
      <w:r w:rsidRPr="00593138">
        <w:rPr>
          <w:rFonts w:ascii="Times New Roman" w:hAnsi="Times New Roman" w:cs="Times New Roman"/>
          <w:color w:val="auto"/>
          <w:sz w:val="22"/>
          <w:szCs w:val="22"/>
        </w:rPr>
        <w:lastRenderedPageBreak/>
        <w:t xml:space="preserve">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EE066D">
        <w:rPr>
          <w:rStyle w:val="Teksttreci7105pt"/>
          <w:rFonts w:ascii="Times New Roman" w:hAnsi="Times New Roman" w:cs="Times New Roman"/>
          <w:i/>
          <w:iCs/>
          <w:color w:val="auto"/>
          <w:sz w:val="22"/>
          <w:szCs w:val="22"/>
        </w:rPr>
        <w:t>(</w:t>
      </w:r>
      <w:r w:rsidR="0082554C" w:rsidRPr="00EE066D">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w:t>
      </w:r>
      <w:r w:rsidRPr="00DA6BDC">
        <w:rPr>
          <w:rFonts w:ascii="Times New Roman" w:eastAsia="Times New Roman" w:hAnsi="Times New Roman" w:cs="Times New Roman"/>
          <w:color w:val="auto"/>
          <w:sz w:val="22"/>
          <w:szCs w:val="22"/>
        </w:rPr>
        <w:lastRenderedPageBreak/>
        <w:t>okres prowadzenia  działalności jest krótszy – w tym okresie, wraz z podaniem ich rodzaju, 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eden z wykonawców.</w:t>
      </w:r>
    </w:p>
    <w:p w14:paraId="5BEDCB91" w14:textId="79DE72BE" w:rsidR="00481225" w:rsidRPr="000071A4"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8" w:name="_Hlk78176995"/>
      <w:r w:rsidRPr="00756FBE">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lastRenderedPageBreak/>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EE066D">
        <w:rPr>
          <w:rStyle w:val="PogrubienieTeksttreci6Calibri10ptMaelitery"/>
          <w:rFonts w:ascii="Times New Roman" w:hAnsi="Times New Roman" w:cs="Times New Roman"/>
          <w:b w:val="0"/>
          <w:bCs w:val="0"/>
          <w:i/>
          <w:iCs/>
          <w:color w:val="auto"/>
          <w:sz w:val="22"/>
          <w:szCs w:val="22"/>
        </w:rPr>
        <w:t>(ART.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281 </w:t>
      </w:r>
      <w:r w:rsidR="0082360E" w:rsidRPr="00EE066D">
        <w:rPr>
          <w:rStyle w:val="PogrubienieTeksttreci6Calibri10ptMaelitery"/>
          <w:rFonts w:ascii="Times New Roman" w:hAnsi="Times New Roman" w:cs="Times New Roman"/>
          <w:b w:val="0"/>
          <w:bCs w:val="0"/>
          <w:i/>
          <w:iCs/>
          <w:color w:val="auto"/>
          <w:sz w:val="22"/>
          <w:szCs w:val="22"/>
        </w:rPr>
        <w:t>UST. 2 PKT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7 </w:t>
      </w:r>
      <w:r w:rsidR="0082360E" w:rsidRPr="00EE066D">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lastRenderedPageBreak/>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1EBF5B9"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EE066D">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EE066D" w:rsidRPr="00EE066D">
        <w:rPr>
          <w:rStyle w:val="Teksttreci7Maelitery"/>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lastRenderedPageBreak/>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EE066D">
        <w:rPr>
          <w:rStyle w:val="Teksttreci61"/>
          <w:rFonts w:ascii="Times New Roman" w:hAnsi="Times New Roman" w:cs="Times New Roman"/>
          <w:i/>
          <w:iCs/>
          <w:color w:val="auto"/>
          <w:sz w:val="22"/>
          <w:szCs w:val="22"/>
        </w:rPr>
        <w:t>(</w:t>
      </w:r>
      <w:r w:rsidR="0082360E" w:rsidRPr="00EE066D">
        <w:rPr>
          <w:rStyle w:val="Teksttreci71"/>
          <w:rFonts w:ascii="Times New Roman" w:hAnsi="Times New Roman" w:cs="Times New Roman"/>
          <w:i/>
          <w:iCs/>
          <w:color w:val="auto"/>
          <w:sz w:val="22"/>
          <w:szCs w:val="22"/>
        </w:rPr>
        <w:t xml:space="preserve">ART. 281 UST. 2 PKT 9 USTAWY </w:t>
      </w:r>
      <w:r w:rsidR="0082360E" w:rsidRPr="00EE066D">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0"/>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EE066D">
        <w:rPr>
          <w:rStyle w:val="Teksttreci71"/>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w:t>
      </w:r>
      <w:r w:rsidR="0082360E" w:rsidRPr="00EE066D">
        <w:rPr>
          <w:rStyle w:val="Teksttreci71"/>
          <w:rFonts w:ascii="Times New Roman" w:hAnsi="Times New Roman" w:cs="Times New Roman"/>
          <w:i/>
          <w:iCs/>
          <w:color w:val="auto"/>
          <w:sz w:val="22"/>
          <w:szCs w:val="22"/>
        </w:rPr>
        <w:t xml:space="preserve"> 281 </w:t>
      </w:r>
      <w:r w:rsidR="0082360E" w:rsidRPr="00EE066D">
        <w:rPr>
          <w:rStyle w:val="Teksttreci7Maelitery"/>
          <w:rFonts w:ascii="Times New Roman" w:hAnsi="Times New Roman" w:cs="Times New Roman"/>
          <w:i/>
          <w:iCs/>
          <w:color w:val="auto"/>
          <w:sz w:val="22"/>
          <w:szCs w:val="22"/>
        </w:rPr>
        <w:t>UST. 2 PKT IO USTAWY PZP)</w:t>
      </w:r>
    </w:p>
    <w:p w14:paraId="1886FF06" w14:textId="3AFE9D0A" w:rsidR="00C11DB4" w:rsidRPr="00C11DB4" w:rsidRDefault="00C11DB4" w:rsidP="00BA58EC">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12</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53FD70F1"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156F7E" w:rsidRPr="001F0292">
        <w:rPr>
          <w:rFonts w:ascii="Times New Roman" w:eastAsia="Times New Roman" w:hAnsi="Times New Roman" w:cstheme="minorBidi"/>
          <w:b/>
          <w:bCs/>
          <w:color w:val="auto"/>
          <w:sz w:val="22"/>
          <w:szCs w:val="22"/>
          <w:lang w:eastAsia="en-US" w:bidi="ar-SA"/>
        </w:rPr>
        <w:t>Rozbudowa istniejącej oczyszczalni ścieków w Ruszowie</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EE066D" w:rsidRDefault="00B479F5" w:rsidP="0082360E">
      <w:pPr>
        <w:pStyle w:val="Teksttreci60"/>
        <w:shd w:val="clear" w:color="auto" w:fill="auto"/>
        <w:spacing w:line="240" w:lineRule="exact"/>
        <w:ind w:firstLine="0"/>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EE066D">
        <w:rPr>
          <w:rStyle w:val="Teksttreci61"/>
          <w:rFonts w:ascii="Times New Roman" w:hAnsi="Times New Roman" w:cs="Times New Roman"/>
          <w:i/>
          <w:iCs/>
          <w:color w:val="auto"/>
          <w:sz w:val="22"/>
          <w:szCs w:val="22"/>
        </w:rPr>
        <w:t>(</w:t>
      </w:r>
      <w:r w:rsidR="0082360E" w:rsidRPr="00EE066D">
        <w:rPr>
          <w:rStyle w:val="Teksttreci69pt"/>
          <w:rFonts w:ascii="Times New Roman" w:hAnsi="Times New Roman" w:cs="Times New Roman"/>
          <w:i/>
          <w:iCs/>
          <w:color w:val="auto"/>
          <w:sz w:val="22"/>
          <w:szCs w:val="22"/>
        </w:rPr>
        <w:t xml:space="preserve">ART. 281 </w:t>
      </w:r>
      <w:r w:rsidR="0082360E" w:rsidRPr="00EE066D">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090A7CB2"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9" w:name="_Hlk78277188"/>
      <w:r w:rsidRPr="009326A9">
        <w:rPr>
          <w:rStyle w:val="Teksttreci2Kursywa"/>
          <w:rFonts w:ascii="Times New Roman" w:hAnsi="Times New Roman" w:cs="Times New Roman"/>
          <w:color w:val="auto"/>
          <w:sz w:val="22"/>
          <w:szCs w:val="22"/>
        </w:rPr>
        <w:t xml:space="preserve">214 ust. 1 pkt 7  </w:t>
      </w:r>
      <w:bookmarkEnd w:id="19"/>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EE066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EE066D">
        <w:rPr>
          <w:rStyle w:val="PogrubienieTeksttreci7105ptBezkursywy"/>
          <w:rFonts w:ascii="Times New Roman" w:hAnsi="Times New Roman" w:cs="Times New Roman"/>
          <w:color w:val="auto"/>
          <w:sz w:val="22"/>
          <w:szCs w:val="22"/>
        </w:rPr>
        <w:t xml:space="preserve"> </w:t>
      </w:r>
      <w:r w:rsidR="00FB2307" w:rsidRPr="00EE066D">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EE066D">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EE066D">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lastRenderedPageBreak/>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13FD6DCF"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E3368D">
        <w:rPr>
          <w:rFonts w:ascii="Times New Roman" w:eastAsia="Times New Roman" w:hAnsi="Times New Roman" w:cs="Times New Roman"/>
          <w:b/>
          <w:bCs/>
          <w:i/>
          <w:color w:val="auto"/>
          <w:spacing w:val="-2"/>
          <w:sz w:val="22"/>
          <w:szCs w:val="22"/>
          <w:lang w:eastAsia="en-US" w:bidi="ar-SA"/>
        </w:rPr>
        <w:t>10</w:t>
      </w:r>
      <w:r w:rsidRPr="006D3975">
        <w:rPr>
          <w:rFonts w:ascii="Times New Roman" w:eastAsia="Times New Roman" w:hAnsi="Times New Roman" w:cs="Times New Roman"/>
          <w:b/>
          <w:bCs/>
          <w:i/>
          <w:color w:val="auto"/>
          <w:spacing w:val="-2"/>
          <w:sz w:val="22"/>
          <w:szCs w:val="22"/>
          <w:lang w:eastAsia="en-US" w:bidi="ar-SA"/>
        </w:rPr>
        <w:t>.202</w:t>
      </w:r>
      <w:r w:rsidR="00156F7E">
        <w:rPr>
          <w:rFonts w:ascii="Times New Roman" w:eastAsia="Times New Roman" w:hAnsi="Times New Roman" w:cs="Times New Roman"/>
          <w:b/>
          <w:bCs/>
          <w:i/>
          <w:color w:val="auto"/>
          <w:spacing w:val="-2"/>
          <w:sz w:val="22"/>
          <w:szCs w:val="22"/>
          <w:lang w:eastAsia="en-US" w:bidi="ar-SA"/>
        </w:rPr>
        <w:t>3</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w:t>
      </w:r>
      <w:r w:rsidRPr="00320942">
        <w:rPr>
          <w:rFonts w:ascii="Times New Roman" w:hAnsi="Times New Roman" w:cs="Times New Roman"/>
          <w:color w:val="auto"/>
          <w:sz w:val="22"/>
          <w:szCs w:val="22"/>
        </w:rPr>
        <w:lastRenderedPageBreak/>
        <w:t xml:space="preserve">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49AF2887"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w:t>
      </w:r>
      <w:r w:rsidRPr="00A54903">
        <w:rPr>
          <w:rFonts w:ascii="Times New Roman" w:hAnsi="Times New Roman" w:cs="Times New Roman"/>
          <w:color w:val="auto"/>
          <w:sz w:val="22"/>
          <w:szCs w:val="22"/>
        </w:rPr>
        <w:lastRenderedPageBreak/>
        <w:t xml:space="preserve">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w:t>
      </w:r>
      <w:r w:rsidRPr="00CA6C8E">
        <w:rPr>
          <w:rFonts w:ascii="Times New Roman" w:hAnsi="Times New Roman" w:cs="Times New Roman"/>
          <w:color w:val="auto"/>
          <w:sz w:val="22"/>
          <w:szCs w:val="22"/>
        </w:rPr>
        <w:lastRenderedPageBreak/>
        <w:t>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 xml:space="preserve">wybrano, oraz nazwy albo imiona i nazwiska, siedziby albo miejsca zamieszkania, jeżeli są miejscami wykonywania działalności wykonawców, którzy złożyli oferty, a także punktację </w:t>
      </w:r>
      <w:r w:rsidRPr="00CA6C8E">
        <w:rPr>
          <w:rFonts w:ascii="Times New Roman" w:hAnsi="Times New Roman" w:cs="Times New Roman"/>
          <w:color w:val="auto"/>
          <w:sz w:val="22"/>
          <w:szCs w:val="22"/>
        </w:rPr>
        <w:lastRenderedPageBreak/>
        <w:t>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08F0AD8"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4406D9" w:rsidRPr="0080587C">
        <w:rPr>
          <w:rFonts w:ascii="Times New Roman" w:eastAsia="Calibri" w:hAnsi="Times New Roman" w:cs="Times New Roman"/>
          <w:color w:val="000000" w:themeColor="text1"/>
          <w:sz w:val="22"/>
          <w:szCs w:val="22"/>
          <w:lang w:eastAsia="en-US"/>
        </w:rPr>
        <w:t xml:space="preserve">Rozbudowa istniejącej oczyszczalni </w:t>
      </w:r>
      <w:r w:rsidR="0080587C" w:rsidRPr="0080587C">
        <w:rPr>
          <w:rFonts w:ascii="Times New Roman" w:eastAsia="Calibri" w:hAnsi="Times New Roman" w:cs="Times New Roman"/>
          <w:color w:val="000000" w:themeColor="text1"/>
          <w:sz w:val="22"/>
          <w:szCs w:val="22"/>
          <w:lang w:eastAsia="en-US"/>
        </w:rPr>
        <w:t>ś</w:t>
      </w:r>
      <w:r w:rsidR="004406D9" w:rsidRPr="0080587C">
        <w:rPr>
          <w:rFonts w:ascii="Times New Roman" w:eastAsia="Calibri" w:hAnsi="Times New Roman" w:cs="Times New Roman"/>
          <w:color w:val="000000" w:themeColor="text1"/>
          <w:sz w:val="22"/>
          <w:szCs w:val="22"/>
          <w:lang w:eastAsia="en-US"/>
        </w:rPr>
        <w:t>cieków w Ruszowie</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w:t>
      </w:r>
      <w:r w:rsidRPr="00EA6353">
        <w:rPr>
          <w:rFonts w:ascii="Times New Roman" w:eastAsia="Calibri" w:hAnsi="Times New Roman" w:cs="Times New Roman"/>
          <w:color w:val="auto"/>
          <w:sz w:val="22"/>
          <w:szCs w:val="22"/>
          <w:lang w:eastAsia="en-US" w:bidi="ar-SA"/>
        </w:rPr>
        <w:lastRenderedPageBreak/>
        <w:t>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4090" w14:textId="77777777" w:rsidR="00C423E7" w:rsidRDefault="00C423E7">
      <w:r>
        <w:separator/>
      </w:r>
    </w:p>
  </w:endnote>
  <w:endnote w:type="continuationSeparator" w:id="0">
    <w:p w14:paraId="1976E305" w14:textId="77777777" w:rsidR="00C423E7" w:rsidRDefault="00C4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9A3D" w14:textId="77777777" w:rsidR="00C423E7" w:rsidRDefault="00C423E7"/>
  </w:footnote>
  <w:footnote w:type="continuationSeparator" w:id="0">
    <w:p w14:paraId="28D15BBE" w14:textId="77777777" w:rsidR="00C423E7" w:rsidRDefault="00C423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53232920"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41861">
                            <w:rPr>
                              <w:rStyle w:val="Nagweklubstopka1"/>
                              <w:i/>
                              <w:iCs/>
                              <w:color w:val="auto"/>
                            </w:rPr>
                            <w:t>10</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53232920"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41861">
                      <w:rPr>
                        <w:rStyle w:val="Nagweklubstopka1"/>
                        <w:i/>
                        <w:iCs/>
                        <w:color w:val="auto"/>
                      </w:rPr>
                      <w:t>10</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56E"/>
    <w:multiLevelType w:val="hybridMultilevel"/>
    <w:tmpl w:val="6B421D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3BD60084"/>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19E4CDE">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multilevel"/>
    <w:tmpl w:val="C84CC6BC"/>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ascii="Times New Roman" w:hAnsi="Times New Roman" w:cs="Times New Roman" w:hint="default"/>
        <w:b w:val="0"/>
        <w:bCs w:val="0"/>
        <w:color w:val="auto"/>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32927C22"/>
    <w:lvl w:ilvl="0" w:tplc="BB787260">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A25F73"/>
    <w:multiLevelType w:val="hybridMultilevel"/>
    <w:tmpl w:val="D82E1D1C"/>
    <w:lvl w:ilvl="0" w:tplc="29482B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59"/>
  </w:num>
  <w:num w:numId="6" w16cid:durableId="282812964">
    <w:abstractNumId w:val="61"/>
  </w:num>
  <w:num w:numId="7" w16cid:durableId="365762341">
    <w:abstractNumId w:val="36"/>
  </w:num>
  <w:num w:numId="8" w16cid:durableId="211188657">
    <w:abstractNumId w:val="53"/>
  </w:num>
  <w:num w:numId="9" w16cid:durableId="1885480701">
    <w:abstractNumId w:val="29"/>
  </w:num>
  <w:num w:numId="10" w16cid:durableId="1720472850">
    <w:abstractNumId w:val="68"/>
  </w:num>
  <w:num w:numId="11" w16cid:durableId="804196127">
    <w:abstractNumId w:val="10"/>
  </w:num>
  <w:num w:numId="12" w16cid:durableId="1749688635">
    <w:abstractNumId w:val="19"/>
  </w:num>
  <w:num w:numId="13" w16cid:durableId="1806120598">
    <w:abstractNumId w:val="31"/>
  </w:num>
  <w:num w:numId="14" w16cid:durableId="1403605726">
    <w:abstractNumId w:val="42"/>
  </w:num>
  <w:num w:numId="15" w16cid:durableId="1396857508">
    <w:abstractNumId w:val="62"/>
  </w:num>
  <w:num w:numId="16" w16cid:durableId="127669601">
    <w:abstractNumId w:val="44"/>
  </w:num>
  <w:num w:numId="17" w16cid:durableId="1920284578">
    <w:abstractNumId w:val="38"/>
  </w:num>
  <w:num w:numId="18" w16cid:durableId="462775287">
    <w:abstractNumId w:val="15"/>
  </w:num>
  <w:num w:numId="19" w16cid:durableId="713312881">
    <w:abstractNumId w:val="40"/>
  </w:num>
  <w:num w:numId="20" w16cid:durableId="1035739726">
    <w:abstractNumId w:val="46"/>
  </w:num>
  <w:num w:numId="21" w16cid:durableId="1779791172">
    <w:abstractNumId w:val="2"/>
  </w:num>
  <w:num w:numId="22" w16cid:durableId="175773660">
    <w:abstractNumId w:val="67"/>
  </w:num>
  <w:num w:numId="23" w16cid:durableId="1303657134">
    <w:abstractNumId w:val="65"/>
  </w:num>
  <w:num w:numId="24" w16cid:durableId="1787655609">
    <w:abstractNumId w:val="11"/>
  </w:num>
  <w:num w:numId="25" w16cid:durableId="858659813">
    <w:abstractNumId w:val="1"/>
  </w:num>
  <w:num w:numId="26" w16cid:durableId="1249575614">
    <w:abstractNumId w:val="60"/>
  </w:num>
  <w:num w:numId="27" w16cid:durableId="1591429779">
    <w:abstractNumId w:val="3"/>
  </w:num>
  <w:num w:numId="28" w16cid:durableId="1115520761">
    <w:abstractNumId w:val="28"/>
  </w:num>
  <w:num w:numId="29" w16cid:durableId="1819421975">
    <w:abstractNumId w:val="57"/>
  </w:num>
  <w:num w:numId="30" w16cid:durableId="613711691">
    <w:abstractNumId w:val="47"/>
  </w:num>
  <w:num w:numId="31" w16cid:durableId="546574078">
    <w:abstractNumId w:val="18"/>
  </w:num>
  <w:num w:numId="32" w16cid:durableId="1912811491">
    <w:abstractNumId w:val="54"/>
  </w:num>
  <w:num w:numId="33" w16cid:durableId="1292370220">
    <w:abstractNumId w:val="13"/>
  </w:num>
  <w:num w:numId="34" w16cid:durableId="628896784">
    <w:abstractNumId w:val="6"/>
  </w:num>
  <w:num w:numId="35" w16cid:durableId="2046173709">
    <w:abstractNumId w:val="45"/>
  </w:num>
  <w:num w:numId="36" w16cid:durableId="557866235">
    <w:abstractNumId w:val="16"/>
  </w:num>
  <w:num w:numId="37" w16cid:durableId="476187845">
    <w:abstractNumId w:val="37"/>
  </w:num>
  <w:num w:numId="38" w16cid:durableId="62989825">
    <w:abstractNumId w:val="51"/>
  </w:num>
  <w:num w:numId="39" w16cid:durableId="463236784">
    <w:abstractNumId w:val="22"/>
  </w:num>
  <w:num w:numId="40" w16cid:durableId="1813788641">
    <w:abstractNumId w:val="4"/>
  </w:num>
  <w:num w:numId="41" w16cid:durableId="250044204">
    <w:abstractNumId w:val="8"/>
  </w:num>
  <w:num w:numId="42" w16cid:durableId="457458328">
    <w:abstractNumId w:val="43"/>
  </w:num>
  <w:num w:numId="43" w16cid:durableId="2053266022">
    <w:abstractNumId w:val="12"/>
  </w:num>
  <w:num w:numId="44" w16cid:durableId="729037357">
    <w:abstractNumId w:val="7"/>
  </w:num>
  <w:num w:numId="45" w16cid:durableId="1481069335">
    <w:abstractNumId w:val="58"/>
  </w:num>
  <w:num w:numId="46" w16cid:durableId="413860023">
    <w:abstractNumId w:val="25"/>
  </w:num>
  <w:num w:numId="47" w16cid:durableId="405693262">
    <w:abstractNumId w:val="39"/>
  </w:num>
  <w:num w:numId="48" w16cid:durableId="1624924498">
    <w:abstractNumId w:val="66"/>
  </w:num>
  <w:num w:numId="49" w16cid:durableId="1757751164">
    <w:abstractNumId w:val="24"/>
  </w:num>
  <w:num w:numId="50" w16cid:durableId="852380981">
    <w:abstractNumId w:val="23"/>
  </w:num>
  <w:num w:numId="51" w16cid:durableId="2779441">
    <w:abstractNumId w:val="9"/>
  </w:num>
  <w:num w:numId="52" w16cid:durableId="1052802212">
    <w:abstractNumId w:val="14"/>
  </w:num>
  <w:num w:numId="53" w16cid:durableId="2007046879">
    <w:abstractNumId w:val="26"/>
  </w:num>
  <w:num w:numId="54" w16cid:durableId="1377392063">
    <w:abstractNumId w:val="63"/>
  </w:num>
  <w:num w:numId="55" w16cid:durableId="1143082831">
    <w:abstractNumId w:val="52"/>
  </w:num>
  <w:num w:numId="56" w16cid:durableId="2107384356">
    <w:abstractNumId w:val="50"/>
  </w:num>
  <w:num w:numId="57" w16cid:durableId="1203400793">
    <w:abstractNumId w:val="17"/>
  </w:num>
  <w:num w:numId="58" w16cid:durableId="1755123544">
    <w:abstractNumId w:val="41"/>
  </w:num>
  <w:num w:numId="59" w16cid:durableId="1386446352">
    <w:abstractNumId w:val="20"/>
  </w:num>
  <w:num w:numId="60" w16cid:durableId="637615984">
    <w:abstractNumId w:val="55"/>
  </w:num>
  <w:num w:numId="61" w16cid:durableId="1553149897">
    <w:abstractNumId w:val="48"/>
  </w:num>
  <w:num w:numId="62" w16cid:durableId="15001515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2037193618">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71A4"/>
    <w:rsid w:val="000150AB"/>
    <w:rsid w:val="00015622"/>
    <w:rsid w:val="0001691F"/>
    <w:rsid w:val="00020EBC"/>
    <w:rsid w:val="000222D7"/>
    <w:rsid w:val="000248F9"/>
    <w:rsid w:val="000307DE"/>
    <w:rsid w:val="00031470"/>
    <w:rsid w:val="00033D28"/>
    <w:rsid w:val="000430D9"/>
    <w:rsid w:val="000449F6"/>
    <w:rsid w:val="00050F29"/>
    <w:rsid w:val="00051FA6"/>
    <w:rsid w:val="00060739"/>
    <w:rsid w:val="00061061"/>
    <w:rsid w:val="000675F1"/>
    <w:rsid w:val="000763C3"/>
    <w:rsid w:val="00090DC4"/>
    <w:rsid w:val="00094CA8"/>
    <w:rsid w:val="00096285"/>
    <w:rsid w:val="00097FE5"/>
    <w:rsid w:val="000A1684"/>
    <w:rsid w:val="000B272D"/>
    <w:rsid w:val="000C1199"/>
    <w:rsid w:val="000D4115"/>
    <w:rsid w:val="000E7682"/>
    <w:rsid w:val="00102A3C"/>
    <w:rsid w:val="00103ACD"/>
    <w:rsid w:val="0010778D"/>
    <w:rsid w:val="00110C8F"/>
    <w:rsid w:val="00112780"/>
    <w:rsid w:val="0011651F"/>
    <w:rsid w:val="00120983"/>
    <w:rsid w:val="00126763"/>
    <w:rsid w:val="00133A46"/>
    <w:rsid w:val="00135324"/>
    <w:rsid w:val="001371AB"/>
    <w:rsid w:val="00137DD7"/>
    <w:rsid w:val="00142E12"/>
    <w:rsid w:val="001474A3"/>
    <w:rsid w:val="00155950"/>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11B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36973"/>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5DFF"/>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20942"/>
    <w:rsid w:val="0032146E"/>
    <w:rsid w:val="003333D6"/>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5219"/>
    <w:rsid w:val="00407AE1"/>
    <w:rsid w:val="00407D78"/>
    <w:rsid w:val="004115C0"/>
    <w:rsid w:val="004135C2"/>
    <w:rsid w:val="004167D3"/>
    <w:rsid w:val="00427245"/>
    <w:rsid w:val="00431A19"/>
    <w:rsid w:val="004406D9"/>
    <w:rsid w:val="00440978"/>
    <w:rsid w:val="004416EE"/>
    <w:rsid w:val="00471E04"/>
    <w:rsid w:val="00476810"/>
    <w:rsid w:val="00481225"/>
    <w:rsid w:val="0049251B"/>
    <w:rsid w:val="0049657E"/>
    <w:rsid w:val="004A2045"/>
    <w:rsid w:val="004B1FE4"/>
    <w:rsid w:val="004C4D06"/>
    <w:rsid w:val="004C66C2"/>
    <w:rsid w:val="004E1507"/>
    <w:rsid w:val="004E3AF1"/>
    <w:rsid w:val="004E50CA"/>
    <w:rsid w:val="004F03F5"/>
    <w:rsid w:val="004F1F9C"/>
    <w:rsid w:val="00500F8F"/>
    <w:rsid w:val="00522C97"/>
    <w:rsid w:val="0053488B"/>
    <w:rsid w:val="00535DA7"/>
    <w:rsid w:val="0054454E"/>
    <w:rsid w:val="00547CF5"/>
    <w:rsid w:val="0055414F"/>
    <w:rsid w:val="0057081D"/>
    <w:rsid w:val="00572027"/>
    <w:rsid w:val="00573C77"/>
    <w:rsid w:val="00580EC3"/>
    <w:rsid w:val="00581362"/>
    <w:rsid w:val="00586970"/>
    <w:rsid w:val="0059019F"/>
    <w:rsid w:val="00591FC0"/>
    <w:rsid w:val="00593138"/>
    <w:rsid w:val="00595383"/>
    <w:rsid w:val="005B0CB9"/>
    <w:rsid w:val="005C05B3"/>
    <w:rsid w:val="005C5CA2"/>
    <w:rsid w:val="005C7926"/>
    <w:rsid w:val="005D3DA0"/>
    <w:rsid w:val="005E13F4"/>
    <w:rsid w:val="005E391B"/>
    <w:rsid w:val="005F0071"/>
    <w:rsid w:val="005F3D89"/>
    <w:rsid w:val="005F4152"/>
    <w:rsid w:val="00600E0C"/>
    <w:rsid w:val="00604642"/>
    <w:rsid w:val="00604D07"/>
    <w:rsid w:val="006116E8"/>
    <w:rsid w:val="00612470"/>
    <w:rsid w:val="00613A33"/>
    <w:rsid w:val="00616E9B"/>
    <w:rsid w:val="00627639"/>
    <w:rsid w:val="00627E13"/>
    <w:rsid w:val="006366A2"/>
    <w:rsid w:val="006409CA"/>
    <w:rsid w:val="00641861"/>
    <w:rsid w:val="00641E80"/>
    <w:rsid w:val="006420D8"/>
    <w:rsid w:val="00642155"/>
    <w:rsid w:val="00645628"/>
    <w:rsid w:val="00647AF7"/>
    <w:rsid w:val="00655C62"/>
    <w:rsid w:val="0068375E"/>
    <w:rsid w:val="0068423C"/>
    <w:rsid w:val="00684457"/>
    <w:rsid w:val="0068675E"/>
    <w:rsid w:val="00686EEF"/>
    <w:rsid w:val="00690AB9"/>
    <w:rsid w:val="006973BF"/>
    <w:rsid w:val="006A296B"/>
    <w:rsid w:val="006A3062"/>
    <w:rsid w:val="006A7B37"/>
    <w:rsid w:val="006B2715"/>
    <w:rsid w:val="006B481F"/>
    <w:rsid w:val="006D0E4E"/>
    <w:rsid w:val="006D13E2"/>
    <w:rsid w:val="006D3975"/>
    <w:rsid w:val="006D470A"/>
    <w:rsid w:val="006D479B"/>
    <w:rsid w:val="006E75C2"/>
    <w:rsid w:val="006F1508"/>
    <w:rsid w:val="006F49EE"/>
    <w:rsid w:val="00701E78"/>
    <w:rsid w:val="00734490"/>
    <w:rsid w:val="00745332"/>
    <w:rsid w:val="00750754"/>
    <w:rsid w:val="00751385"/>
    <w:rsid w:val="00753C7A"/>
    <w:rsid w:val="00756FBE"/>
    <w:rsid w:val="007752B3"/>
    <w:rsid w:val="00776A33"/>
    <w:rsid w:val="00792FFF"/>
    <w:rsid w:val="00797ED7"/>
    <w:rsid w:val="007A7A50"/>
    <w:rsid w:val="007B0D80"/>
    <w:rsid w:val="007B19BB"/>
    <w:rsid w:val="007B2471"/>
    <w:rsid w:val="007B2F19"/>
    <w:rsid w:val="007B50F0"/>
    <w:rsid w:val="007B5679"/>
    <w:rsid w:val="007B58D9"/>
    <w:rsid w:val="007C59D4"/>
    <w:rsid w:val="007D3AEF"/>
    <w:rsid w:val="007D3B71"/>
    <w:rsid w:val="007E083E"/>
    <w:rsid w:val="007E18B3"/>
    <w:rsid w:val="007E218D"/>
    <w:rsid w:val="007F2ED5"/>
    <w:rsid w:val="007F7BC6"/>
    <w:rsid w:val="0080587C"/>
    <w:rsid w:val="00810C58"/>
    <w:rsid w:val="0081144D"/>
    <w:rsid w:val="00816A8D"/>
    <w:rsid w:val="0082360E"/>
    <w:rsid w:val="0082554C"/>
    <w:rsid w:val="008268BE"/>
    <w:rsid w:val="00827DB0"/>
    <w:rsid w:val="00835A8D"/>
    <w:rsid w:val="00840050"/>
    <w:rsid w:val="00843B72"/>
    <w:rsid w:val="00864528"/>
    <w:rsid w:val="00875221"/>
    <w:rsid w:val="008825CE"/>
    <w:rsid w:val="00891441"/>
    <w:rsid w:val="0089488F"/>
    <w:rsid w:val="00895327"/>
    <w:rsid w:val="00895655"/>
    <w:rsid w:val="008961F7"/>
    <w:rsid w:val="008A49C0"/>
    <w:rsid w:val="008A6332"/>
    <w:rsid w:val="008C3FBB"/>
    <w:rsid w:val="008C7928"/>
    <w:rsid w:val="008D20AC"/>
    <w:rsid w:val="008D3FC3"/>
    <w:rsid w:val="008D4460"/>
    <w:rsid w:val="008D562F"/>
    <w:rsid w:val="008D6D7E"/>
    <w:rsid w:val="008F270E"/>
    <w:rsid w:val="00902A1B"/>
    <w:rsid w:val="00910B7C"/>
    <w:rsid w:val="00911194"/>
    <w:rsid w:val="009118E6"/>
    <w:rsid w:val="00912FA8"/>
    <w:rsid w:val="00913C72"/>
    <w:rsid w:val="00920F28"/>
    <w:rsid w:val="0092535A"/>
    <w:rsid w:val="009257D6"/>
    <w:rsid w:val="0093122D"/>
    <w:rsid w:val="00931F80"/>
    <w:rsid w:val="00932379"/>
    <w:rsid w:val="00932FE3"/>
    <w:rsid w:val="00940035"/>
    <w:rsid w:val="009706BC"/>
    <w:rsid w:val="0097162E"/>
    <w:rsid w:val="009716B9"/>
    <w:rsid w:val="00974218"/>
    <w:rsid w:val="009774C8"/>
    <w:rsid w:val="0097753A"/>
    <w:rsid w:val="00984510"/>
    <w:rsid w:val="00994195"/>
    <w:rsid w:val="00996B15"/>
    <w:rsid w:val="009A0AD7"/>
    <w:rsid w:val="009C26A9"/>
    <w:rsid w:val="009C5B95"/>
    <w:rsid w:val="009C6401"/>
    <w:rsid w:val="009D240B"/>
    <w:rsid w:val="009F0B58"/>
    <w:rsid w:val="009F1508"/>
    <w:rsid w:val="009F2CB5"/>
    <w:rsid w:val="009F67D4"/>
    <w:rsid w:val="009F793F"/>
    <w:rsid w:val="00A13F5E"/>
    <w:rsid w:val="00A15A70"/>
    <w:rsid w:val="00A25720"/>
    <w:rsid w:val="00A30B24"/>
    <w:rsid w:val="00A401A2"/>
    <w:rsid w:val="00A54903"/>
    <w:rsid w:val="00A655D8"/>
    <w:rsid w:val="00A67ABD"/>
    <w:rsid w:val="00A7048A"/>
    <w:rsid w:val="00A7411A"/>
    <w:rsid w:val="00A91F3D"/>
    <w:rsid w:val="00AA0651"/>
    <w:rsid w:val="00AB10E3"/>
    <w:rsid w:val="00AB65E7"/>
    <w:rsid w:val="00AC0111"/>
    <w:rsid w:val="00AC6BF5"/>
    <w:rsid w:val="00AD1445"/>
    <w:rsid w:val="00AD7873"/>
    <w:rsid w:val="00AE2F1B"/>
    <w:rsid w:val="00AE537E"/>
    <w:rsid w:val="00AF12C5"/>
    <w:rsid w:val="00AF22BF"/>
    <w:rsid w:val="00B0287E"/>
    <w:rsid w:val="00B05B7F"/>
    <w:rsid w:val="00B07E4A"/>
    <w:rsid w:val="00B11F66"/>
    <w:rsid w:val="00B14475"/>
    <w:rsid w:val="00B1495F"/>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A58EC"/>
    <w:rsid w:val="00BB42F4"/>
    <w:rsid w:val="00BB50B2"/>
    <w:rsid w:val="00BB7133"/>
    <w:rsid w:val="00BC1E9F"/>
    <w:rsid w:val="00BD6FDC"/>
    <w:rsid w:val="00BE64B3"/>
    <w:rsid w:val="00BE731C"/>
    <w:rsid w:val="00BF1CBC"/>
    <w:rsid w:val="00BF66A0"/>
    <w:rsid w:val="00BF71BD"/>
    <w:rsid w:val="00C076FC"/>
    <w:rsid w:val="00C11DB4"/>
    <w:rsid w:val="00C25984"/>
    <w:rsid w:val="00C30BB4"/>
    <w:rsid w:val="00C31740"/>
    <w:rsid w:val="00C35AA5"/>
    <w:rsid w:val="00C3668C"/>
    <w:rsid w:val="00C423E7"/>
    <w:rsid w:val="00C474AF"/>
    <w:rsid w:val="00C5401B"/>
    <w:rsid w:val="00C55E55"/>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5165B"/>
    <w:rsid w:val="00D61A03"/>
    <w:rsid w:val="00D7408C"/>
    <w:rsid w:val="00D77B42"/>
    <w:rsid w:val="00D879C5"/>
    <w:rsid w:val="00DA17B3"/>
    <w:rsid w:val="00DA6BDC"/>
    <w:rsid w:val="00DC039A"/>
    <w:rsid w:val="00DC3FAE"/>
    <w:rsid w:val="00DC57D7"/>
    <w:rsid w:val="00DD1F8B"/>
    <w:rsid w:val="00DD3FB1"/>
    <w:rsid w:val="00DE3776"/>
    <w:rsid w:val="00DF0F9E"/>
    <w:rsid w:val="00DF3A66"/>
    <w:rsid w:val="00E01C70"/>
    <w:rsid w:val="00E0258A"/>
    <w:rsid w:val="00E177C5"/>
    <w:rsid w:val="00E20DA8"/>
    <w:rsid w:val="00E3368D"/>
    <w:rsid w:val="00E35941"/>
    <w:rsid w:val="00E364A3"/>
    <w:rsid w:val="00E47BA6"/>
    <w:rsid w:val="00E548CF"/>
    <w:rsid w:val="00E662AB"/>
    <w:rsid w:val="00E85E93"/>
    <w:rsid w:val="00E86641"/>
    <w:rsid w:val="00E93E5C"/>
    <w:rsid w:val="00E97763"/>
    <w:rsid w:val="00EA26EF"/>
    <w:rsid w:val="00EA7941"/>
    <w:rsid w:val="00EB35F9"/>
    <w:rsid w:val="00EB613B"/>
    <w:rsid w:val="00EC4069"/>
    <w:rsid w:val="00EC49FA"/>
    <w:rsid w:val="00ED39F1"/>
    <w:rsid w:val="00ED52A4"/>
    <w:rsid w:val="00EE066D"/>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DCE"/>
    <w:rsid w:val="00F43E32"/>
    <w:rsid w:val="00F440C5"/>
    <w:rsid w:val="00F56C06"/>
    <w:rsid w:val="00F60FF2"/>
    <w:rsid w:val="00F6147A"/>
    <w:rsid w:val="00F6309F"/>
    <w:rsid w:val="00F6350C"/>
    <w:rsid w:val="00F64ED0"/>
    <w:rsid w:val="00F740D4"/>
    <w:rsid w:val="00F862FC"/>
    <w:rsid w:val="00F86814"/>
    <w:rsid w:val="00F8720B"/>
    <w:rsid w:val="00F921BA"/>
    <w:rsid w:val="00FB2307"/>
    <w:rsid w:val="00FB6C9D"/>
    <w:rsid w:val="00FC6BCD"/>
    <w:rsid w:val="00FC7DFA"/>
    <w:rsid w:val="00FD01C1"/>
    <w:rsid w:val="00FD4E0D"/>
    <w:rsid w:val="00FE0930"/>
    <w:rsid w:val="00FE0F4E"/>
    <w:rsid w:val="00FE1E2B"/>
    <w:rsid w:val="00FE2AE1"/>
    <w:rsid w:val="00FE35EF"/>
    <w:rsid w:val="00FE5068"/>
    <w:rsid w:val="00FF2DA2"/>
    <w:rsid w:val="00FF6BD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31</Pages>
  <Words>17139</Words>
  <Characters>102834</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61</cp:revision>
  <cp:lastPrinted>2023-04-14T08:31:00Z</cp:lastPrinted>
  <dcterms:created xsi:type="dcterms:W3CDTF">2021-12-02T08:37:00Z</dcterms:created>
  <dcterms:modified xsi:type="dcterms:W3CDTF">2023-04-14T08:32:00Z</dcterms:modified>
</cp:coreProperties>
</file>