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C78890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="00805E7C">
        <w:rPr>
          <w:sz w:val="18"/>
          <w:szCs w:val="18"/>
        </w:rPr>
        <w:t xml:space="preserve"> do SWZ DZP.382.1.</w:t>
      </w:r>
      <w:r w:rsidR="00E51800">
        <w:rPr>
          <w:sz w:val="18"/>
          <w:szCs w:val="18"/>
        </w:rPr>
        <w:t>38</w:t>
      </w:r>
      <w:r w:rsidR="00805E7C">
        <w:rPr>
          <w:sz w:val="18"/>
          <w:szCs w:val="18"/>
        </w:rPr>
        <w:t>.202</w:t>
      </w:r>
      <w:r w:rsidR="00CC6C9A">
        <w:rPr>
          <w:sz w:val="18"/>
          <w:szCs w:val="18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3502A5C1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="00805E7C" w:rsidRPr="00805E7C">
        <w:rPr>
          <w:b/>
        </w:rPr>
        <w:t>DZP.382.1.</w:t>
      </w:r>
      <w:r w:rsidR="00E51800">
        <w:rPr>
          <w:b/>
        </w:rPr>
        <w:t>38</w:t>
      </w:r>
      <w:r w:rsidR="00805E7C" w:rsidRPr="00805E7C">
        <w:rPr>
          <w:b/>
        </w:rPr>
        <w:t>.202</w:t>
      </w:r>
      <w:r w:rsidR="00CC6C9A">
        <w:rPr>
          <w:b/>
        </w:rPr>
        <w:t>4</w:t>
      </w:r>
      <w:r w:rsidRPr="007F2357">
        <w:t>, pn.: „</w:t>
      </w:r>
      <w:bookmarkStart w:id="0" w:name="_Hlk65743332"/>
      <w:r w:rsidR="0008161C">
        <w:rPr>
          <w:b/>
        </w:rPr>
        <w:t xml:space="preserve">Dostawa </w:t>
      </w:r>
      <w:r w:rsidR="00E51800">
        <w:rPr>
          <w:b/>
        </w:rPr>
        <w:t>urządzeń wielofunkcyjnych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</w:t>
      </w:r>
      <w:bookmarkStart w:id="1" w:name="_GoBack"/>
      <w:bookmarkEnd w:id="1"/>
      <w:r w:rsidRPr="007F2357">
        <w:t xml:space="preserve">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7777777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</w:t>
      </w:r>
      <w:r>
        <w:t>292, 1559 i 2054),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02BEEBFB" w14:textId="77777777" w:rsidR="0004093A" w:rsidRPr="00F169AE" w:rsidRDefault="0004093A" w:rsidP="00E83FE6">
      <w:pPr>
        <w:pStyle w:val="Tekstpodstawowy"/>
        <w:rPr>
          <w:lang w:val="pl-PL" w:eastAsia="x-none"/>
        </w:rPr>
      </w:pPr>
    </w:p>
    <w:p w14:paraId="042B5EDB" w14:textId="77777777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EBB1226" w14:textId="77777777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49B42AFF" w14:textId="77777777" w:rsidR="00E83FE6" w:rsidRPr="007566B0" w:rsidRDefault="00E83FE6" w:rsidP="0080023D">
      <w:pPr>
        <w:pStyle w:val="Nagwek2"/>
        <w:spacing w:line="360" w:lineRule="auto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05E7C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805E7C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05E7C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C6C9A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1800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A34DC32"/>
  <w15:docId w15:val="{D3E54EE3-5D08-4F4E-94C4-71F6FADA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81F15-E51B-495D-8D5C-2BE7658E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1803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25</cp:revision>
  <cp:lastPrinted>2022-06-15T06:00:00Z</cp:lastPrinted>
  <dcterms:created xsi:type="dcterms:W3CDTF">2021-02-01T09:24:00Z</dcterms:created>
  <dcterms:modified xsi:type="dcterms:W3CDTF">2024-05-23T10:54:00Z</dcterms:modified>
</cp:coreProperties>
</file>