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3D6F" w14:textId="77777777" w:rsidR="0087152E" w:rsidRDefault="0087152E" w:rsidP="00C72216">
      <w:pPr>
        <w:spacing w:line="240" w:lineRule="exact"/>
        <w:jc w:val="center"/>
        <w:rPr>
          <w:rFonts w:ascii="Arial Unicode MS" w:eastAsia="Arial Unicode MS" w:hAnsi="Arial Unicode MS" w:cs="Arial Unicode MS"/>
          <w:b/>
          <w:color w:val="000000"/>
          <w:vertAlign w:val="baseline"/>
        </w:rPr>
      </w:pPr>
      <w:r>
        <w:rPr>
          <w:rFonts w:ascii="Arial Unicode MS" w:eastAsia="Arial Unicode MS" w:hAnsi="Arial Unicode MS" w:cs="Arial Unicode MS"/>
          <w:b/>
          <w:color w:val="000000"/>
          <w:vertAlign w:val="baseline"/>
        </w:rPr>
        <w:t>Projekt wykonawczy</w:t>
      </w:r>
    </w:p>
    <w:p w14:paraId="4436AF2E" w14:textId="5CA5B352" w:rsidR="00C72216" w:rsidRDefault="00C72216" w:rsidP="00C72216">
      <w:pPr>
        <w:spacing w:line="240" w:lineRule="exact"/>
        <w:jc w:val="center"/>
        <w:rPr>
          <w:rFonts w:ascii="Arial Unicode MS" w:eastAsia="Arial Unicode MS" w:hAnsi="Arial Unicode MS" w:cs="Arial Unicode MS"/>
          <w:b/>
          <w:color w:val="000000"/>
          <w:vertAlign w:val="baseline"/>
        </w:rPr>
      </w:pPr>
      <w:r>
        <w:rPr>
          <w:rFonts w:ascii="Arial Unicode MS" w:eastAsia="Arial Unicode MS" w:hAnsi="Arial Unicode MS" w:cs="Arial Unicode MS"/>
          <w:b/>
          <w:color w:val="000000"/>
          <w:vertAlign w:val="baseline"/>
        </w:rPr>
        <w:t xml:space="preserve">Opis prac remontowych </w:t>
      </w:r>
    </w:p>
    <w:p w14:paraId="00EB4411" w14:textId="77777777" w:rsidR="00C72216" w:rsidRDefault="00C72216" w:rsidP="00C72216">
      <w:pPr>
        <w:spacing w:line="240" w:lineRule="exact"/>
        <w:jc w:val="center"/>
        <w:rPr>
          <w:rFonts w:ascii="Arial Unicode MS" w:eastAsia="Arial Unicode MS" w:hAnsi="Arial Unicode MS" w:cs="Arial Unicode MS"/>
          <w:b/>
          <w:color w:val="000000"/>
          <w:vertAlign w:val="baseline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vertAlign w:val="baseline"/>
        </w:rPr>
        <w:t>dachu części niskiej budynku</w:t>
      </w:r>
      <w:r>
        <w:rPr>
          <w:rFonts w:ascii="Arial Unicode MS" w:eastAsia="Arial Unicode MS" w:hAnsi="Arial Unicode MS" w:cs="Arial Unicode MS"/>
          <w:b/>
          <w:color w:val="000000"/>
          <w:vertAlign w:val="baseline"/>
        </w:rPr>
        <w:t xml:space="preserve"> </w:t>
      </w:r>
      <w:r w:rsidRPr="00C72216">
        <w:rPr>
          <w:rFonts w:ascii="Arial Unicode MS" w:eastAsia="Arial Unicode MS" w:hAnsi="Arial Unicode MS" w:cs="Arial Unicode MS"/>
          <w:b/>
          <w:color w:val="000000"/>
          <w:vertAlign w:val="baseline"/>
        </w:rPr>
        <w:t xml:space="preserve">Hali Sportowej Filii PW w Płocku </w:t>
      </w:r>
    </w:p>
    <w:p w14:paraId="5C9EF72C" w14:textId="77777777" w:rsidR="00C72216" w:rsidRDefault="00C72216" w:rsidP="00C72216">
      <w:pPr>
        <w:spacing w:line="240" w:lineRule="exact"/>
        <w:jc w:val="center"/>
        <w:rPr>
          <w:rFonts w:ascii="Arial Unicode MS" w:eastAsia="Arial Unicode MS" w:hAnsi="Arial Unicode MS" w:cs="Arial Unicode MS"/>
          <w:b/>
          <w:color w:val="000000"/>
          <w:vertAlign w:val="baseline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vertAlign w:val="baseline"/>
        </w:rPr>
        <w:t>przy</w:t>
      </w:r>
      <w:r w:rsidR="0074408F">
        <w:rPr>
          <w:rFonts w:ascii="Arial Unicode MS" w:eastAsia="Arial Unicode MS" w:hAnsi="Arial Unicode MS" w:cs="Arial Unicode MS"/>
          <w:b/>
          <w:color w:val="000000"/>
          <w:vertAlign w:val="baseline"/>
        </w:rPr>
        <w:t xml:space="preserve"> ul. 7 czerwca 1991r</w:t>
      </w:r>
    </w:p>
    <w:p w14:paraId="597D3943" w14:textId="77777777" w:rsidR="00C72216" w:rsidRPr="00C72216" w:rsidRDefault="00C72216" w:rsidP="00C72216">
      <w:pPr>
        <w:spacing w:line="240" w:lineRule="exact"/>
        <w:jc w:val="center"/>
        <w:rPr>
          <w:rFonts w:ascii="Arial Unicode MS" w:eastAsia="Arial Unicode MS" w:hAnsi="Arial Unicode MS" w:cs="Arial Unicode MS"/>
          <w:b/>
          <w:color w:val="000000"/>
          <w:vertAlign w:val="baseline"/>
        </w:rPr>
      </w:pPr>
      <w:r>
        <w:rPr>
          <w:rFonts w:ascii="Arial Unicode MS" w:eastAsia="Arial Unicode MS" w:hAnsi="Arial Unicode MS" w:cs="Arial Unicode MS"/>
          <w:b/>
          <w:color w:val="000000"/>
          <w:vertAlign w:val="baseline"/>
        </w:rPr>
        <w:t>- II etap</w:t>
      </w:r>
    </w:p>
    <w:p w14:paraId="340AA252" w14:textId="77777777" w:rsidR="00C72216" w:rsidRPr="00C72216" w:rsidRDefault="00C72216" w:rsidP="00C72216">
      <w:pPr>
        <w:spacing w:line="240" w:lineRule="exact"/>
        <w:jc w:val="center"/>
        <w:rPr>
          <w:rFonts w:ascii="Arial Unicode MS" w:eastAsia="Arial Unicode MS" w:hAnsi="Arial Unicode MS" w:cs="Arial Unicode MS"/>
          <w:b/>
          <w:color w:val="000000"/>
          <w:vertAlign w:val="baseline"/>
        </w:rPr>
      </w:pPr>
    </w:p>
    <w:p w14:paraId="1701FB9C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 w:hint="eastAsia"/>
          <w:bCs/>
          <w:color w:val="000000"/>
          <w:szCs w:val="24"/>
        </w:rPr>
        <w:t xml:space="preserve">Istniejący obiekt to budynek 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użyteczności publicznej – Hala Sportowa  z lat 80-tych. Budynek składa się z dwóch części: wysoka sala sportowa oraz przyległe niższe zaplecze pomocnicze. </w:t>
      </w:r>
    </w:p>
    <w:p w14:paraId="421E3EA7" w14:textId="77777777" w:rsid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Niniejszy opis prac remontowych </w:t>
      </w:r>
      <w:r w:rsidR="0074408F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dotyczy 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>dachu części niskiej budynku hali, czyli dachu</w:t>
      </w:r>
      <w:r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zaplecza pomocniczego - II etap.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Część niższa zaplecza dobudowana do hali wysokiej od strony frontowej i wzdłuż ściany wschodniej. Część niska o wysokości 5,03m, dobudowana na siatce słupów stalowych. </w:t>
      </w:r>
    </w:p>
    <w:p w14:paraId="1D56623D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>
        <w:rPr>
          <w:rFonts w:ascii="Arial Unicode MS" w:eastAsia="Arial Unicode MS" w:hAnsi="Arial Unicode MS" w:cs="Arial Unicode MS"/>
          <w:bCs/>
          <w:color w:val="000000"/>
          <w:szCs w:val="24"/>
        </w:rPr>
        <w:t>Dach nad częścią niską wzdłuż ściany wschodniej został wyremontowany w I etapie prac w roku 2020.</w:t>
      </w:r>
    </w:p>
    <w:p w14:paraId="16038246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bCs/>
          <w:color w:val="000000"/>
          <w:szCs w:val="24"/>
        </w:rPr>
        <w:t>Konstrukcja dachu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wykonana jako stalowa w układzie płatwiowo-ryglowym. Jednoprzęsłowe rygle stalowe wykonano z IPN 260. Rygle zamocowano przegubowo do słupów stalowych wykonanych z 2xUPN160 w części południowej lub 2xUPN200 w części wschodniej. Na głównych ryglach oparto przegubowo płatwie dachowe jako belki ciągłe wieloprzęsłowe, wykonane z IPN160. Na dachu nie zastosowano  prętowych stężeń połaciowych. Dach został pokryty blachą fałdową obustronnie ocynkowaną stanowiącą zarazem usztywnienie konstrukcji dachu w jego płaszczyźnie. Blacha do płatwi została zamocowana w każdej fałdzie za pomocą gwoździ wstrzeliwanych do metalu. Do płatwi został podwieszony strop wykonany podobnie jak pokrycie dachu z blachy trapezowej cynkowej T-55x188D.</w:t>
      </w:r>
    </w:p>
    <w:p w14:paraId="1FA96F2E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>W części niskiej</w:t>
      </w:r>
      <w:r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II etapu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od strony południowej dach wykonany jest jako dwuspadowy</w:t>
      </w:r>
      <w:r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o spadku około 8%.</w:t>
      </w:r>
    </w:p>
    <w:p w14:paraId="421AF095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bCs/>
          <w:color w:val="000000"/>
          <w:szCs w:val="24"/>
        </w:rPr>
        <w:t>Pokrycie dachu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</w:t>
      </w:r>
      <w:r w:rsidRPr="00C72216">
        <w:rPr>
          <w:rFonts w:ascii="Arial Unicode MS" w:eastAsia="Arial Unicode MS" w:hAnsi="Arial Unicode MS" w:cs="Arial Unicode MS"/>
          <w:b/>
          <w:bCs/>
          <w:color w:val="000000"/>
          <w:szCs w:val="24"/>
        </w:rPr>
        <w:t xml:space="preserve">istniejące 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>części niskiej wykonane jest z:</w:t>
      </w:r>
    </w:p>
    <w:p w14:paraId="1E8C58CD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>-   3 warstwy papy</w:t>
      </w:r>
    </w:p>
    <w:p w14:paraId="09376DB1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>-   płyta pilśniowa grubości 12mm</w:t>
      </w:r>
    </w:p>
    <w:p w14:paraId="2E77E223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-   warstwa docieplenia w postaci pianki poliuretanowej grubości 60mm, </w:t>
      </w:r>
    </w:p>
    <w:p w14:paraId="482B3374" w14:textId="77777777" w:rsidR="00C72216" w:rsidRPr="00C72216" w:rsidRDefault="00C72216" w:rsidP="00C72216">
      <w:pPr>
        <w:pStyle w:val="Tekstpodstawowywcity"/>
        <w:spacing w:line="240" w:lineRule="exact"/>
        <w:rPr>
          <w:rFonts w:ascii="Arial Unicode MS" w:eastAsia="Arial Unicode MS" w:hAnsi="Arial Unicode MS" w:cs="Arial Unicode MS"/>
          <w:bCs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>-   blacha trapezowa T55x188D</w:t>
      </w:r>
    </w:p>
    <w:p w14:paraId="3C61C1B5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b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szCs w:val="24"/>
        </w:rPr>
        <w:t xml:space="preserve">Ocena stanu technicznego pokrycia dachowego </w:t>
      </w:r>
    </w:p>
    <w:p w14:paraId="0D510B0F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Istniejące pokrycie dachowe z papy jest w złym stanie technicznym. W trakcie wizji lokalnej stwierdzono liczne stany zawilgocenia dachu, które widoczne są nawet od wewnątrz. W wielu miejscach pokrycie papowe nie przylega do podłoża, o czym świadczą pęcherze powietrza. W miejscu występowania wywietrzaków dachowych widać liczne ślady zawilgocenia, niedostatecznego zabezpieczenia przed wodą opadową. Stwierdzono lokalne nieszczelności pokrycia dachowego, szczególnie w okolicach istniejących wywietrzaków dachowych.</w:t>
      </w:r>
    </w:p>
    <w:p w14:paraId="7921EACE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b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szCs w:val="24"/>
        </w:rPr>
        <w:t>Roboty remontowe pokrycia dachu</w:t>
      </w:r>
    </w:p>
    <w:p w14:paraId="2539CF0F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Zakres prac remon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towych dachu 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>części niskiej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 - II etap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dotyczy tylko fragmentu dachu </w:t>
      </w:r>
      <w:r w:rsidR="00C45C30">
        <w:rPr>
          <w:rFonts w:ascii="Arial Unicode MS" w:eastAsia="Arial Unicode MS" w:hAnsi="Arial Unicode MS" w:cs="Arial Unicode MS"/>
          <w:color w:val="000000"/>
          <w:szCs w:val="24"/>
        </w:rPr>
        <w:t>w części południowej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, co zaznaczono na rysunku rzutu dachu </w:t>
      </w:r>
      <w:r w:rsidR="00C45C30">
        <w:rPr>
          <w:rFonts w:ascii="Arial Unicode MS" w:eastAsia="Arial Unicode MS" w:hAnsi="Arial Unicode MS" w:cs="Arial Unicode MS"/>
          <w:color w:val="000000"/>
          <w:szCs w:val="24"/>
        </w:rPr>
        <w:t>kolorem czerwonym - ok.18,0m x 18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>,38m</w:t>
      </w:r>
      <w:r w:rsidR="00C45C30">
        <w:rPr>
          <w:rFonts w:ascii="Arial Unicode MS" w:eastAsia="Arial Unicode MS" w:hAnsi="Arial Unicode MS" w:cs="Arial Unicode MS"/>
          <w:color w:val="000000"/>
          <w:szCs w:val="24"/>
        </w:rPr>
        <w:t xml:space="preserve"> pomniejszone o atrium o wymiarach ok.5,64m x 9,60m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. </w:t>
      </w:r>
    </w:p>
    <w:p w14:paraId="35C92D6B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FF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Na tym fragmencie przewidziano poniższe roboty remontowe: </w:t>
      </w:r>
    </w:p>
    <w:p w14:paraId="01E039D7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demontaż istniejącej dachowej instalacji odgromowej</w:t>
      </w:r>
    </w:p>
    <w:p w14:paraId="1217AA06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rozbiórka istniejących obróbek blacharskich</w:t>
      </w:r>
    </w:p>
    <w:p w14:paraId="30E27582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rozbiórka istniejącego pokrycia z papy (3 warstwy papy)</w:t>
      </w:r>
    </w:p>
    <w:p w14:paraId="7AC2D816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papę z rozbiórki przeznaczyć i wywieźć do utylizacji</w:t>
      </w:r>
    </w:p>
    <w:p w14:paraId="1FE8B85C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- rozbiórka istniejącej warstwy z płyty pilśniowej (grub.12mm) </w:t>
      </w:r>
    </w:p>
    <w:p w14:paraId="3DF55858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- osuszenie miejscowych zawilgoceń pokrycia od przecieków </w:t>
      </w:r>
    </w:p>
    <w:p w14:paraId="084B0748" w14:textId="1034094E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montaż nowej płyty OSB wodoszczelnej grubości 1</w:t>
      </w:r>
      <w:r w:rsidR="0087152E">
        <w:rPr>
          <w:rFonts w:ascii="Arial Unicode MS" w:eastAsia="Arial Unicode MS" w:hAnsi="Arial Unicode MS" w:cs="Arial Unicode MS"/>
          <w:color w:val="000000"/>
          <w:szCs w:val="24"/>
        </w:rPr>
        <w:t xml:space="preserve">8 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>mm</w:t>
      </w:r>
    </w:p>
    <w:p w14:paraId="41630A6E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ułożenie 2 warstw papy termozgrzewalnej: podkładowej i wierzchniego krycia</w:t>
      </w:r>
    </w:p>
    <w:p w14:paraId="0F93FD6C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- do wymiany wywietrzaki dachowe i ich obróbka wraz z </w:t>
      </w:r>
      <w:r w:rsidRPr="00C72216">
        <w:rPr>
          <w:rFonts w:ascii="Arial Unicode MS" w:eastAsia="Arial Unicode MS" w:hAnsi="Arial Unicode MS" w:cs="Arial Unicode MS"/>
          <w:szCs w:val="24"/>
        </w:rPr>
        <w:t xml:space="preserve">uszczelnieniem </w:t>
      </w:r>
      <w:r w:rsidR="0074408F">
        <w:rPr>
          <w:rFonts w:ascii="Arial Unicode MS" w:eastAsia="Arial Unicode MS" w:hAnsi="Arial Unicode MS" w:cs="Arial Unicode MS"/>
          <w:szCs w:val="24"/>
        </w:rPr>
        <w:t>szt.14 oraz 3 wywiewki kanalizacyjne</w:t>
      </w:r>
    </w:p>
    <w:p w14:paraId="3B6DDB72" w14:textId="77777777" w:rsidR="00C72216" w:rsidRPr="00C72216" w:rsidRDefault="00C45C30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lastRenderedPageBreak/>
        <w:t>- do wymiany wpust dachowy</w:t>
      </w:r>
      <w:r w:rsidR="00C72216" w:rsidRPr="00C72216">
        <w:rPr>
          <w:rFonts w:ascii="Arial Unicode MS" w:eastAsia="Arial Unicode MS" w:hAnsi="Arial Unicode MS" w:cs="Arial Unicode MS"/>
          <w:szCs w:val="24"/>
        </w:rPr>
        <w:t xml:space="preserve"> szt</w:t>
      </w:r>
      <w:r>
        <w:rPr>
          <w:rFonts w:ascii="Arial Unicode MS" w:eastAsia="Arial Unicode MS" w:hAnsi="Arial Unicode MS" w:cs="Arial Unicode MS"/>
          <w:szCs w:val="24"/>
        </w:rPr>
        <w:t>. 1</w:t>
      </w:r>
      <w:r w:rsidR="00C72216" w:rsidRPr="00C72216">
        <w:rPr>
          <w:rFonts w:ascii="Arial Unicode MS" w:eastAsia="Arial Unicode MS" w:hAnsi="Arial Unicode MS" w:cs="Arial Unicode MS"/>
          <w:szCs w:val="24"/>
        </w:rPr>
        <w:t xml:space="preserve"> z</w:t>
      </w:r>
      <w:r>
        <w:rPr>
          <w:rFonts w:ascii="Arial Unicode MS" w:eastAsia="Arial Unicode MS" w:hAnsi="Arial Unicode MS" w:cs="Arial Unicode MS"/>
          <w:szCs w:val="24"/>
        </w:rPr>
        <w:t xml:space="preserve"> wodoodpornym</w:t>
      </w:r>
      <w:r w:rsidR="00C72216" w:rsidRPr="00C72216">
        <w:rPr>
          <w:rFonts w:ascii="Arial Unicode MS" w:eastAsia="Arial Unicode MS" w:hAnsi="Arial Unicode MS" w:cs="Arial Unicode MS"/>
          <w:szCs w:val="24"/>
        </w:rPr>
        <w:t xml:space="preserve"> kołnierz</w:t>
      </w:r>
      <w:r>
        <w:rPr>
          <w:rFonts w:ascii="Arial Unicode MS" w:eastAsia="Arial Unicode MS" w:hAnsi="Arial Unicode MS" w:cs="Arial Unicode MS"/>
          <w:szCs w:val="24"/>
        </w:rPr>
        <w:t>em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 uszczelniającym dostosowanym</w:t>
      </w:r>
      <w:r w:rsidR="00C72216"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do zgrzania z papą pokrycia dachowego, wpus</w:t>
      </w:r>
      <w:r>
        <w:rPr>
          <w:rFonts w:ascii="Arial Unicode MS" w:eastAsia="Arial Unicode MS" w:hAnsi="Arial Unicode MS" w:cs="Arial Unicode MS"/>
          <w:color w:val="000000"/>
          <w:szCs w:val="24"/>
        </w:rPr>
        <w:t>t dachowy</w:t>
      </w:r>
      <w:r w:rsidR="00C72216"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z polietylenu HDPE  z osłoną zabezpieczającą.</w:t>
      </w:r>
    </w:p>
    <w:p w14:paraId="00887BA3" w14:textId="024A2BBC" w:rsid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 wykonanie nowych obróbek blacharskich - blacha stalowa</w:t>
      </w:r>
      <w:r w:rsidR="0087152E">
        <w:rPr>
          <w:rFonts w:ascii="Arial Unicode MS" w:eastAsia="Arial Unicode MS" w:hAnsi="Arial Unicode MS" w:cs="Arial Unicode MS"/>
          <w:color w:val="000000"/>
          <w:szCs w:val="24"/>
        </w:rPr>
        <w:t xml:space="preserve"> ocynkowana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grub.</w:t>
      </w:r>
      <w:r w:rsidRPr="00C72216">
        <w:rPr>
          <w:rFonts w:ascii="Arial Unicode MS" w:eastAsia="Arial Unicode MS" w:hAnsi="Arial Unicode MS" w:cs="Arial Unicode MS"/>
          <w:szCs w:val="24"/>
        </w:rPr>
        <w:t>0,5</w:t>
      </w:r>
      <w:r w:rsidR="0087152E">
        <w:rPr>
          <w:rFonts w:ascii="Arial Unicode MS" w:eastAsia="Arial Unicode MS" w:hAnsi="Arial Unicode MS" w:cs="Arial Unicode MS"/>
          <w:szCs w:val="24"/>
        </w:rPr>
        <w:t xml:space="preserve">0 </w:t>
      </w:r>
      <w:r w:rsidRPr="00C72216">
        <w:rPr>
          <w:rFonts w:ascii="Arial Unicode MS" w:eastAsia="Arial Unicode MS" w:hAnsi="Arial Unicode MS" w:cs="Arial Unicode MS"/>
          <w:szCs w:val="24"/>
        </w:rPr>
        <w:t>mm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powlekana powłoką poliestrową w kolor, kolor należy uzgodnić z Inwestorem, przyjęto w projekcie kolor szary.</w:t>
      </w:r>
    </w:p>
    <w:p w14:paraId="0EFBB9D1" w14:textId="240BF6EB" w:rsidR="0074408F" w:rsidRPr="00C72216" w:rsidRDefault="0074408F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color w:val="000000"/>
          <w:szCs w:val="24"/>
        </w:rPr>
        <w:t xml:space="preserve">- </w:t>
      </w:r>
      <w:r w:rsidR="0087152E">
        <w:rPr>
          <w:rFonts w:ascii="Arial Unicode MS" w:eastAsia="Arial Unicode MS" w:hAnsi="Arial Unicode MS" w:cs="Arial Unicode MS"/>
          <w:color w:val="000000"/>
          <w:szCs w:val="24"/>
        </w:rPr>
        <w:t>wymiana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 rozebranej instalacji odgromowej</w:t>
      </w:r>
    </w:p>
    <w:p w14:paraId="6A1430BC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b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szCs w:val="24"/>
        </w:rPr>
        <w:t>Pokrycie dachu papą termozgrzewalną</w:t>
      </w:r>
    </w:p>
    <w:p w14:paraId="239E8F47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Przy remoncie należy zastosować dwie warstwy pap termozgrzewalnych asfaltowych (papa podkł</w:t>
      </w:r>
      <w:r w:rsidR="0074408F">
        <w:rPr>
          <w:rFonts w:ascii="Arial Unicode MS" w:eastAsia="Arial Unicode MS" w:hAnsi="Arial Unicode MS" w:cs="Arial Unicode MS"/>
          <w:color w:val="000000"/>
          <w:szCs w:val="24"/>
        </w:rPr>
        <w:t>adowa + papa nawierzchniowa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>. Papa o gruboziarnistej posypce powinna być zastosowana jako papa nawierzchniowa, natomiast papa o drobnoziarnistej posypce jako podkładowa. Poszczególne warstwy papy należy zgrzać dokładnie między sobą oraz do podłoża. Obróbkę nakrywającą z papy</w:t>
      </w:r>
      <w:r w:rsidRPr="00C72216">
        <w:rPr>
          <w:rFonts w:ascii="Arial Unicode MS" w:eastAsia="Arial Unicode MS" w:hAnsi="Arial Unicode MS" w:cs="Arial Unicode MS"/>
          <w:bCs/>
          <w:color w:val="000000"/>
          <w:szCs w:val="24"/>
        </w:rPr>
        <w:t xml:space="preserve"> nawierzchniowej zaleca się wyprowadzić ok.12cm poza krawędź papy podkładowej. W miejscach planowanego zakładu (zgrzewu) posypkę na spodnim pasie podgrzać i wcisną szpachelką w masę asfaltową. Operacja ta ma na celu zapewnienie właściwego zgrzania pap w złączu. Papę należy układać pasami równoległymi do okapu.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Arkusze papy należy łączyć ze sobą na zakłady:</w:t>
      </w:r>
    </w:p>
    <w:p w14:paraId="14EB530A" w14:textId="77777777" w:rsidR="00C72216" w:rsidRPr="00C72216" w:rsidRDefault="00C72216" w:rsidP="00C72216">
      <w:pPr>
        <w:pStyle w:val="Tekstpodstawowy"/>
        <w:numPr>
          <w:ilvl w:val="0"/>
          <w:numId w:val="3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podłużny 8cm</w:t>
      </w:r>
    </w:p>
    <w:p w14:paraId="22DD5B9C" w14:textId="77777777" w:rsidR="00C72216" w:rsidRPr="00C72216" w:rsidRDefault="00C72216" w:rsidP="00C72216">
      <w:pPr>
        <w:pStyle w:val="Tekstpodstawowy"/>
        <w:numPr>
          <w:ilvl w:val="0"/>
          <w:numId w:val="3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poprzeczny 12-15cm</w:t>
      </w:r>
    </w:p>
    <w:p w14:paraId="21103342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Zakłady powinny być wykonywane zgodnie z kierunkiem spływu wody.</w:t>
      </w:r>
    </w:p>
    <w:p w14:paraId="058B3EAD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Nowe pokrycie ze spadkiem 8% należy wykonać z zastosowaniem systemu papy zgrzewalnej polimerowo-asfaltowej o minimalnych wartościach podstawowych parametrów nie gorszych niż określonych poniżej: </w:t>
      </w:r>
    </w:p>
    <w:p w14:paraId="49F02234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grub.min.5,6mm</w:t>
      </w:r>
    </w:p>
    <w:p w14:paraId="1C5CF6F1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osnowa z włókniny poliestrowej o gramaturze 250 g/m</w:t>
      </w:r>
      <w:r w:rsidRPr="00C72216">
        <w:rPr>
          <w:rFonts w:ascii="Arial Unicode MS" w:eastAsia="Arial Unicode MS" w:hAnsi="Arial Unicode MS" w:cs="Arial Unicode MS"/>
          <w:color w:val="000000"/>
          <w:szCs w:val="24"/>
          <w:vertAlign w:val="superscript"/>
        </w:rPr>
        <w:t>2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357A2B0E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zawartość asfaltu modyfikowanego SBS4000 g/m</w:t>
      </w:r>
      <w:r w:rsidRPr="00C72216">
        <w:rPr>
          <w:rFonts w:ascii="Arial Unicode MS" w:eastAsia="Arial Unicode MS" w:hAnsi="Arial Unicode MS" w:cs="Arial Unicode MS"/>
          <w:color w:val="000000"/>
          <w:szCs w:val="24"/>
          <w:vertAlign w:val="superscript"/>
        </w:rPr>
        <w:t>2</w:t>
      </w:r>
    </w:p>
    <w:p w14:paraId="2AD29812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siła zrywająca wzdłuż (pasek 5cm) 800N</w:t>
      </w:r>
    </w:p>
    <w:p w14:paraId="6C20B82A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siła zrywająca w poprzek (pasek 5cm) 700N</w:t>
      </w:r>
    </w:p>
    <w:p w14:paraId="3E4603FE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wydłużenie przy zerwaniu wzdłuż i w poprzek 40%</w:t>
      </w:r>
    </w:p>
    <w:p w14:paraId="1F13EDEF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giętkość w obniżonych temperaturach (</w:t>
      </w:r>
      <w:r w:rsidRPr="00C72216">
        <w:rPr>
          <w:rFonts w:ascii="Arial Unicode MS" w:eastAsia="Arial Unicode MS" w:hAnsi="Arial Unicode MS" w:cs="Arial Unicode MS" w:hint="eastAsia"/>
          <w:color w:val="000000"/>
          <w:szCs w:val="24"/>
        </w:rPr>
        <w:t>Ø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>30)  -25</w:t>
      </w:r>
      <w:r w:rsidRPr="00C72216">
        <w:rPr>
          <w:rFonts w:ascii="Arial Unicode MS" w:eastAsia="Arial Unicode MS" w:hAnsi="Arial Unicode MS" w:cs="Arial Unicode MS" w:hint="eastAsia"/>
          <w:color w:val="000000"/>
          <w:szCs w:val="24"/>
        </w:rPr>
        <w:t>°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C </w:t>
      </w:r>
    </w:p>
    <w:p w14:paraId="5A9BA850" w14:textId="77777777" w:rsidR="00C72216" w:rsidRPr="00C72216" w:rsidRDefault="00C72216" w:rsidP="00C72216">
      <w:pPr>
        <w:pStyle w:val="Tekstpodstawowy"/>
        <w:numPr>
          <w:ilvl w:val="0"/>
          <w:numId w:val="2"/>
        </w:numPr>
        <w:spacing w:line="240" w:lineRule="exact"/>
        <w:ind w:left="0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odporność na działanie wysokich temperatur (2h) +100</w:t>
      </w:r>
      <w:r w:rsidRPr="00C72216">
        <w:rPr>
          <w:rFonts w:ascii="Arial Unicode MS" w:eastAsia="Arial Unicode MS" w:hAnsi="Arial Unicode MS" w:cs="Arial Unicode MS" w:hint="eastAsia"/>
          <w:color w:val="000000"/>
          <w:szCs w:val="24"/>
        </w:rPr>
        <w:t>°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>C</w:t>
      </w:r>
    </w:p>
    <w:p w14:paraId="2094F1A3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b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szCs w:val="24"/>
        </w:rPr>
        <w:t>Roboty towarzyszące i specjalne</w:t>
      </w:r>
    </w:p>
    <w:p w14:paraId="0D06B543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Do robót towarzyszących należących do świadczeń umownych, nawet jeśli nie są wymienione w umowie zalicza się:</w:t>
      </w:r>
    </w:p>
    <w:p w14:paraId="556483E9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utrzymanie i likwidacja placu budowy</w:t>
      </w:r>
    </w:p>
    <w:p w14:paraId="0C2560CF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utrzymanie urządzeń placu budowy wraz z maszynami</w:t>
      </w:r>
    </w:p>
    <w:p w14:paraId="10FF8C8A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pomiary do rozliczenia robót wraz z wykonaniem lub dostarczeniem przyrządów</w:t>
      </w:r>
    </w:p>
    <w:p w14:paraId="36BF4B79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działania ochronne zgodnie z warunkami bhp</w:t>
      </w:r>
    </w:p>
    <w:p w14:paraId="63BF236B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oświetlenie i ogrzewanie pomieszczeń pracowniczych</w:t>
      </w:r>
    </w:p>
    <w:p w14:paraId="36BE9E22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doprowadzenie wody i energii do punktów wykorzystania</w:t>
      </w:r>
    </w:p>
    <w:p w14:paraId="49C54529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dostarczenie materiałów eksploatacyjnych</w:t>
      </w:r>
    </w:p>
    <w:p w14:paraId="2FFB0253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utrzymywanie drobnych urządzeń i narzędzi</w:t>
      </w:r>
    </w:p>
    <w:p w14:paraId="4B94E81E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przewóz materiałów do miejsc ich wykorzystania</w:t>
      </w:r>
    </w:p>
    <w:p w14:paraId="2A99A90E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- zabezpieczenie robót przed wodą opadową </w:t>
      </w:r>
    </w:p>
    <w:p w14:paraId="63F755FA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usuwanie odpadów z obszaru budowy oraz zanieczyszczeń wynikających z robót wykonywanych przez wykonawcę</w:t>
      </w:r>
    </w:p>
    <w:p w14:paraId="22AA3422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usuwanie odpadów, nie zawierających substancji szkodliwych</w:t>
      </w:r>
    </w:p>
    <w:p w14:paraId="769ECDCC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Do robót specjalnych należących do świadczeń umownych, nawet jeśli nie są wymienione w umowie zalicza się:</w:t>
      </w:r>
    </w:p>
    <w:p w14:paraId="4549F5F5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działania związane z usuwaniem szkodliwych substancji</w:t>
      </w:r>
    </w:p>
    <w:p w14:paraId="416D92BE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nadzorowanie robót wykonywanych przez inne przedsiębiorstwa w ramach umowy o podwykonawstwie</w:t>
      </w:r>
    </w:p>
    <w:p w14:paraId="23A35B97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działania zabezpieczające przed wypadkami w pracach wykonywanych przez podwykonawców</w:t>
      </w:r>
    </w:p>
    <w:p w14:paraId="4CFD7E28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- ustawienie, utrzymanie i usunięcie urządzeń do zabezpieczenia komunikacji na budowie (np. ogrodzeń, rusztowań ochronnych, budowli pomocniczych i oświetlenia)</w:t>
      </w:r>
    </w:p>
    <w:p w14:paraId="33DD9741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b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szCs w:val="24"/>
        </w:rPr>
        <w:t>Uwaga:</w:t>
      </w:r>
    </w:p>
    <w:p w14:paraId="57006078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lastRenderedPageBreak/>
        <w:t>Prace dekarskie prowadzone na dachu należy zabezpieczać przed opadami deszczu za pomocą plandek lub folii, by nie dopuścić do zalania odkrytego dachu. W tym celu należy kolejne prace wykonywać etapowo z uwzględnieniem warunków pogodowych i kontrolą dachu w czasie przerw w pracach.</w:t>
      </w:r>
    </w:p>
    <w:p w14:paraId="4481BCDA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Nie należy prowadzić prac pokrywczych i dekarskich w przypadku mokrej powierzchni dachu, podczas opadów atmosferycznych oraz przy silnym wietrze. Nawierzchnia, na której układane są poszczególne warstwy pokrycia dachowego, powinna być sucha, oczyszczona i wyrównana w sposób zapewniający prawidłowe odprowadzenie wody.</w:t>
      </w:r>
    </w:p>
    <w:p w14:paraId="4036C831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b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b/>
          <w:color w:val="000000"/>
          <w:szCs w:val="24"/>
        </w:rPr>
        <w:t>Warunki wykonawstwa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10AAE734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/>
          <w:color w:val="000000"/>
          <w:szCs w:val="24"/>
        </w:rPr>
        <w:t>Oferent winien przed złożeniem oferty na wykonanie robót, zapoznać się z przedmiotowym budynkiem.</w:t>
      </w:r>
    </w:p>
    <w:p w14:paraId="077482D9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 w:hint="eastAsia"/>
          <w:color w:val="000000"/>
          <w:szCs w:val="24"/>
        </w:rPr>
        <w:t>Wykonawstwo robót winno odpowiadać „Warunkom technicznym wykonania i odbioru robót budowlano-montażowych”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cz. I </w:t>
      </w:r>
      <w:r w:rsidRPr="00C72216">
        <w:rPr>
          <w:rFonts w:ascii="Arial Unicode MS" w:eastAsia="Arial Unicode MS" w:hAnsi="Arial Unicode MS" w:cs="Arial Unicode MS" w:hint="eastAsia"/>
          <w:color w:val="000000"/>
          <w:szCs w:val="24"/>
        </w:rPr>
        <w:t>„Roboty ogólnobudowlane”</w:t>
      </w:r>
      <w:r w:rsidRPr="00C72216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C72216">
        <w:rPr>
          <w:rFonts w:ascii="Arial Unicode MS" w:eastAsia="Arial Unicode MS" w:hAnsi="Arial Unicode MS" w:cs="Arial Unicode MS" w:hint="eastAsia"/>
          <w:color w:val="000000"/>
          <w:szCs w:val="24"/>
        </w:rPr>
        <w:t>oraz odpowiednim normom państwowym i branżowym.</w:t>
      </w:r>
    </w:p>
    <w:p w14:paraId="1BCC60DA" w14:textId="77777777" w:rsidR="00C72216" w:rsidRPr="00C72216" w:rsidRDefault="00C72216" w:rsidP="00C72216">
      <w:pPr>
        <w:pStyle w:val="Tekstpodstawowy"/>
        <w:spacing w:line="240" w:lineRule="exact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C72216">
        <w:rPr>
          <w:rFonts w:ascii="Arial Unicode MS" w:eastAsia="Arial Unicode MS" w:hAnsi="Arial Unicode MS" w:cs="Arial Unicode MS" w:hint="eastAsia"/>
          <w:color w:val="000000"/>
          <w:szCs w:val="24"/>
        </w:rPr>
        <w:t>W trakcie realizacji budowy należy przestrzegać przepisy BHP i ppoż. obowiązujące na terenie placu budowy.</w:t>
      </w:r>
    </w:p>
    <w:p w14:paraId="0AAC5082" w14:textId="77777777" w:rsidR="00C72216" w:rsidRPr="00C72216" w:rsidRDefault="00C72216" w:rsidP="00C72216">
      <w:pPr>
        <w:spacing w:line="240" w:lineRule="exact"/>
        <w:jc w:val="both"/>
        <w:rPr>
          <w:rFonts w:ascii="Arial Unicode MS" w:eastAsia="Arial Unicode MS" w:hAnsi="Arial Unicode MS" w:cs="Arial Unicode MS"/>
          <w:color w:val="000000"/>
          <w:vertAlign w:val="baseline"/>
        </w:rPr>
      </w:pPr>
    </w:p>
    <w:p w14:paraId="0F993F61" w14:textId="77777777" w:rsidR="00C72216" w:rsidRPr="00C72216" w:rsidRDefault="00C72216" w:rsidP="00C72216">
      <w:pPr>
        <w:spacing w:line="240" w:lineRule="exact"/>
        <w:rPr>
          <w:rFonts w:ascii="Arial Unicode MS" w:eastAsia="Arial Unicode MS" w:hAnsi="Arial Unicode MS" w:cs="Arial Unicode MS"/>
          <w:color w:val="000000"/>
          <w:vertAlign w:val="baseline"/>
        </w:rPr>
      </w:pPr>
    </w:p>
    <w:p w14:paraId="05212FE7" w14:textId="77777777" w:rsidR="00C72216" w:rsidRPr="00C72216" w:rsidRDefault="00C72216" w:rsidP="00C72216">
      <w:pPr>
        <w:spacing w:line="240" w:lineRule="exact"/>
        <w:rPr>
          <w:rFonts w:ascii="Arial Unicode MS" w:eastAsia="Arial Unicode MS" w:hAnsi="Arial Unicode MS" w:cs="Arial Unicode MS"/>
          <w:color w:val="000000"/>
          <w:vertAlign w:val="baseline"/>
        </w:rPr>
      </w:pPr>
    </w:p>
    <w:p w14:paraId="65376537" w14:textId="77777777" w:rsidR="00C72216" w:rsidRPr="00C72216" w:rsidRDefault="00C72216" w:rsidP="00C72216">
      <w:pPr>
        <w:spacing w:line="240" w:lineRule="exact"/>
        <w:rPr>
          <w:rFonts w:ascii="Arial Unicode MS" w:eastAsia="Arial Unicode MS" w:hAnsi="Arial Unicode MS" w:cs="Arial Unicode MS"/>
          <w:color w:val="000000"/>
          <w:vertAlign w:val="baseline"/>
        </w:rPr>
      </w:pPr>
    </w:p>
    <w:p w14:paraId="1932E6F1" w14:textId="77777777" w:rsidR="004B3648" w:rsidRPr="00C72216" w:rsidRDefault="004B3648" w:rsidP="00C72216">
      <w:pPr>
        <w:spacing w:line="240" w:lineRule="exact"/>
        <w:rPr>
          <w:rFonts w:ascii="Arial Unicode MS" w:eastAsia="Arial Unicode MS" w:hAnsi="Arial Unicode MS" w:cs="Arial Unicode MS"/>
        </w:rPr>
      </w:pPr>
    </w:p>
    <w:sectPr w:rsidR="004B3648" w:rsidRPr="00C72216" w:rsidSect="004B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7F17"/>
    <w:multiLevelType w:val="hybridMultilevel"/>
    <w:tmpl w:val="E0AC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D6F"/>
    <w:multiLevelType w:val="hybridMultilevel"/>
    <w:tmpl w:val="E08CED6A"/>
    <w:lvl w:ilvl="0" w:tplc="3E9EA4C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FE2738A"/>
    <w:multiLevelType w:val="hybridMultilevel"/>
    <w:tmpl w:val="6C8A8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843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899480">
    <w:abstractNumId w:val="0"/>
  </w:num>
  <w:num w:numId="3" w16cid:durableId="95547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216"/>
    <w:rsid w:val="00037BF7"/>
    <w:rsid w:val="004B3648"/>
    <w:rsid w:val="0074408F"/>
    <w:rsid w:val="0087152E"/>
    <w:rsid w:val="00C45C30"/>
    <w:rsid w:val="00C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8BCE"/>
  <w15:docId w15:val="{1A2DFF90-DC3D-42B5-A566-4530EE8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216"/>
    <w:pPr>
      <w:spacing w:after="0" w:line="240" w:lineRule="auto"/>
    </w:pPr>
    <w:rPr>
      <w:rFonts w:ascii="Arial" w:eastAsia="Times New Roman" w:hAnsi="Arial" w:cs="Arial"/>
      <w:sz w:val="24"/>
      <w:szCs w:val="24"/>
      <w:vertAlign w:val="sub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2216"/>
    <w:pPr>
      <w:spacing w:line="360" w:lineRule="auto"/>
    </w:pPr>
    <w:rPr>
      <w:szCs w:val="20"/>
      <w:vertAlign w:val="baseli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2216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72216"/>
    <w:pPr>
      <w:spacing w:line="360" w:lineRule="auto"/>
      <w:jc w:val="both"/>
    </w:pPr>
    <w:rPr>
      <w:szCs w:val="20"/>
      <w:vertAlign w:val="baseli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72216"/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Banach Maciej</cp:lastModifiedBy>
  <cp:revision>3</cp:revision>
  <cp:lastPrinted>2021-07-06T10:06:00Z</cp:lastPrinted>
  <dcterms:created xsi:type="dcterms:W3CDTF">2021-07-06T09:50:00Z</dcterms:created>
  <dcterms:modified xsi:type="dcterms:W3CDTF">2022-06-28T11:17:00Z</dcterms:modified>
</cp:coreProperties>
</file>