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4C50" w14:textId="65BF6D4D" w:rsidR="002D74A3" w:rsidRPr="00F243A0" w:rsidRDefault="00F40C8F" w:rsidP="00F40C8F">
      <w:pPr>
        <w:pStyle w:val="Akapitzlis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2 do Zaproszenia</w:t>
      </w:r>
    </w:p>
    <w:p w14:paraId="3E227DB1" w14:textId="77777777" w:rsidR="002D74A3" w:rsidRPr="00867ABF" w:rsidRDefault="002D74A3" w:rsidP="002D74A3">
      <w:pPr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867ABF">
        <w:rPr>
          <w:rFonts w:ascii="Calibri" w:hAnsi="Calibri"/>
        </w:rPr>
        <w:t xml:space="preserve">omputer AIO </w:t>
      </w:r>
    </w:p>
    <w:p w14:paraId="4C3CC70B" w14:textId="77777777" w:rsidR="002D74A3" w:rsidRPr="00F243A0" w:rsidRDefault="002D74A3" w:rsidP="002D74A3">
      <w:pPr>
        <w:pStyle w:val="Akapitzlist"/>
        <w:ind w:left="765"/>
        <w:jc w:val="both"/>
        <w:rPr>
          <w:rFonts w:ascii="Calibri" w:hAnsi="Calibri"/>
          <w:sz w:val="22"/>
          <w:szCs w:val="22"/>
        </w:rPr>
      </w:pPr>
    </w:p>
    <w:tbl>
      <w:tblPr>
        <w:tblW w:w="9701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2898"/>
        <w:gridCol w:w="4455"/>
      </w:tblGrid>
      <w:tr w:rsidR="002D74A3" w:rsidRPr="00F243A0" w14:paraId="6CD483A0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CBF5F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b/>
                <w:bCs/>
                <w:sz w:val="18"/>
                <w:szCs w:val="18"/>
              </w:rPr>
              <w:t>Parametr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67933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b/>
                <w:bCs/>
                <w:sz w:val="18"/>
                <w:szCs w:val="18"/>
              </w:rPr>
              <w:t>Charakterystyka (wymagania minimalne)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  <w:tr w:rsidR="002D74A3" w:rsidRPr="00F243A0" w14:paraId="3AA1C84F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A72C2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Typ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4A08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Komputer stacjonarny, typu </w:t>
            </w:r>
            <w:proofErr w:type="spellStart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All</w:t>
            </w:r>
            <w:proofErr w:type="spellEnd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in One - komputer fabrycznie wbudowany w obudowę monitora. W ofercie wymagane jest podanie modelu producent komputera.</w:t>
            </w:r>
          </w:p>
        </w:tc>
      </w:tr>
      <w:tr w:rsidR="002D74A3" w:rsidRPr="00F243A0" w14:paraId="1D5C6550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E4967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Zastosowanie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D1EE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Komputer będzie wykorzystywany dla potrzeb aplikacji biurowych, aplikacji edukacyjnych, aplikacji obliczeniowych, dostępu do Internetu oraz poczty elektronicznej, jako lokalna baza danych, stacja programistyczna.</w:t>
            </w:r>
          </w:p>
        </w:tc>
      </w:tr>
      <w:tr w:rsidR="002D74A3" w:rsidRPr="00F243A0" w14:paraId="104479BD" w14:textId="77777777" w:rsidTr="001A3D73">
        <w:trPr>
          <w:trHeight w:val="173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77D55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Procesor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2CD3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Passmark</w:t>
            </w:r>
            <w:proofErr w:type="spellEnd"/>
            <w:r w:rsidRPr="00F243A0">
              <w:rPr>
                <w:rFonts w:eastAsia="Times New Roman" w:cstheme="minorHAnsi"/>
                <w:sz w:val="18"/>
                <w:szCs w:val="18"/>
              </w:rPr>
              <w:t xml:space="preserve"> CPU Mark (</w:t>
            </w:r>
            <w:hyperlink r:id="rId4" w:history="1">
              <w:r w:rsidRPr="00F243A0">
                <w:rPr>
                  <w:rStyle w:val="Hipercze"/>
                  <w:rFonts w:eastAsia="Times New Roman" w:cstheme="minorHAnsi"/>
                  <w:sz w:val="18"/>
                  <w:szCs w:val="18"/>
                </w:rPr>
                <w:t>https://www.cpubenchmark.net/cpu_list.php</w:t>
              </w:r>
            </w:hyperlink>
            <w:r w:rsidRPr="00F243A0">
              <w:rPr>
                <w:rFonts w:eastAsia="Times New Roman" w:cstheme="minorHAnsi"/>
                <w:sz w:val="18"/>
                <w:szCs w:val="18"/>
              </w:rPr>
              <w:t xml:space="preserve">) wynik co najmniej </w:t>
            </w:r>
            <w:r>
              <w:rPr>
                <w:rFonts w:eastAsia="Times New Roman" w:cstheme="minorHAnsi"/>
                <w:sz w:val="18"/>
                <w:szCs w:val="18"/>
              </w:rPr>
              <w:t>240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 xml:space="preserve">00 pkt. </w:t>
            </w:r>
          </w:p>
        </w:tc>
      </w:tr>
      <w:tr w:rsidR="002D74A3" w:rsidRPr="00F243A0" w14:paraId="753DE040" w14:textId="77777777" w:rsidTr="001A3D73">
        <w:trPr>
          <w:trHeight w:val="165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F0E65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7FE27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Minimum 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 xml:space="preserve">16GB DDR5 4400MHz. Możliwość rozbudowy do min 64GB. Dwa 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sloty</w:t>
            </w:r>
            <w:proofErr w:type="spellEnd"/>
            <w:r w:rsidRPr="00F243A0">
              <w:rPr>
                <w:rFonts w:eastAsia="Times New Roman" w:cstheme="minorHAnsi"/>
                <w:sz w:val="18"/>
                <w:szCs w:val="18"/>
              </w:rPr>
              <w:t xml:space="preserve"> pamięci, jeden slot wolny.</w:t>
            </w:r>
          </w:p>
        </w:tc>
      </w:tr>
      <w:tr w:rsidR="002D74A3" w:rsidRPr="00F243A0" w14:paraId="764E333B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0FF65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Pamięć masowa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A12E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 xml:space="preserve">Dysk min. </w:t>
            </w:r>
            <w:r>
              <w:rPr>
                <w:rFonts w:eastAsia="Times New Roman" w:cstheme="minorHAnsi"/>
                <w:sz w:val="18"/>
                <w:szCs w:val="18"/>
              </w:rPr>
              <w:t>512G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 xml:space="preserve">B M.2 SSD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2230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PCIe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NVMe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sz w:val="18"/>
                <w:szCs w:val="18"/>
              </w:rPr>
              <w:t>O</w:t>
            </w:r>
            <w:r w:rsidRPr="00867ABF">
              <w:rPr>
                <w:rFonts w:eastAsia="Times New Roman" w:cstheme="minorHAnsi"/>
                <w:sz w:val="18"/>
                <w:szCs w:val="18"/>
              </w:rPr>
              <w:t>budowa musi umożliw</w:t>
            </w:r>
            <w:r>
              <w:rPr>
                <w:rFonts w:eastAsia="Times New Roman" w:cstheme="minorHAnsi"/>
                <w:sz w:val="18"/>
                <w:szCs w:val="18"/>
              </w:rPr>
              <w:t>i</w:t>
            </w:r>
            <w:r w:rsidRPr="00867ABF">
              <w:rPr>
                <w:rFonts w:eastAsia="Times New Roman" w:cstheme="minorHAnsi"/>
                <w:sz w:val="18"/>
                <w:szCs w:val="18"/>
              </w:rPr>
              <w:t>ać montaż dwóch dysków M.2.</w:t>
            </w:r>
          </w:p>
        </w:tc>
      </w:tr>
      <w:tr w:rsidR="002D74A3" w:rsidRPr="00F243A0" w14:paraId="075DA6B9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05040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Wydajność grafiki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7DCA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Grafika zintegrowana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 xml:space="preserve">Oferowany układ graficzny osiągający w teście 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Passmark</w:t>
            </w:r>
            <w:proofErr w:type="spellEnd"/>
            <w:r w:rsidRPr="00F243A0">
              <w:rPr>
                <w:rFonts w:eastAsia="Times New Roman" w:cstheme="minorHAnsi"/>
                <w:sz w:val="18"/>
                <w:szCs w:val="18"/>
              </w:rPr>
              <w:t xml:space="preserve"> Video Cards (</w:t>
            </w:r>
            <w:hyperlink r:id="rId5" w:history="1">
              <w:r w:rsidRPr="004E386B">
                <w:rPr>
                  <w:rStyle w:val="Hipercze"/>
                  <w:rFonts w:eastAsia="Times New Roman" w:cstheme="minorHAnsi"/>
                  <w:sz w:val="18"/>
                  <w:szCs w:val="18"/>
                </w:rPr>
                <w:t>https://www.videocardbenchmark.net/gpu_list.php</w:t>
              </w:r>
            </w:hyperlink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) wynik co najmniej 1</w:t>
            </w:r>
            <w:r>
              <w:rPr>
                <w:rFonts w:eastAsia="Times New Roman" w:cstheme="minorHAnsi"/>
                <w:sz w:val="18"/>
                <w:szCs w:val="18"/>
              </w:rPr>
              <w:t>60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0 pkt.</w:t>
            </w:r>
          </w:p>
        </w:tc>
      </w:tr>
      <w:tr w:rsidR="002D74A3" w:rsidRPr="00F243A0" w14:paraId="094F4CB3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1AFBF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Wyposażenie multimedialne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F021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 xml:space="preserve">Karta dźwiękowa zintegrowana z płytą główną, wbudowane dwa głośniki min. 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 xml:space="preserve">W na kanał. </w:t>
            </w:r>
          </w:p>
          <w:p w14:paraId="3EBBEF3D" w14:textId="5C04CC6C" w:rsidR="002D74A3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 xml:space="preserve">Wbudowana w obudowę matrycy cyfrowa kamera </w:t>
            </w:r>
            <w:r w:rsidR="00B903A9">
              <w:rPr>
                <w:rFonts w:eastAsia="Times New Roman" w:cstheme="minorHAnsi"/>
                <w:sz w:val="18"/>
                <w:szCs w:val="18"/>
              </w:rPr>
              <w:t xml:space="preserve">min 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MP</w:t>
            </w:r>
            <w:r>
              <w:rPr>
                <w:rFonts w:eastAsia="Times New Roman" w:cstheme="minorHAnsi"/>
                <w:sz w:val="18"/>
                <w:szCs w:val="18"/>
              </w:rPr>
              <w:t>, m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echanicznie chowana w obudowie (nie dopuszcza się kamer przekręcanych i wystających poza obrys obudowy).</w:t>
            </w:r>
          </w:p>
          <w:p w14:paraId="4AD5DB6A" w14:textId="2C0AB72B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DE7C17">
              <w:rPr>
                <w:rFonts w:eastAsia="Times New Roman" w:cstheme="minorHAnsi"/>
                <w:sz w:val="18"/>
                <w:szCs w:val="18"/>
              </w:rPr>
              <w:t xml:space="preserve">Wbudowane w obudowę </w:t>
            </w:r>
            <w:r w:rsidR="00B903A9">
              <w:rPr>
                <w:rFonts w:eastAsia="Times New Roman" w:cstheme="minorHAnsi"/>
                <w:sz w:val="18"/>
                <w:szCs w:val="18"/>
              </w:rPr>
              <w:t xml:space="preserve">min </w:t>
            </w:r>
            <w:r w:rsidRPr="00DE7C17">
              <w:rPr>
                <w:rFonts w:eastAsia="Times New Roman" w:cstheme="minorHAnsi"/>
                <w:sz w:val="18"/>
                <w:szCs w:val="18"/>
              </w:rPr>
              <w:t>dwa mikrofony</w:t>
            </w:r>
          </w:p>
        </w:tc>
      </w:tr>
      <w:tr w:rsidR="002D74A3" w:rsidRPr="00F243A0" w14:paraId="0850C601" w14:textId="77777777" w:rsidTr="001A3D73">
        <w:trPr>
          <w:trHeight w:val="29"/>
        </w:trPr>
        <w:tc>
          <w:tcPr>
            <w:tcW w:w="2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E24AD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8"/>
                <w:szCs w:val="18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Matryca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DCC8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Rozmiar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matrycy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plamki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DFFC" w14:textId="47BF8BBC" w:rsidR="002D74A3" w:rsidRPr="00F243A0" w:rsidRDefault="00554B2D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Min </w:t>
            </w:r>
            <w:r w:rsidR="002D74A3" w:rsidRPr="00F243A0">
              <w:rPr>
                <w:rFonts w:eastAsia="Times New Roman" w:cstheme="minorHAnsi"/>
                <w:sz w:val="18"/>
                <w:szCs w:val="18"/>
              </w:rPr>
              <w:t>23,8’’.</w:t>
            </w:r>
          </w:p>
        </w:tc>
      </w:tr>
      <w:tr w:rsidR="002D74A3" w:rsidRPr="00F243A0" w14:paraId="6341B7F5" w14:textId="77777777" w:rsidTr="001A3D73">
        <w:trPr>
          <w:trHeight w:val="28"/>
        </w:trPr>
        <w:tc>
          <w:tcPr>
            <w:tcW w:w="2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C8C6CB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1697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Rozdzielczość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6537" w14:textId="367694AC" w:rsidR="002D74A3" w:rsidRPr="00F243A0" w:rsidRDefault="00554B2D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Min </w:t>
            </w:r>
            <w:r w:rsidR="002D74A3" w:rsidRPr="00F243A0">
              <w:rPr>
                <w:rFonts w:eastAsia="Times New Roman" w:cstheme="minorHAnsi"/>
                <w:sz w:val="18"/>
                <w:szCs w:val="18"/>
              </w:rPr>
              <w:t>1920x1080</w:t>
            </w:r>
          </w:p>
        </w:tc>
      </w:tr>
      <w:tr w:rsidR="002D74A3" w:rsidRPr="00F243A0" w14:paraId="00B87620" w14:textId="77777777" w:rsidTr="001A3D73">
        <w:trPr>
          <w:trHeight w:val="28"/>
        </w:trPr>
        <w:tc>
          <w:tcPr>
            <w:tcW w:w="2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3B2F0F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325B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Jasność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typowa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BA15" w14:textId="0E488E56" w:rsidR="002D74A3" w:rsidRPr="00F243A0" w:rsidRDefault="00554B2D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Min </w:t>
            </w:r>
            <w:r w:rsidR="002D74A3" w:rsidRPr="00F243A0">
              <w:rPr>
                <w:rFonts w:eastAsia="Times New Roman" w:cstheme="minorHAnsi"/>
                <w:sz w:val="18"/>
                <w:szCs w:val="18"/>
              </w:rPr>
              <w:t>250 cd/m2</w:t>
            </w:r>
          </w:p>
        </w:tc>
      </w:tr>
      <w:tr w:rsidR="002D74A3" w:rsidRPr="00F243A0" w14:paraId="32EF1433" w14:textId="77777777" w:rsidTr="001A3D73">
        <w:trPr>
          <w:trHeight w:val="28"/>
        </w:trPr>
        <w:tc>
          <w:tcPr>
            <w:tcW w:w="2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984978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6200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Kontrast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typowy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8466" w14:textId="741894BF" w:rsidR="002D74A3" w:rsidRPr="00F243A0" w:rsidRDefault="00554B2D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Min </w:t>
            </w:r>
            <w:r w:rsidR="002D74A3" w:rsidRPr="00F243A0">
              <w:rPr>
                <w:rFonts w:eastAsia="Times New Roman" w:cstheme="minorHAnsi"/>
                <w:sz w:val="18"/>
                <w:szCs w:val="18"/>
              </w:rPr>
              <w:t>1000:1</w:t>
            </w:r>
          </w:p>
        </w:tc>
      </w:tr>
      <w:tr w:rsidR="002D74A3" w:rsidRPr="00F243A0" w14:paraId="403DD95F" w14:textId="77777777" w:rsidTr="001A3D73">
        <w:trPr>
          <w:trHeight w:val="28"/>
        </w:trPr>
        <w:tc>
          <w:tcPr>
            <w:tcW w:w="2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E6A586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B39C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Typowy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czas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reakcji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matrycy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4EC6" w14:textId="5763D2ED" w:rsidR="002D74A3" w:rsidRPr="00F243A0" w:rsidRDefault="00554B2D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Max </w:t>
            </w:r>
            <w:r w:rsidR="002D74A3" w:rsidRPr="00F243A0">
              <w:rPr>
                <w:rFonts w:eastAsia="Times New Roman" w:cstheme="minorHAnsi"/>
                <w:sz w:val="18"/>
                <w:szCs w:val="18"/>
              </w:rPr>
              <w:t>14 ms</w:t>
            </w:r>
          </w:p>
        </w:tc>
      </w:tr>
      <w:tr w:rsidR="002D74A3" w:rsidRPr="00F243A0" w14:paraId="754611B8" w14:textId="77777777" w:rsidTr="001A3D73">
        <w:trPr>
          <w:trHeight w:val="28"/>
        </w:trPr>
        <w:tc>
          <w:tcPr>
            <w:tcW w:w="2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C8EA61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4F0C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Gama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barw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67F5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 xml:space="preserve">99% 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sRGB</w:t>
            </w:r>
            <w:proofErr w:type="spellEnd"/>
          </w:p>
        </w:tc>
      </w:tr>
      <w:tr w:rsidR="002D74A3" w:rsidRPr="00F243A0" w14:paraId="19CD4DB9" w14:textId="77777777" w:rsidTr="001A3D73">
        <w:trPr>
          <w:trHeight w:val="28"/>
        </w:trPr>
        <w:tc>
          <w:tcPr>
            <w:tcW w:w="23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22B961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89B0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Kąty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typowe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Horizontal; Vertical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21C5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+/-89 ; +/-89</w:t>
            </w:r>
          </w:p>
        </w:tc>
      </w:tr>
      <w:tr w:rsidR="002D74A3" w:rsidRPr="00F243A0" w14:paraId="3F089327" w14:textId="77777777" w:rsidTr="001A3D73">
        <w:trPr>
          <w:trHeight w:val="28"/>
        </w:trPr>
        <w:tc>
          <w:tcPr>
            <w:tcW w:w="2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6CCC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CFF6" w14:textId="77777777" w:rsidR="002D74A3" w:rsidRPr="00F243A0" w:rsidRDefault="002D74A3" w:rsidP="001A3D7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Rodzaj</w:t>
            </w:r>
            <w:proofErr w:type="spellEnd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43A0">
              <w:rPr>
                <w:rFonts w:cstheme="minorHAnsi"/>
                <w:bCs/>
                <w:sz w:val="18"/>
                <w:szCs w:val="18"/>
                <w:lang w:val="en-US"/>
              </w:rPr>
              <w:t>matrycy</w:t>
            </w:r>
            <w:proofErr w:type="spell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E1F7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IPS z powłoką przeciwodblaskową</w:t>
            </w:r>
          </w:p>
        </w:tc>
      </w:tr>
      <w:tr w:rsidR="002D74A3" w:rsidRPr="00F243A0" w14:paraId="53B44C42" w14:textId="77777777" w:rsidTr="001A3D73">
        <w:trPr>
          <w:trHeight w:val="1312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21184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C055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Typu </w:t>
            </w:r>
            <w:proofErr w:type="spellStart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All</w:t>
            </w:r>
            <w:proofErr w:type="spellEnd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-in-One zintegrowana z monitorem min. 2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3.8</w:t>
            </w: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”. Obudowa musi umożliwiać zastosowanie zabezpieczenia fizycznego w postaci linki metalowej, demontaż tylnej pokrywy musi odbywać się bez użycia narzędzi. Komputer musi posiadać możliwość zainstalowania na ścianie przy wykorzystaniu ściennego systemu montażowego VESA 100x100.</w:t>
            </w:r>
          </w:p>
          <w:p w14:paraId="41ED4C61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Suma wymiarów obudowy bez zainstalowanego standu nie może przekraczać: 96cm.</w:t>
            </w:r>
          </w:p>
          <w:p w14:paraId="4797F45D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Zasilacz wewnętrzny o mocy min.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0W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  <w:p w14:paraId="2B86666F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Wbudowany w obudowie wizualny system diagnostyczny, służący do sygnalizowania i diagnozowania problemów z komputerem i jego komponentami, w szczególności: uszkodzenia lub braku pamięci RAM, uszkodzenia płyty głównej, awarii procesora. System musi zapisywać logi zdarzeń w BIOS.  </w:t>
            </w:r>
          </w:p>
          <w:p w14:paraId="5E147136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Każdy komputer musi być oznaczony niepowtarzalnym numerem seryjnym umieszonym na obudowie, oraz wpisanym na stałe w BIOS.</w:t>
            </w:r>
          </w:p>
          <w:p w14:paraId="514809FF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Podstawa jednostki typu </w:t>
            </w:r>
            <w:proofErr w:type="spellStart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All</w:t>
            </w:r>
            <w:proofErr w:type="spellEnd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– in – One musi umożliwia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ć r</w:t>
            </w: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egulację wysokości w zakresie minimum 10 cm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2D74A3" w:rsidRPr="00F243A0" w14:paraId="13DE8976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E6AE6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eastAsia="Times New Roman" w:cstheme="minorHAnsi"/>
                <w:b/>
                <w:bCs/>
                <w:sz w:val="18"/>
                <w:szCs w:val="18"/>
              </w:rPr>
              <w:t>Bezpieczeństwo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DB1C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715DAE0A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Zaimplementowany w BIOS system diagnostyczny z graficznym interfejsem użytkownika dostępny z poziomu BIOS lub szybkiego menu </w:t>
            </w:r>
            <w:proofErr w:type="spellStart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boot’owania</w:t>
            </w:r>
            <w:proofErr w:type="spellEnd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  <w:proofErr w:type="spellStart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internetu</w:t>
            </w:r>
            <w:proofErr w:type="spellEnd"/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. Nie dopuszcza się stosowania wewnętrznych i zewnętrznych urządzeń w celu uzyskania funkcjonalności systemu diagnostycznego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14:paraId="31EAB2EA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color w:val="000000"/>
                <w:sz w:val="18"/>
                <w:szCs w:val="18"/>
              </w:rPr>
              <w:t>Czujnik otwarcia obudowy, musi zbierać zdarzenia i zapisywać je w BIOS.</w:t>
            </w:r>
          </w:p>
        </w:tc>
      </w:tr>
      <w:tr w:rsidR="002D74A3" w:rsidRPr="00F243A0" w14:paraId="4752ADF8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C2E29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eastAsia="Times New Roman" w:cstheme="minorHAnsi"/>
                <w:b/>
                <w:bCs/>
                <w:sz w:val="18"/>
                <w:szCs w:val="18"/>
                <w:lang w:val="de-DE"/>
              </w:rPr>
              <w:t>BIOS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C0E0" w14:textId="77777777" w:rsidR="002D74A3" w:rsidRPr="00BD3ECB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 xml:space="preserve">BIOS zgodny ze specyfikacją UEFI, wyprodukowany przez producenta komputera, zawierający logo producenta komputera lub nazwę producenta komputera lub nazwę modelu oferowanego komputera. Pełna obsługa BIOS za pomocą klawiatury i myszy oraz samej myszy. BIOS wyposażony w automatyczną detekcję zmiany konfiguracji, automatycznie nanoszący zmiany w konfiguracji w szczególności: procesor, wielkość pamięci, pojemność dysku. Możliwość, bez uruchamiania systemu operacyjnego z dysku twardego komputera, bez dodatkowego oprogramowania (w tym również systemu diagnostycznego) i podłączonych do niego urządzeń zewnętrznych odczytania z BIOS informacji o: wersji BIOS, nr seryjnym komputera, ilości zainstalowanej pamięci RAM, prędkości zainstalowanych pamięci RAM, technologii wykonania pamięci, sposobie obsadzeniu slotów pamięci z rozbiciem na wielkości pamięci i banki, typie zainstalowanego procesora, ilości rdzeni zainstalowanego procesora, typowej prędkości zainstalowanego procesora, minimalnej i maksymalnej  osiąganej prędkości zainstalowanego procesora, pojemności zainstalowanego lub </w:t>
            </w:r>
            <w:r w:rsidRPr="00BD3ECB">
              <w:rPr>
                <w:rFonts w:eastAsia="Times New Roman" w:cstheme="minorHAnsi"/>
                <w:sz w:val="18"/>
                <w:szCs w:val="18"/>
              </w:rPr>
              <w:lastRenderedPageBreak/>
              <w:t>zainstalowanych dysków twardych, wszystkich urządzeniach podpiętych do dostępnych na płycie głównej portów SATA, MAC adresie zintegrowanej karty sieciowej, zintegrowanym układzie graficznym, kontrolerze audio.</w:t>
            </w:r>
          </w:p>
          <w:p w14:paraId="035B0D06" w14:textId="77777777" w:rsidR="002D74A3" w:rsidRPr="00BD3ECB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14:paraId="570F42C5" w14:textId="77777777" w:rsidR="002D74A3" w:rsidRPr="00BD3ECB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>Funkcja blokowania/odblokowania BOOT-</w:t>
            </w:r>
            <w:proofErr w:type="spellStart"/>
            <w:r w:rsidRPr="00BD3ECB">
              <w:rPr>
                <w:rFonts w:eastAsia="Times New Roman" w:cstheme="minorHAnsi"/>
                <w:sz w:val="18"/>
                <w:szCs w:val="18"/>
              </w:rPr>
              <w:t>owania</w:t>
            </w:r>
            <w:proofErr w:type="spellEnd"/>
            <w:r w:rsidRPr="00BD3ECB">
              <w:rPr>
                <w:rFonts w:eastAsia="Times New Roman" w:cstheme="minorHAnsi"/>
                <w:sz w:val="18"/>
                <w:szCs w:val="18"/>
              </w:rPr>
              <w:t xml:space="preserve"> stacji roboczej z zewnętrznych urządzeń, możliwość ustawienia hasła systemowego/użytkownika umożliwiającego uruchomienie komputera (zabezpieczenie przed nieautoryzowanym uruchomieniem) przy jednoczesnym zdefiniowanym haśle administratora. Użytkownik po wpisaniu hasła systemowego/użytkownika w BIOS jest wstanie zidentyfikować ustawienia oraz dokonać zmiany hasła systemowego/użytkownika. Możliwość ustawienia haseł użytkownika i administratora składających się z cyfr, małych liter, dużych liter oraz znaków specjalnych. Możliwość ustawienia portów USB w trybie „no BOOT” (podczas startu komputer nie wykrywa urządzeń </w:t>
            </w:r>
            <w:proofErr w:type="spellStart"/>
            <w:r w:rsidRPr="00BD3ECB">
              <w:rPr>
                <w:rFonts w:eastAsia="Times New Roman" w:cstheme="minorHAnsi"/>
                <w:sz w:val="18"/>
                <w:szCs w:val="18"/>
              </w:rPr>
              <w:t>bootujących</w:t>
            </w:r>
            <w:proofErr w:type="spellEnd"/>
            <w:r w:rsidRPr="00BD3ECB">
              <w:rPr>
                <w:rFonts w:eastAsia="Times New Roman" w:cstheme="minorHAnsi"/>
                <w:sz w:val="18"/>
                <w:szCs w:val="18"/>
              </w:rPr>
              <w:t xml:space="preserve"> typu USB). Możliwość wyłączania portów USB pojedynczo. </w:t>
            </w:r>
          </w:p>
          <w:p w14:paraId="7F81641E" w14:textId="77777777" w:rsidR="002D74A3" w:rsidRPr="00BD3ECB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>Dedykowane pole inwentarzowe umożliwiająca wpisanie oznaczenia sprzętu. Pole po nadaniu numeru nie może być edytowalne.</w:t>
            </w:r>
          </w:p>
          <w:p w14:paraId="21EAC9F6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 xml:space="preserve">Oferowany BIOS musi posiadać poza swoją wewnętrzną strukturą menu szybkiego </w:t>
            </w:r>
            <w:proofErr w:type="spellStart"/>
            <w:r w:rsidRPr="00BD3ECB">
              <w:rPr>
                <w:rFonts w:eastAsia="Times New Roman" w:cstheme="minorHAnsi"/>
                <w:sz w:val="18"/>
                <w:szCs w:val="18"/>
              </w:rPr>
              <w:t>boot’owania</w:t>
            </w:r>
            <w:proofErr w:type="spellEnd"/>
            <w:r w:rsidRPr="00BD3ECB">
              <w:rPr>
                <w:rFonts w:eastAsia="Times New Roman" w:cstheme="minorHAnsi"/>
                <w:sz w:val="18"/>
                <w:szCs w:val="18"/>
              </w:rPr>
              <w:t xml:space="preserve"> które umożliwia m.in.: uruchamianie systemu zainstalowanego na dysku twardym, uruchamianie systemu z urządzeń zewnętrznych, uruchamianie systemu z serwera za pośrednictwem zintegrowanej karty sieciowej, uruchomienie graficznego systemu diagnostycznego, wejście do BIOS, </w:t>
            </w:r>
            <w:proofErr w:type="spellStart"/>
            <w:r w:rsidRPr="00BD3ECB">
              <w:rPr>
                <w:rFonts w:eastAsia="Times New Roman" w:cstheme="minorHAnsi"/>
                <w:sz w:val="18"/>
                <w:szCs w:val="18"/>
              </w:rPr>
              <w:t>upgrade</w:t>
            </w:r>
            <w:proofErr w:type="spellEnd"/>
            <w:r w:rsidRPr="00BD3ECB">
              <w:rPr>
                <w:rFonts w:eastAsia="Times New Roman" w:cstheme="minorHAnsi"/>
                <w:sz w:val="18"/>
                <w:szCs w:val="18"/>
              </w:rPr>
              <w:t xml:space="preserve"> BIOS.</w:t>
            </w:r>
          </w:p>
        </w:tc>
      </w:tr>
      <w:tr w:rsidR="002D74A3" w:rsidRPr="00F243A0" w14:paraId="06DFCA1D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8E77F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lastRenderedPageBreak/>
              <w:t>System operacyjny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DC44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Zainstalowany system operacyjny Windows 11 Professional, klucz licencyjny zapisany trwale w BIOS, umożliwiać instalację systemu operacyjnego bez potrzeby ręcznego wpisywania klucza licencyjnego.</w:t>
            </w:r>
          </w:p>
        </w:tc>
      </w:tr>
      <w:tr w:rsidR="002D74A3" w:rsidRPr="00EA5562" w14:paraId="0507532F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70DB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Oprogramowanie biurowe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75D9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>Zainstalowany pakiet biurowy Microsoft Office 2</w:t>
            </w:r>
            <w:r>
              <w:rPr>
                <w:rFonts w:eastAsia="Times New Roman" w:cstheme="minorHAnsi"/>
                <w:sz w:val="18"/>
                <w:szCs w:val="18"/>
              </w:rPr>
              <w:t>021</w:t>
            </w:r>
            <w:r w:rsidRPr="00E75C6A">
              <w:rPr>
                <w:rFonts w:eastAsia="Times New Roman" w:cstheme="minorHAnsi"/>
                <w:sz w:val="18"/>
                <w:szCs w:val="18"/>
              </w:rPr>
              <w:t xml:space="preserve"> lub równoważny.</w:t>
            </w:r>
          </w:p>
          <w:p w14:paraId="05F4DC14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>Poprzez równoważność Zamawiający rozumie:</w:t>
            </w:r>
          </w:p>
          <w:p w14:paraId="1DABA15E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Pakiet oprogramowania biurowego, w skład którego wchodzą co najmniej aplikacje typu edytor tekstów,  arkusz kalkulacyjny,  klient poczty elektronicznej,  program to tworzenia prezentacji, charakteryzujący się następującymi cechami: </w:t>
            </w:r>
          </w:p>
          <w:p w14:paraId="5C5A4C2B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- Możliwość automatycznej instalacji komponentów (przy użyciu instalatora systemowego); </w:t>
            </w:r>
          </w:p>
          <w:p w14:paraId="0F28F03B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- Możliwość zdalnej instalacji komponentów; </w:t>
            </w:r>
          </w:p>
          <w:p w14:paraId="3094BC69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- Całkowicie zlokalizowany w języku polskim system komunikatów i podręcznej pomocy technicznej w pakiecie; </w:t>
            </w:r>
          </w:p>
          <w:p w14:paraId="550CCBBB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- W systemach pocztowych – możliwość delegacji uprawnień do drukowania, modyfikowania i czytania załączanych dokumentów i informacji; </w:t>
            </w:r>
          </w:p>
          <w:p w14:paraId="66F098A0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- Możliwość blokowania niebezpiecznej lub niechcianej poczty; </w:t>
            </w:r>
          </w:p>
          <w:p w14:paraId="371C2E35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- Wsparcie dla formatu XML w podstawowych aplikacjach; </w:t>
            </w:r>
          </w:p>
          <w:p w14:paraId="4F25794D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- Możliwość nadawania uprawnień do modyfikacji i formatowania dokumentów lub ich fragmentów; </w:t>
            </w:r>
          </w:p>
          <w:p w14:paraId="6BAB54D7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- Możliwość dodawania do dokumentów i arkuszy kalkulacyjnych podpisów cyfrowych, pozwalających na stwierdzenie czy dany dokument /arkusz pochodzi z bezpiecznego źródła i nie został w żaden sposób zmieniony; </w:t>
            </w:r>
          </w:p>
          <w:p w14:paraId="26E29C17" w14:textId="77777777" w:rsidR="002D74A3" w:rsidRPr="00E75C6A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 xml:space="preserve">- Możliwość automatycznego odzyskania dokumentów w wypadku odcięcia dopływu prądu; </w:t>
            </w:r>
          </w:p>
          <w:p w14:paraId="5E8AEC0E" w14:textId="77777777" w:rsidR="002D74A3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75C6A">
              <w:rPr>
                <w:rFonts w:eastAsia="Times New Roman" w:cstheme="minorHAnsi"/>
                <w:sz w:val="18"/>
                <w:szCs w:val="18"/>
              </w:rPr>
              <w:t>- Prawidłowe odczytywanie i zapisywanie danych w dokumentach w formatach: .DOC, .DOCX, .XLS, .XLSX, w tym obsługa formatowania, makr, formuł, formularzy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128EBCCA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A5562">
              <w:rPr>
                <w:rFonts w:eastAsia="Times New Roman" w:cstheme="minorHAnsi"/>
                <w:sz w:val="18"/>
                <w:szCs w:val="18"/>
              </w:rPr>
              <w:t>Wszystkie komponenty oferowanego pakietu biurowego muszą być integralną częścią tego samego</w:t>
            </w:r>
          </w:p>
          <w:p w14:paraId="08ED53D9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A5562">
              <w:rPr>
                <w:rFonts w:eastAsia="Times New Roman" w:cstheme="minorHAnsi"/>
                <w:sz w:val="18"/>
                <w:szCs w:val="18"/>
              </w:rPr>
              <w:t>pakietu, współpracować ze sobą (osadzanie i wymiana danych), posiadać jednolity interfejs oraz ten sam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A5562">
              <w:rPr>
                <w:rFonts w:eastAsia="Times New Roman" w:cstheme="minorHAnsi"/>
                <w:sz w:val="18"/>
                <w:szCs w:val="18"/>
              </w:rPr>
              <w:t>jednolity sposób obsługi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13B663BB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A5562">
              <w:rPr>
                <w:rFonts w:eastAsia="Times New Roman" w:cstheme="minorHAnsi"/>
                <w:sz w:val="18"/>
                <w:szCs w:val="18"/>
              </w:rPr>
              <w:t>Dostępna pełna polska wersja językowa interfejsu użytkownika, systemu komunikatów i podręcznej</w:t>
            </w:r>
          </w:p>
          <w:p w14:paraId="571CC3BD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A5562">
              <w:rPr>
                <w:rFonts w:eastAsia="Times New Roman" w:cstheme="minorHAnsi"/>
                <w:sz w:val="18"/>
                <w:szCs w:val="18"/>
              </w:rPr>
              <w:t>kontekstowej pomocy technicznej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058E1C74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A5562">
              <w:rPr>
                <w:rFonts w:eastAsia="Times New Roman" w:cstheme="minorHAnsi"/>
                <w:sz w:val="18"/>
                <w:szCs w:val="18"/>
              </w:rPr>
              <w:t xml:space="preserve">Prawidłowe odczytywanie i zapisywanie danych w dokumentach w formatach: </w:t>
            </w:r>
            <w:proofErr w:type="spellStart"/>
            <w:r w:rsidRPr="00EA5562">
              <w:rPr>
                <w:rFonts w:eastAsia="Times New Roman" w:cstheme="minorHAnsi"/>
                <w:sz w:val="18"/>
                <w:szCs w:val="18"/>
              </w:rPr>
              <w:t>doc</w:t>
            </w:r>
            <w:proofErr w:type="spellEnd"/>
            <w:r w:rsidRPr="00EA5562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EA5562">
              <w:rPr>
                <w:rFonts w:eastAsia="Times New Roman" w:cstheme="minorHAnsi"/>
                <w:sz w:val="18"/>
                <w:szCs w:val="18"/>
              </w:rPr>
              <w:t>docx</w:t>
            </w:r>
            <w:proofErr w:type="spellEnd"/>
            <w:r w:rsidRPr="00EA5562">
              <w:rPr>
                <w:rFonts w:eastAsia="Times New Roman" w:cstheme="minorHAnsi"/>
                <w:sz w:val="18"/>
                <w:szCs w:val="18"/>
              </w:rPr>
              <w:t xml:space="preserve">, xls, </w:t>
            </w:r>
            <w:proofErr w:type="spellStart"/>
            <w:r w:rsidRPr="00EA5562">
              <w:rPr>
                <w:rFonts w:eastAsia="Times New Roman" w:cstheme="minorHAnsi"/>
                <w:sz w:val="18"/>
                <w:szCs w:val="18"/>
              </w:rPr>
              <w:t>xlsx</w:t>
            </w:r>
            <w:proofErr w:type="spellEnd"/>
            <w:r w:rsidRPr="00EA5562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EA5562">
              <w:rPr>
                <w:rFonts w:eastAsia="Times New Roman" w:cstheme="minorHAnsi"/>
                <w:sz w:val="18"/>
                <w:szCs w:val="18"/>
              </w:rPr>
              <w:t>ppt</w:t>
            </w:r>
            <w:proofErr w:type="spellEnd"/>
            <w:r w:rsidRPr="00EA5562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EA5562">
              <w:rPr>
                <w:rFonts w:eastAsia="Times New Roman" w:cstheme="minorHAnsi"/>
                <w:sz w:val="18"/>
                <w:szCs w:val="18"/>
              </w:rPr>
              <w:t>pptx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EA5562">
              <w:rPr>
                <w:rFonts w:eastAsia="Times New Roman" w:cstheme="minorHAnsi"/>
                <w:sz w:val="18"/>
                <w:szCs w:val="18"/>
              </w:rPr>
              <w:t>pps</w:t>
            </w:r>
            <w:proofErr w:type="spellEnd"/>
            <w:r w:rsidRPr="00EA5562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EA5562">
              <w:rPr>
                <w:rFonts w:eastAsia="Times New Roman" w:cstheme="minorHAnsi"/>
                <w:sz w:val="18"/>
                <w:szCs w:val="18"/>
              </w:rPr>
              <w:t>ppsx</w:t>
            </w:r>
            <w:proofErr w:type="spellEnd"/>
            <w:r w:rsidRPr="00EA5562">
              <w:rPr>
                <w:rFonts w:eastAsia="Times New Roman" w:cstheme="minorHAnsi"/>
                <w:sz w:val="18"/>
                <w:szCs w:val="18"/>
              </w:rPr>
              <w:t>, w tym obsługa formatowania bez utraty parametrów i cech użytkowych (zachowane wszelkie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A5562">
              <w:rPr>
                <w:rFonts w:eastAsia="Times New Roman" w:cstheme="minorHAnsi"/>
                <w:sz w:val="18"/>
                <w:szCs w:val="18"/>
              </w:rPr>
              <w:t>formatowanie, umiejscowienie tekstów, liczb, obrazków, wykresów, odstępy między tymi obiektami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A5562">
              <w:rPr>
                <w:rFonts w:eastAsia="Times New Roman" w:cstheme="minorHAnsi"/>
                <w:sz w:val="18"/>
                <w:szCs w:val="18"/>
              </w:rPr>
              <w:t>i kolorów)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37E64C1B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A5562">
              <w:rPr>
                <w:rFonts w:eastAsia="Times New Roman" w:cstheme="minorHAnsi"/>
                <w:sz w:val="18"/>
                <w:szCs w:val="18"/>
              </w:rPr>
              <w:t xml:space="preserve">Wykonywanie i edycja makr oraz kodu zapisanego w języku Visual Basic w plikach xls, </w:t>
            </w:r>
            <w:proofErr w:type="spellStart"/>
            <w:r w:rsidRPr="00EA5562">
              <w:rPr>
                <w:rFonts w:eastAsia="Times New Roman" w:cstheme="minorHAnsi"/>
                <w:sz w:val="18"/>
                <w:szCs w:val="18"/>
              </w:rPr>
              <w:t>xlsx</w:t>
            </w:r>
            <w:proofErr w:type="spellEnd"/>
            <w:r w:rsidRPr="00EA5562">
              <w:rPr>
                <w:rFonts w:eastAsia="Times New Roman" w:cstheme="minorHAnsi"/>
                <w:sz w:val="18"/>
                <w:szCs w:val="18"/>
              </w:rPr>
              <w:t xml:space="preserve"> oraz formuł w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A5562">
              <w:rPr>
                <w:rFonts w:eastAsia="Times New Roman" w:cstheme="minorHAnsi"/>
                <w:sz w:val="18"/>
                <w:szCs w:val="18"/>
              </w:rPr>
              <w:t>plikach wytworzonych w MS Office 2013 oraz MS Office 2016 bez utraty danych oraz bez konieczności przerabiania dokumentów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190289F8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A5562">
              <w:rPr>
                <w:rFonts w:eastAsia="Times New Roman" w:cstheme="minorHAnsi"/>
                <w:sz w:val="18"/>
                <w:szCs w:val="18"/>
              </w:rPr>
              <w:t>Możliwość zapisywania wytworzonych dokumentów bezpośrednio w formacie PDF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1173A0A0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A5562">
              <w:rPr>
                <w:rFonts w:eastAsia="Times New Roman" w:cstheme="minorHAnsi"/>
                <w:sz w:val="18"/>
                <w:szCs w:val="18"/>
              </w:rPr>
              <w:t>Możliwość zintegrowania uwierzytelniania użytkowników z usługą katalogową Active Directory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1BE5D013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EA5562">
              <w:rPr>
                <w:rFonts w:eastAsia="Times New Roman" w:cstheme="minorHAnsi"/>
                <w:sz w:val="18"/>
                <w:szCs w:val="18"/>
              </w:rPr>
              <w:t>Możliwość jednoczesnej pracy wielu użytkowników na udostępnionym dokumencie arkusza</w:t>
            </w:r>
          </w:p>
          <w:p w14:paraId="5A6C3A59" w14:textId="77777777" w:rsidR="002D74A3" w:rsidRPr="00EA556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k</w:t>
            </w:r>
            <w:r w:rsidRPr="00EA5562">
              <w:rPr>
                <w:rFonts w:eastAsia="Times New Roman" w:cstheme="minorHAnsi"/>
                <w:sz w:val="18"/>
                <w:szCs w:val="18"/>
              </w:rPr>
              <w:t>alkulacyjnego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</w:tr>
      <w:tr w:rsidR="002D74A3" w:rsidRPr="00F243A0" w14:paraId="3241DB81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EE64E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cstheme="minorHAnsi"/>
                <w:b/>
                <w:sz w:val="18"/>
                <w:szCs w:val="18"/>
              </w:rPr>
              <w:t>Certyfikaty i standardy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E29A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Certyfikat ISO9001 dla producenta sprzętu (załączyć do oferty).</w:t>
            </w:r>
          </w:p>
          <w:p w14:paraId="21F3047D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Certyfikat ISO 50001 dla producenta sprzętu.</w:t>
            </w:r>
          </w:p>
          <w:p w14:paraId="03000163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Deklaracja zgodności CE (załączyć do oferty).</w:t>
            </w:r>
          </w:p>
        </w:tc>
      </w:tr>
      <w:tr w:rsidR="002D74A3" w:rsidRPr="00F243A0" w14:paraId="652CC7BB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EA19C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eastAsia="Times New Roman" w:cstheme="minorHAnsi"/>
                <w:b/>
                <w:bCs/>
                <w:sz w:val="18"/>
                <w:szCs w:val="18"/>
              </w:rPr>
              <w:t>Wymagania dodatkowe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9B90" w14:textId="77777777" w:rsidR="002D74A3" w:rsidRPr="00BD3ECB" w:rsidRDefault="002D74A3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 xml:space="preserve">Wbudowane porty: </w:t>
            </w:r>
          </w:p>
          <w:p w14:paraId="2A8EBE80" w14:textId="2B2AAB9E" w:rsidR="002D74A3" w:rsidRPr="00171390" w:rsidRDefault="00171390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17139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Min. </w:t>
            </w:r>
            <w:r w:rsidR="002D74A3" w:rsidRPr="0017139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1x  DP++ 1.4/HDCP 2.3 </w:t>
            </w:r>
          </w:p>
          <w:p w14:paraId="412F1083" w14:textId="3A4BA2ED" w:rsidR="002D74A3" w:rsidRPr="00BD3ECB" w:rsidRDefault="00171390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  <w:lang w:val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Min. </w:t>
            </w:r>
            <w:r w:rsidR="002D74A3" w:rsidRPr="00BD3ECB">
              <w:rPr>
                <w:rFonts w:eastAsia="Times New Roman" w:cstheme="minorHAnsi"/>
                <w:sz w:val="18"/>
                <w:szCs w:val="18"/>
                <w:lang w:val="en-GB"/>
              </w:rPr>
              <w:t>1x HDMI In 1.4a</w:t>
            </w:r>
          </w:p>
          <w:p w14:paraId="45994D87" w14:textId="417CB50A" w:rsidR="002D74A3" w:rsidRPr="00BD3ECB" w:rsidRDefault="00171390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  <w:lang w:val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Min. </w:t>
            </w:r>
            <w:r w:rsidR="002D74A3" w:rsidRPr="00BD3ECB">
              <w:rPr>
                <w:rFonts w:eastAsia="Times New Roman" w:cstheme="minorHAnsi"/>
                <w:sz w:val="18"/>
                <w:szCs w:val="18"/>
                <w:lang w:val="en-GB"/>
              </w:rPr>
              <w:t>1 x HDMI 2.1</w:t>
            </w:r>
          </w:p>
          <w:p w14:paraId="25400903" w14:textId="63726D34" w:rsidR="002D74A3" w:rsidRPr="00BD3ECB" w:rsidRDefault="00171390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  <w:lang w:val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/>
              </w:rPr>
              <w:lastRenderedPageBreak/>
              <w:t xml:space="preserve">Min. </w:t>
            </w:r>
            <w:r w:rsidR="002D74A3" w:rsidRPr="00BD3ECB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1x USB 3.2 Gen 2 Type-C port </w:t>
            </w:r>
          </w:p>
          <w:p w14:paraId="24A6912E" w14:textId="37D4575B" w:rsidR="002D74A3" w:rsidRPr="00BD3ECB" w:rsidRDefault="00171390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  <w:lang w:val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Min. </w:t>
            </w:r>
            <w:r w:rsidR="002D74A3" w:rsidRPr="00BD3ECB">
              <w:rPr>
                <w:rFonts w:eastAsia="Times New Roman" w:cstheme="minorHAnsi"/>
                <w:sz w:val="18"/>
                <w:szCs w:val="18"/>
                <w:lang w:val="en-GB"/>
              </w:rPr>
              <w:t>3x USB 3.2 Gen 2 Type-A port</w:t>
            </w:r>
          </w:p>
          <w:p w14:paraId="251C6A6E" w14:textId="68281460" w:rsidR="002D74A3" w:rsidRPr="00BD3ECB" w:rsidRDefault="00171390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  <w:lang w:val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Min. </w:t>
            </w:r>
            <w:r w:rsidR="002D74A3" w:rsidRPr="00BD3ECB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2x USB 3.2 Gen 1 Type-A port </w:t>
            </w:r>
          </w:p>
          <w:p w14:paraId="4E2BB3D5" w14:textId="77777777" w:rsidR="002D74A3" w:rsidRPr="00BD3ECB" w:rsidRDefault="002D74A3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 xml:space="preserve">Wymagane porty USB wbudowane, nie dopuszcza się stosowania rozgałęziaczy, </w:t>
            </w:r>
            <w:proofErr w:type="spellStart"/>
            <w:r w:rsidRPr="00BD3ECB">
              <w:rPr>
                <w:rFonts w:eastAsia="Times New Roman" w:cstheme="minorHAnsi"/>
                <w:sz w:val="18"/>
                <w:szCs w:val="18"/>
              </w:rPr>
              <w:t>hub’ów</w:t>
            </w:r>
            <w:proofErr w:type="spellEnd"/>
            <w:r w:rsidRPr="00BD3ECB">
              <w:rPr>
                <w:rFonts w:eastAsia="Times New Roman" w:cstheme="minorHAnsi"/>
                <w:sz w:val="18"/>
                <w:szCs w:val="18"/>
              </w:rPr>
              <w:t xml:space="preserve"> itp. </w:t>
            </w:r>
          </w:p>
          <w:p w14:paraId="7D9EE338" w14:textId="64A28A4E" w:rsidR="002D74A3" w:rsidRPr="00BD3ECB" w:rsidRDefault="00171390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  <w:lang w:val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Min. </w:t>
            </w:r>
            <w:r w:rsidR="002D74A3" w:rsidRPr="00BD3ECB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1x Universal audio jack </w:t>
            </w:r>
          </w:p>
          <w:p w14:paraId="537FCA50" w14:textId="4AA0AD99" w:rsidR="002D74A3" w:rsidRPr="00BD3ECB" w:rsidRDefault="00171390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  <w:lang w:val="en-GB"/>
              </w:rPr>
            </w:pPr>
            <w:r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Min. </w:t>
            </w:r>
            <w:r w:rsidR="002D74A3" w:rsidRPr="00BD3ECB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1x  Line-out audio </w:t>
            </w:r>
          </w:p>
          <w:p w14:paraId="68813959" w14:textId="12E5D122" w:rsidR="002D74A3" w:rsidRPr="00BD3ECB" w:rsidRDefault="002D74A3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>1</w:t>
            </w:r>
            <w:r w:rsidR="00171390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Min. </w:t>
            </w:r>
            <w:r w:rsidRPr="00BD3ECB">
              <w:rPr>
                <w:rFonts w:eastAsia="Times New Roman" w:cstheme="minorHAnsi"/>
                <w:sz w:val="18"/>
                <w:szCs w:val="18"/>
              </w:rPr>
              <w:t xml:space="preserve">x  RJ-45 port 10/100/1000 </w:t>
            </w:r>
            <w:proofErr w:type="spellStart"/>
            <w:r w:rsidRPr="00BD3ECB">
              <w:rPr>
                <w:rFonts w:eastAsia="Times New Roman" w:cstheme="minorHAnsi"/>
                <w:sz w:val="18"/>
                <w:szCs w:val="18"/>
              </w:rPr>
              <w:t>Mbps</w:t>
            </w:r>
            <w:proofErr w:type="spellEnd"/>
          </w:p>
          <w:p w14:paraId="408206D0" w14:textId="77777777" w:rsidR="002D74A3" w:rsidRPr="00BD3ECB" w:rsidRDefault="002D74A3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 xml:space="preserve">Czytnik kart SD 4.0 </w:t>
            </w:r>
          </w:p>
          <w:p w14:paraId="574C4096" w14:textId="1594B456" w:rsidR="002D74A3" w:rsidRPr="00BD3ECB" w:rsidRDefault="002D74A3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 xml:space="preserve">Karta </w:t>
            </w:r>
            <w:proofErr w:type="spellStart"/>
            <w:r w:rsidRPr="00BD3ECB">
              <w:rPr>
                <w:rFonts w:eastAsia="Times New Roman" w:cstheme="minorHAnsi"/>
                <w:sz w:val="18"/>
                <w:szCs w:val="18"/>
              </w:rPr>
              <w:t>WiFi</w:t>
            </w:r>
            <w:proofErr w:type="spellEnd"/>
            <w:r w:rsidRPr="00BD3ECB">
              <w:rPr>
                <w:rFonts w:eastAsia="Times New Roman" w:cstheme="minorHAnsi"/>
                <w:sz w:val="18"/>
                <w:szCs w:val="18"/>
              </w:rPr>
              <w:t xml:space="preserve"> AX + </w:t>
            </w:r>
            <w:proofErr w:type="spellStart"/>
            <w:r w:rsidRPr="00BD3ECB">
              <w:rPr>
                <w:rFonts w:eastAsia="Times New Roman" w:cstheme="minorHAnsi"/>
                <w:sz w:val="18"/>
                <w:szCs w:val="18"/>
              </w:rPr>
              <w:t>bluetooth</w:t>
            </w:r>
            <w:proofErr w:type="spellEnd"/>
            <w:r w:rsidRPr="00BD3EC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171390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Min. </w:t>
            </w:r>
            <w:r w:rsidRPr="00BD3ECB">
              <w:rPr>
                <w:rFonts w:eastAsia="Times New Roman" w:cstheme="minorHAnsi"/>
                <w:sz w:val="18"/>
                <w:szCs w:val="18"/>
              </w:rPr>
              <w:t>5.1</w:t>
            </w:r>
          </w:p>
          <w:p w14:paraId="2356B155" w14:textId="77777777" w:rsidR="002D74A3" w:rsidRPr="00BD3ECB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D3ECB">
              <w:rPr>
                <w:rFonts w:eastAsia="Times New Roman" w:cstheme="minorHAnsi"/>
                <w:sz w:val="18"/>
                <w:szCs w:val="18"/>
              </w:rPr>
              <w:t>Płyta główna zaprojektowana i wyprodukowana na zlecenie producenta komputera, trwale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D3ECB">
              <w:rPr>
                <w:rFonts w:eastAsia="Times New Roman" w:cstheme="minorHAnsi"/>
                <w:sz w:val="18"/>
                <w:szCs w:val="18"/>
              </w:rPr>
              <w:t xml:space="preserve">oznaczona logo producenta oferowanej jednostki, dedykowana dla danego urządzenia; wyposażona w min. 2 złącza DIMM z obsługą do 64GB DDR5 pamięci RAM, min. 2 złącza M.2 2280 dla dysku twardego oraz 1 złącze M.2 karty </w:t>
            </w:r>
            <w:proofErr w:type="spellStart"/>
            <w:r w:rsidRPr="00BD3ECB">
              <w:rPr>
                <w:rFonts w:eastAsia="Times New Roman" w:cstheme="minorHAnsi"/>
                <w:sz w:val="18"/>
                <w:szCs w:val="18"/>
              </w:rPr>
              <w:t>WiFi</w:t>
            </w:r>
            <w:proofErr w:type="spellEnd"/>
            <w:r w:rsidRPr="00BD3ECB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4FDDC080" w14:textId="77777777" w:rsidR="002D74A3" w:rsidRPr="00BB07D2" w:rsidRDefault="002D74A3" w:rsidP="001A3D73">
            <w:pPr>
              <w:spacing w:after="0" w:line="240" w:lineRule="auto"/>
              <w:ind w:left="199" w:hanging="199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Przewodowa k</w:t>
            </w:r>
            <w:r w:rsidRPr="00BB07D2">
              <w:rPr>
                <w:rFonts w:eastAsia="Times New Roman" w:cstheme="minorHAnsi"/>
                <w:sz w:val="18"/>
                <w:szCs w:val="18"/>
              </w:rPr>
              <w:t>lawiatura USB w układzie polski programisty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092ED84D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Przewodowa m</w:t>
            </w:r>
            <w:r w:rsidRPr="00BB07D2">
              <w:rPr>
                <w:rFonts w:eastAsia="Times New Roman" w:cstheme="minorHAnsi"/>
                <w:sz w:val="18"/>
                <w:szCs w:val="18"/>
              </w:rPr>
              <w:t>ysz optyczna USB z dwoma przyciskami oraz rolką (</w:t>
            </w:r>
            <w:proofErr w:type="spellStart"/>
            <w:r w:rsidRPr="00BB07D2">
              <w:rPr>
                <w:rFonts w:eastAsia="Times New Roman" w:cstheme="minorHAnsi"/>
                <w:sz w:val="18"/>
                <w:szCs w:val="18"/>
              </w:rPr>
              <w:t>scroll</w:t>
            </w:r>
            <w:proofErr w:type="spellEnd"/>
            <w:r w:rsidRPr="00BB07D2">
              <w:rPr>
                <w:rFonts w:eastAsia="Times New Roman" w:cstheme="minorHAnsi"/>
                <w:sz w:val="18"/>
                <w:szCs w:val="18"/>
              </w:rPr>
              <w:t>)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</w:tr>
      <w:tr w:rsidR="002D74A3" w:rsidRPr="00F243A0" w14:paraId="0F0CAC5F" w14:textId="77777777" w:rsidTr="001A3D73"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72EE6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F243A0">
              <w:rPr>
                <w:rFonts w:eastAsia="Times New Roman" w:cstheme="minorHAnsi"/>
                <w:b/>
                <w:bCs/>
                <w:sz w:val="18"/>
                <w:szCs w:val="18"/>
              </w:rPr>
              <w:lastRenderedPageBreak/>
              <w:t>Dodatkowe oprogramowanie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D87E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Oprogramowanie z nieograniczoną czasowo licencją na użytkowanie umożliwiające:</w:t>
            </w:r>
          </w:p>
          <w:p w14:paraId="54541053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 xml:space="preserve">- 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upgrade</w:t>
            </w:r>
            <w:proofErr w:type="spellEnd"/>
            <w:r w:rsidRPr="00F243A0">
              <w:rPr>
                <w:rFonts w:eastAsia="Times New Roman" w:cstheme="minorHAnsi"/>
                <w:sz w:val="18"/>
                <w:szCs w:val="18"/>
              </w:rPr>
              <w:t xml:space="preserve"> i instalacje wszystkich sterowników, aplikacji dostarczonych w obrazie systemu operacyjnego producenta, 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BIOS’u</w:t>
            </w:r>
            <w:proofErr w:type="spellEnd"/>
            <w:r w:rsidRPr="00F243A0">
              <w:rPr>
                <w:rFonts w:eastAsia="Times New Roman" w:cstheme="minorHAnsi"/>
                <w:sz w:val="18"/>
                <w:szCs w:val="18"/>
              </w:rPr>
              <w:t xml:space="preserve"> z certyfikatem zgodności producenta do najnowszej dostępnej wersji, </w:t>
            </w:r>
          </w:p>
          <w:p w14:paraId="3803139E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             </w:t>
            </w:r>
          </w:p>
          <w:p w14:paraId="691473EE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- dostęp do wykazu najnowszych aktualizacji z podziałem na krytyczne (wymagające natychmiastowej instalacji), rekomendowane i opcjonalne,</w:t>
            </w:r>
          </w:p>
          <w:p w14:paraId="50B06201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 xml:space="preserve">- włączenie/wyłączenie funkcji automatycznego restartu w przypadku, kiedy jest wymagany przy instalacji sterownika, aplikacji, </w:t>
            </w:r>
          </w:p>
          <w:p w14:paraId="19AC9376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- sprawdzenie historii aktualizacji z informacją, jakie sterowniki były instalowane z dokładną datą i wersją (rewizja wydania),</w:t>
            </w:r>
          </w:p>
          <w:p w14:paraId="0CA1DA35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 xml:space="preserve">- dostęp do wykaz wymaganych sterowników, aplikacji, 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BIOS’u</w:t>
            </w:r>
            <w:proofErr w:type="spellEnd"/>
            <w:r w:rsidRPr="00F243A0">
              <w:rPr>
                <w:rFonts w:eastAsia="Times New Roman" w:cstheme="minorHAnsi"/>
                <w:sz w:val="18"/>
                <w:szCs w:val="18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xml</w:t>
            </w:r>
            <w:proofErr w:type="spellEnd"/>
            <w:r w:rsidRPr="00F243A0">
              <w:rPr>
                <w:rFonts w:eastAsia="Times New Roman" w:cstheme="minorHAnsi"/>
                <w:sz w:val="18"/>
                <w:szCs w:val="18"/>
              </w:rPr>
              <w:t>,</w:t>
            </w:r>
          </w:p>
          <w:p w14:paraId="383CC98B" w14:textId="77777777" w:rsidR="002D74A3" w:rsidRPr="00F243A0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F243A0">
              <w:rPr>
                <w:rFonts w:eastAsia="Times New Roman" w:cstheme="minorHAnsi"/>
                <w:sz w:val="18"/>
                <w:szCs w:val="18"/>
              </w:rPr>
              <w:t>xml</w:t>
            </w:r>
            <w:proofErr w:type="spellEnd"/>
            <w:r w:rsidRPr="00F243A0">
              <w:rPr>
                <w:rFonts w:eastAsia="Times New Roman" w:cstheme="minorHAnsi"/>
                <w:sz w:val="18"/>
                <w:szCs w:val="18"/>
              </w:rPr>
              <w:t>. Raport musi zawierać datę i godzinę podjętych i wykonanych akcji/zadań w przedziale czasowym min. 1 roku.</w:t>
            </w:r>
          </w:p>
        </w:tc>
      </w:tr>
      <w:tr w:rsidR="002D74A3" w:rsidRPr="00F243A0" w14:paraId="24FFB22C" w14:textId="77777777" w:rsidTr="001A3D73">
        <w:trPr>
          <w:trHeight w:val="615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D67F0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eastAsia="Times New Roman" w:cstheme="minorHAnsi"/>
                <w:b/>
                <w:bCs/>
                <w:sz w:val="18"/>
                <w:szCs w:val="18"/>
              </w:rPr>
              <w:t>Warunki gwarancji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6190" w14:textId="77777777" w:rsidR="002D74A3" w:rsidRPr="00BB07D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Minimalny czas trwania wsparcia technicznego producenta wynosi 3 lata, z możliwością odpłatnego  przedłużenia tego okresu do 4 lub 5 lat od daty dostawy.</w:t>
            </w:r>
          </w:p>
          <w:p w14:paraId="32B0C96C" w14:textId="77777777" w:rsidR="002D74A3" w:rsidRPr="00BB07D2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Sposób realizacji usług wsparcia technicznego:</w:t>
            </w:r>
          </w:p>
          <w:p w14:paraId="432C14AB" w14:textId="77777777" w:rsidR="002D74A3" w:rsidRPr="00BB07D2" w:rsidRDefault="002D74A3" w:rsidP="001A3D73">
            <w:pPr>
              <w:spacing w:after="0" w:line="240" w:lineRule="auto"/>
              <w:ind w:left="199" w:hanging="141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•</w:t>
            </w: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ab/>
              <w:t>Telefoniczne zgłaszanie usterek w dni robocze w godzinach 8-17.</w:t>
            </w:r>
          </w:p>
          <w:p w14:paraId="0D21B532" w14:textId="77777777" w:rsidR="002D74A3" w:rsidRPr="00BB07D2" w:rsidRDefault="002D74A3" w:rsidP="001A3D73">
            <w:pPr>
              <w:spacing w:after="0" w:line="240" w:lineRule="auto"/>
              <w:ind w:left="199" w:hanging="141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•</w:t>
            </w: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ab/>
              <w:t>Dedykowany bezpłatny portal online producenta do zgłaszania usterek i zarządzania zgłoszeniami serwisowymi.</w:t>
            </w:r>
          </w:p>
          <w:p w14:paraId="6131072B" w14:textId="77777777" w:rsidR="002D74A3" w:rsidRPr="00BB07D2" w:rsidRDefault="002D74A3" w:rsidP="001A3D73">
            <w:pPr>
              <w:spacing w:after="0" w:line="240" w:lineRule="auto"/>
              <w:ind w:left="199" w:hanging="141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•</w:t>
            </w: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ab/>
              <w:t>Opcjonalna pomoc techniczna za pośrednictwem czat online.</w:t>
            </w:r>
          </w:p>
          <w:p w14:paraId="30ECEBD1" w14:textId="77777777" w:rsidR="002D74A3" w:rsidRPr="00BB07D2" w:rsidRDefault="002D74A3" w:rsidP="001A3D73">
            <w:pPr>
              <w:spacing w:after="0" w:line="240" w:lineRule="auto"/>
              <w:ind w:left="199" w:hanging="141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•</w:t>
            </w: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ab/>
              <w:t>Wsparcie techniczne dla sprzętu będzie dostarczane zdalnie lub w miejscu instalacji urządzenia, w zależności od rodzaju zgłaszanej awarii.</w:t>
            </w:r>
          </w:p>
          <w:p w14:paraId="0C1F79AF" w14:textId="77777777" w:rsidR="002D74A3" w:rsidRPr="00BB07D2" w:rsidRDefault="002D74A3" w:rsidP="001A3D73">
            <w:pPr>
              <w:spacing w:after="0" w:line="240" w:lineRule="auto"/>
              <w:ind w:left="199" w:hanging="141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•</w:t>
            </w: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ab/>
              <w:t>W przypadku awarii zakwalifikowanej jako naprawa w miejscu instalacji urządzenia, część zamienna wymagana do naprawy i/lub technik serwisowy przybędzie na miejsce wskazane przez klienta na następny dzie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ń</w:t>
            </w: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roboczy od momentu skutecznego przyjęcia zgłoszenia przez Dział Wsparcia Technicznego.</w:t>
            </w:r>
          </w:p>
          <w:p w14:paraId="2E8BF05D" w14:textId="77777777" w:rsidR="002D74A3" w:rsidRPr="00BB07D2" w:rsidRDefault="002D74A3" w:rsidP="001A3D73">
            <w:pPr>
              <w:spacing w:after="0" w:line="240" w:lineRule="auto"/>
              <w:ind w:left="199" w:hanging="141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•</w:t>
            </w: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ab/>
              <w:t>Możliwość sprawdzenia aktualnego okresu i poziomu wsparcia technicznego dla urządzeń za pośrednictwem strony internetowej producenta.</w:t>
            </w:r>
          </w:p>
          <w:p w14:paraId="4990E5B1" w14:textId="77777777" w:rsidR="002D74A3" w:rsidRDefault="002D74A3" w:rsidP="001A3D73">
            <w:pPr>
              <w:spacing w:after="0" w:line="240" w:lineRule="auto"/>
              <w:ind w:left="199" w:hanging="141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•</w:t>
            </w: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ab/>
              <w:t>Mo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ż</w:t>
            </w:r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liwość pobrania aktualnych wersji sterowników oraz </w:t>
            </w:r>
            <w:proofErr w:type="spellStart"/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>firmware</w:t>
            </w:r>
            <w:proofErr w:type="spellEnd"/>
            <w:r w:rsidRPr="00BB07D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urządzenia za pośrednictwem strony internetowej producenta również dla urządzeń z nieaktywnym wsparciem technicznym.</w:t>
            </w:r>
          </w:p>
          <w:p w14:paraId="56C8A332" w14:textId="77777777" w:rsidR="002D74A3" w:rsidRPr="00BB07D2" w:rsidRDefault="002D74A3" w:rsidP="001A3D73">
            <w:pPr>
              <w:spacing w:after="0" w:line="240" w:lineRule="auto"/>
              <w:ind w:left="58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sz w:val="18"/>
                <w:szCs w:val="18"/>
              </w:rPr>
              <w:t xml:space="preserve">Firma serwisująca musi posiadać ISO 9001 na świadczenie usług serwisowych oraz posiadać autoryzacje producenta urządzeń – dokumenty potwierdzające należy załączyć do oferty. </w:t>
            </w:r>
          </w:p>
          <w:p w14:paraId="6A29A495" w14:textId="77777777" w:rsidR="002D74A3" w:rsidRDefault="002D74A3" w:rsidP="001A3D73">
            <w:pPr>
              <w:spacing w:after="0" w:line="240" w:lineRule="auto"/>
              <w:ind w:left="58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sz w:val="18"/>
                <w:szCs w:val="18"/>
              </w:rPr>
              <w:t>Wymagane dołączenie do oferty oświadczenia Producenta potwierdzając</w:t>
            </w:r>
            <w:r>
              <w:rPr>
                <w:rFonts w:eastAsia="Times New Roman" w:cstheme="minorHAnsi"/>
                <w:sz w:val="18"/>
                <w:szCs w:val="18"/>
              </w:rPr>
              <w:t>e</w:t>
            </w:r>
            <w:r w:rsidRPr="00BB07D2">
              <w:rPr>
                <w:rFonts w:eastAsia="Times New Roman" w:cstheme="minorHAnsi"/>
                <w:sz w:val="18"/>
                <w:szCs w:val="18"/>
              </w:rPr>
              <w:t>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BB07D2">
              <w:rPr>
                <w:rFonts w:eastAsia="Times New Roman" w:cstheme="minorHAnsi"/>
                <w:sz w:val="18"/>
                <w:szCs w:val="18"/>
              </w:rPr>
              <w:t>że Serwis urządzeń będzie realizowany bezpośrednio przez Producenta i/lub we współpracy z Autoryzowanym Partnerem Serwisowym Producenta.</w:t>
            </w:r>
          </w:p>
          <w:p w14:paraId="5A9BC5CA" w14:textId="77777777" w:rsidR="002D74A3" w:rsidRPr="00F243A0" w:rsidRDefault="002D74A3" w:rsidP="001A3D73">
            <w:pPr>
              <w:spacing w:after="0" w:line="240" w:lineRule="auto"/>
              <w:ind w:left="58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BB07D2">
              <w:rPr>
                <w:rFonts w:eastAsia="Times New Roman" w:cstheme="minorHAnsi"/>
                <w:sz w:val="18"/>
                <w:szCs w:val="18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</w:tc>
      </w:tr>
      <w:tr w:rsidR="002D74A3" w:rsidRPr="00A651E8" w14:paraId="119359FD" w14:textId="77777777" w:rsidTr="001A3D73">
        <w:trPr>
          <w:trHeight w:val="300"/>
        </w:trPr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30905" w14:textId="77777777" w:rsidR="002D74A3" w:rsidRPr="00F243A0" w:rsidRDefault="002D74A3" w:rsidP="001A3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F243A0">
              <w:rPr>
                <w:rFonts w:eastAsia="Times New Roman" w:cstheme="minorHAnsi"/>
                <w:b/>
                <w:bCs/>
                <w:sz w:val="18"/>
                <w:szCs w:val="18"/>
              </w:rPr>
              <w:t>Dokumentacja użytkownika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7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DBFC8" w14:textId="77777777" w:rsidR="002D74A3" w:rsidRPr="00A7165F" w:rsidRDefault="002D74A3" w:rsidP="001A3D7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F243A0">
              <w:rPr>
                <w:rFonts w:eastAsia="Times New Roman" w:cstheme="minorHAnsi"/>
                <w:sz w:val="18"/>
                <w:szCs w:val="18"/>
              </w:rPr>
              <w:t>Zamawiający wymaga dokumentacji w języku polskim lub angi</w:t>
            </w:r>
            <w:r w:rsidRPr="00F243A0">
              <w:rPr>
                <w:rFonts w:eastAsia="Times New Roman" w:cstheme="minorHAnsi"/>
                <w:i/>
                <w:iCs/>
                <w:sz w:val="18"/>
                <w:szCs w:val="18"/>
              </w:rPr>
              <w:t>e</w:t>
            </w:r>
            <w:r w:rsidRPr="00F243A0">
              <w:rPr>
                <w:rFonts w:eastAsia="Times New Roman" w:cstheme="minorHAnsi"/>
                <w:sz w:val="18"/>
                <w:szCs w:val="18"/>
              </w:rPr>
              <w:t>lskim.</w:t>
            </w:r>
            <w:r w:rsidRPr="00A7165F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</w:tr>
    </w:tbl>
    <w:p w14:paraId="5CF00A36" w14:textId="77777777" w:rsidR="002D74A3" w:rsidRPr="00DA0AA2" w:rsidRDefault="002D74A3" w:rsidP="002D74A3">
      <w:pPr>
        <w:pStyle w:val="Akapitzlist"/>
        <w:ind w:left="765"/>
        <w:jc w:val="both"/>
        <w:rPr>
          <w:rFonts w:ascii="Calibri" w:hAnsi="Calibri"/>
          <w:sz w:val="22"/>
          <w:szCs w:val="22"/>
        </w:rPr>
      </w:pPr>
    </w:p>
    <w:p w14:paraId="6BC388BA" w14:textId="77777777" w:rsidR="000F5783" w:rsidRDefault="000F5783"/>
    <w:sectPr w:rsidR="000F5783" w:rsidSect="005300C9">
      <w:pgSz w:w="11906" w:h="16838"/>
      <w:pgMar w:top="993" w:right="1274" w:bottom="993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A3"/>
    <w:rsid w:val="000F5783"/>
    <w:rsid w:val="00171390"/>
    <w:rsid w:val="002D74A3"/>
    <w:rsid w:val="00554B2D"/>
    <w:rsid w:val="009D256D"/>
    <w:rsid w:val="00B35604"/>
    <w:rsid w:val="00B903A9"/>
    <w:rsid w:val="00E90BE6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628A"/>
  <w15:chartTrackingRefBased/>
  <w15:docId w15:val="{EC48D2F1-6C13-46A9-BC21-FC13D054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4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List Paragraph1,sw tekst,L1,Bulleted list,lp1,Preambuła,Colorful Shading - Accent 31,Light List - Accent 51,Akapit z listą5"/>
    <w:basedOn w:val="Normalny"/>
    <w:link w:val="AkapitzlistZnak"/>
    <w:uiPriority w:val="34"/>
    <w:qFormat/>
    <w:rsid w:val="002D74A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sw tekst Znak,L1 Znak,Bulleted list Znak,lp1 Znak,Preambuła Znak,Colorful Shading - Accent 31 Znak,Akapit z listą5 Znak"/>
    <w:link w:val="Akapitzlist"/>
    <w:uiPriority w:val="34"/>
    <w:locked/>
    <w:rsid w:val="002D74A3"/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D7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deocardbenchmark.net/gpu_list.php" TargetMode="External"/><Relationship Id="rId4" Type="http://schemas.openxmlformats.org/officeDocument/2006/relationships/hyperlink" Target="https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1956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Pianka</dc:creator>
  <cp:keywords/>
  <dc:description/>
  <cp:lastModifiedBy>Marta Kin-Malesza</cp:lastModifiedBy>
  <cp:revision>4</cp:revision>
  <dcterms:created xsi:type="dcterms:W3CDTF">2023-11-21T08:05:00Z</dcterms:created>
  <dcterms:modified xsi:type="dcterms:W3CDTF">2023-11-23T11:36:00Z</dcterms:modified>
</cp:coreProperties>
</file>