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0E" w:rsidRDefault="00814E84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Załącznik nr 1 do SIWZ</w:t>
      </w:r>
    </w:p>
    <w:p w:rsidR="00701B0E" w:rsidRDefault="00814E84" w:rsidP="00814E8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Opis przedmiotu zamówienia </w:t>
      </w:r>
    </w:p>
    <w:p w:rsidR="00701B0E" w:rsidRPr="00814E84" w:rsidRDefault="00814E84" w:rsidP="00814E8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14E84">
        <w:rPr>
          <w:rFonts w:ascii="Times New Roman" w:hAnsi="Times New Roman"/>
          <w:iCs/>
          <w:sz w:val="24"/>
          <w:szCs w:val="24"/>
          <w:highlight w:val="white"/>
        </w:rPr>
        <w:t xml:space="preserve">Niniejszy dokument określa minimalne wymagania dla ambulansu typu C oraz wyposażenia  tj. defibrylatora, krzesełka transportowego oraz noszy (z transporterem). </w:t>
      </w:r>
    </w:p>
    <w:tbl>
      <w:tblPr>
        <w:tblW w:w="10915" w:type="dxa"/>
        <w:tblInd w:w="-704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2"/>
        <w:gridCol w:w="10493"/>
      </w:tblGrid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Lp.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Wymagane parametry</w:t>
            </w:r>
          </w:p>
        </w:tc>
      </w:tr>
      <w:tr w:rsidR="00701B0E" w:rsidRP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814E84" w:rsidP="00814E84">
            <w:pPr>
              <w:pStyle w:val="Tekstcofnity"/>
              <w:shd w:val="clear" w:color="auto" w:fill="FFFFFF" w:themeFill="background1"/>
              <w:tabs>
                <w:tab w:val="left" w:pos="0"/>
              </w:tabs>
              <w:spacing w:line="240" w:lineRule="auto"/>
              <w:ind w:right="78"/>
              <w:jc w:val="center"/>
              <w:rPr>
                <w:szCs w:val="24"/>
                <w:lang w:val="pl-PL"/>
              </w:rPr>
            </w:pPr>
            <w:r w:rsidRPr="00814E84">
              <w:rPr>
                <w:b/>
                <w:smallCaps/>
                <w:szCs w:val="24"/>
                <w:highlight w:val="white"/>
                <w:lang w:val="pl-PL"/>
              </w:rPr>
              <w:t xml:space="preserve">Wymogi w zakresie </w:t>
            </w:r>
            <w:r w:rsidRPr="00814E84">
              <w:rPr>
                <w:b/>
                <w:smallCaps/>
                <w:szCs w:val="24"/>
                <w:highlight w:val="white"/>
                <w:lang w:val="pl-PL"/>
              </w:rPr>
              <w:t>pojazdu bazowego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I. NADWOZIE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Typu „furgon ”do 3,5 t dopuszczalnej masy całkowitej, bez ściany działowej pomiędzy kabiną kierowcy a przestrzenią ładunkową przeznaczoną do adaptacji na przedział medyczny </w:t>
            </w:r>
          </w:p>
        </w:tc>
      </w:tr>
      <w:tr w:rsidR="00701B0E" w:rsidRPr="00814E84">
        <w:trPr>
          <w:trHeight w:val="37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Kabina kierowcy wyposażona w dwa 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pojedyncze fotele: pasażera i kierowcy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Wysokość przedziału medycznego min.1,85 m (podać).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Długość przedziału medycznego min. 3,25 m (podać).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Szerokość przedziału medycznego min. 1,70 m (podać).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Drzwi tylne wysokość min. 1,75 m, przeszklone,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 ze stopniem, otwierane na boki o min. 250º z systemem blokowania przy otwieraniu.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Drzwi boczne prawe przesuwane do tyłu z odsuwaną szybą, wyjście ze stopniem stałym wewnętrznym 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Drzwi boczne lewe przesuwane do tyłu, bez szyby.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Lakier w kolorze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 żółtym.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Centralny zamek wszystkich drzwi, sterowany pilotem. 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Stopień wejściowy tylny, stanowiący zderzak ochronny.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II. SILNIK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Z zapłonem samoczynnym turbodoładowany, z elektronicznym bezpośrednim wtryskiem paliwa typu COMMON RAIL  z 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urządzeniem do podgrzewania silnika, ułatwiającym rozruch silnika w warunkach zimowych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Moc silnika minimum 160 KM, 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Moment obrotowy nie mniejszy niż 380 </w:t>
            </w:r>
            <w:proofErr w:type="spellStart"/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Nm</w:t>
            </w:r>
            <w:proofErr w:type="spellEnd"/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suppressAutoHyphens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4E8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ar-SA"/>
              </w:rPr>
              <w:t>Silnik spełniający wymagania emisji spalin  Euro VI lub Euro 6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0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suppressAutoHyphens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</w:rPr>
              <w:t>Pojazd wyposażony w silnik o pojemności  min. 2500 cm3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III. ZESPÓŁ PRZENIESIENIA NAPĘDU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Skrzynia biegów automatyczna min. 7 stopniowa, z możliwością automatycznej i manualnej redukcji  biegów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Napęd na jedną oś (tylną) lub przednią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Elektroniczny system stabilizacji toru jazdy (ESP) lub równoważny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System zapobiegający poślizgowi kół osi napędzanej podczas ruszania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IV. ZAWIESZENIE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Gwarantujące dobrą przyczepność kół do nawierzchni, stabilność i manewrowość w trudnym terenie,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 umożliwiające komfortowy przewóz pacjentów ( resory dwupiórowe)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Fabrycznie wzmocniony stabilizator osi przedniej i tylnej, wzmocnione amortyzatory lub fabryczne zawieszenie niezależne 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lang w:val="en-US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  <w:lang w:val="en-US"/>
              </w:rPr>
              <w:lastRenderedPageBreak/>
              <w:t>V. UKŁAD HAMULCOWY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  <w:lang w:val="en-US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lastRenderedPageBreak/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System ABS zapobiegający blokadzie kół 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podczas hamowania.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Elektroniczny system podziału siły hamowania.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System wspomagania nagłego hamowania. 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Hamulce tarczowe na obu osiach (przód i tył)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Asystent ruszania tj. system zapobiegający staczaniu się przy ruszaniu „pod górę”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 xml:space="preserve">VI. </w:t>
            </w: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UKŁAD KIEROWNICZY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Ze wspomaganiem.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Regulowana kolumna kierownicy w dwóch płaszczyznach tj. przód-tył, góra-dół.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VII. INSTALACJA ELEKTRYCZNA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Zespół dwóch  akumulatorów  o łącznej pojemności min. 180 Ah do zasilania wszystkich odbiorników 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prądu.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Fabrycznie wzmocniony alternator o wydajności min. 190A.</w:t>
            </w:r>
          </w:p>
        </w:tc>
      </w:tr>
      <w:tr w:rsidR="00701B0E" w:rsidRPr="00814E84">
        <w:trPr>
          <w:trHeight w:val="284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VIII.  WYPOSAŻENIE  POJAZDU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Wszystkie miejsca siedzące zaopatrzone w bezwładnościowe pasy bezpieczeństwa oraz zagłówki.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Zbiornik paliwa o pojemności min. 70 L.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Poduszki 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powietrzne: kierowcy i pasażera (czołowe i boczne).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Elektryczne otwierane szyby w drzwiach przednich.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Klimatyzacja kabiny kierowcy.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Dzielone wsteczne lusterka  zewnętrzne, elektrycznie podgrzewane i regulowane.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Lusterko wewnętrzne.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Reflektory przeciwmgłowe halogenowe przednie.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Dodatkowe światło hamowania (trzecie).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Trójkąt, gaśnica, apteczka, podnośnik.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Układ wydechowy fabrycznie przystosowany do pełnienia funkcji samochodu specjalnego sanitarnego.</w:t>
            </w:r>
          </w:p>
        </w:tc>
      </w:tr>
      <w:tr w:rsidR="00701B0E" w:rsidRPr="00814E84">
        <w:trPr>
          <w:trHeight w:val="2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12.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 xml:space="preserve">Czujnik deszczu </w:t>
            </w: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dostosowujący szybkość pracy wycieraczek przedniej szyby do intensywności opadów.</w:t>
            </w:r>
          </w:p>
        </w:tc>
      </w:tr>
      <w:tr w:rsidR="00701B0E" w:rsidRPr="00814E84">
        <w:trPr>
          <w:trHeight w:val="302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</w:pPr>
          </w:p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sz w:val="24"/>
                <w:szCs w:val="24"/>
                <w:highlight w:val="white"/>
              </w:rPr>
              <w:t>IX. WYMAGANIA OGÓLNE</w:t>
            </w:r>
          </w:p>
          <w:p w:rsidR="00701B0E" w:rsidRPr="00814E84" w:rsidRDefault="00701B0E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701B0E" w:rsidRPr="00814E84">
        <w:trPr>
          <w:trHeight w:val="30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bCs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sz w:val="24"/>
                <w:szCs w:val="24"/>
                <w:highlight w:val="white"/>
              </w:rPr>
              <w:t>Pojazd  fabrycznie nowy – rok produkcji 2019</w:t>
            </w:r>
          </w:p>
        </w:tc>
      </w:tr>
      <w:tr w:rsidR="00701B0E" w:rsidRPr="00814E84">
        <w:trPr>
          <w:trHeight w:val="30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8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Pr="00814E84" w:rsidRDefault="00814E84" w:rsidP="00814E84">
            <w:pPr>
              <w:shd w:val="clear" w:color="auto" w:fill="FFFFFF" w:themeFill="background1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Asystent martwego punktu pomagający unikać wypadków (rozpoznaje pojazdy w martwym punkcie i </w:t>
            </w:r>
            <w:r w:rsidRPr="00814E8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ostrzega kierowcę sygnałami wizualnymi i dźwiękowymi)</w:t>
            </w:r>
          </w:p>
        </w:tc>
      </w:tr>
      <w:tr w:rsidR="00701B0E" w:rsidRPr="00814E84">
        <w:trPr>
          <w:trHeight w:val="30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84">
              <w:rPr>
                <w:rFonts w:ascii="Times New Roman" w:eastAsia="Tahoma" w:hAnsi="Times New Roman"/>
                <w:b/>
                <w:bCs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Pr="00814E84" w:rsidRDefault="00814E84" w:rsidP="00814E84">
            <w:pPr>
              <w:shd w:val="clear" w:color="auto" w:fill="FFFFFF" w:themeFill="background1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System ostrzegający o możliwości kolizji (wizualnie i dźwiękowo ostrzega o zbyt małym odstępie od innego pojazdu lub przeszkody i za pomocą systemu wspomagania nagłego hamowania wspomaga kierowcę w </w:t>
            </w:r>
            <w:r w:rsidRPr="00814E84">
              <w:rPr>
                <w:rFonts w:ascii="Times New Roman" w:eastAsia="TimesNewRomanPSMT" w:hAnsi="Times New Roman"/>
                <w:sz w:val="24"/>
                <w:szCs w:val="24"/>
                <w:highlight w:val="white"/>
                <w:lang w:eastAsia="pl-PL"/>
              </w:rPr>
              <w:t>gwałtownym hamowaniu)</w:t>
            </w:r>
          </w:p>
        </w:tc>
      </w:tr>
      <w:tr w:rsidR="00701B0E" w:rsidRPr="00814E84">
        <w:trPr>
          <w:trHeight w:val="30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widowControl w:val="0"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0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Pr="00814E84" w:rsidRDefault="00814E84" w:rsidP="00814E84">
            <w:pPr>
              <w:shd w:val="clear" w:color="auto" w:fill="FFFFFF" w:themeFill="background1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Elektryczne wspomaganie domykania drzwi prawych i lewych przesuwnych montowane na etapie produkcji samochodu bazowego</w:t>
            </w:r>
          </w:p>
        </w:tc>
      </w:tr>
    </w:tbl>
    <w:p w:rsidR="00701B0E" w:rsidRPr="00814E84" w:rsidRDefault="00701B0E" w:rsidP="00814E8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highlight w:val="white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0138"/>
      </w:tblGrid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814E84" w:rsidP="00814E84">
            <w:pPr>
              <w:pStyle w:val="Wyliczkreska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szCs w:val="24"/>
                <w:highlight w:val="white"/>
              </w:rPr>
            </w:pPr>
            <w:proofErr w:type="spellStart"/>
            <w:r w:rsidRPr="00814E84">
              <w:rPr>
                <w:b/>
                <w:szCs w:val="24"/>
                <w:highlight w:val="white"/>
              </w:rPr>
              <w:t>Lp</w:t>
            </w:r>
            <w:proofErr w:type="spellEnd"/>
            <w:r w:rsidRPr="00814E84">
              <w:rPr>
                <w:b/>
                <w:szCs w:val="24"/>
                <w:highlight w:val="white"/>
              </w:rPr>
              <w:t>.</w:t>
            </w: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814E84" w:rsidP="00814E84">
            <w:pPr>
              <w:pStyle w:val="Wyliczkreska"/>
              <w:shd w:val="clear" w:color="auto" w:fill="FFFFFF" w:themeFill="background1"/>
              <w:spacing w:line="240" w:lineRule="auto"/>
              <w:ind w:left="0" w:right="79" w:firstLine="0"/>
              <w:jc w:val="center"/>
              <w:rPr>
                <w:szCs w:val="24"/>
                <w:highlight w:val="white"/>
              </w:rPr>
            </w:pPr>
            <w:proofErr w:type="spellStart"/>
            <w:r w:rsidRPr="00814E84">
              <w:rPr>
                <w:b/>
                <w:szCs w:val="24"/>
                <w:highlight w:val="white"/>
              </w:rPr>
              <w:t>Wymagane</w:t>
            </w:r>
            <w:proofErr w:type="spellEnd"/>
            <w:r w:rsidRPr="00814E84">
              <w:rPr>
                <w:b/>
                <w:szCs w:val="24"/>
                <w:highlight w:val="white"/>
              </w:rPr>
              <w:t xml:space="preserve"> </w:t>
            </w:r>
            <w:proofErr w:type="spellStart"/>
            <w:r w:rsidRPr="00814E84">
              <w:rPr>
                <w:b/>
                <w:szCs w:val="24"/>
                <w:highlight w:val="white"/>
              </w:rPr>
              <w:t>parametry</w:t>
            </w:r>
            <w:proofErr w:type="spellEnd"/>
          </w:p>
        </w:tc>
      </w:tr>
      <w:tr w:rsidR="00701B0E" w:rsidRPr="00814E84">
        <w:trPr>
          <w:trHeight w:val="412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701B0E" w:rsidP="00814E84">
            <w:pPr>
              <w:pStyle w:val="Tekstcofnity"/>
              <w:shd w:val="clear" w:color="auto" w:fill="FFFFFF" w:themeFill="background1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highlight w:val="white"/>
                <w:lang w:val="pl-PL"/>
              </w:rPr>
            </w:pPr>
          </w:p>
          <w:p w:rsidR="00701B0E" w:rsidRPr="00814E84" w:rsidRDefault="00814E84" w:rsidP="00814E84">
            <w:pPr>
              <w:pStyle w:val="Tekstcofnity"/>
              <w:shd w:val="clear" w:color="auto" w:fill="FFFFFF" w:themeFill="background1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bCs/>
                <w:szCs w:val="24"/>
                <w:lang w:val="pl-PL"/>
              </w:rPr>
            </w:pPr>
            <w:r w:rsidRPr="00814E84">
              <w:rPr>
                <w:b/>
                <w:bCs/>
                <w:szCs w:val="24"/>
                <w:highlight w:val="white"/>
                <w:lang w:val="pl-PL"/>
              </w:rPr>
              <w:t>Wymogi co do przedmiotu zamówienia w zakresie adaptacji na ambulans sanitarny</w:t>
            </w:r>
          </w:p>
        </w:tc>
      </w:tr>
      <w:tr w:rsidR="00701B0E" w:rsidRP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I.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NADWOZIE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pStyle w:val="Tekstcofnity"/>
              <w:shd w:val="clear" w:color="auto" w:fill="FFFFFF" w:themeFill="background1"/>
              <w:spacing w:line="240" w:lineRule="auto"/>
              <w:ind w:left="71" w:right="130"/>
              <w:rPr>
                <w:szCs w:val="24"/>
                <w:lang w:val="pl-PL"/>
              </w:rPr>
            </w:pPr>
            <w:r w:rsidRPr="00814E84">
              <w:rPr>
                <w:szCs w:val="24"/>
                <w:highlight w:val="white"/>
                <w:lang w:val="pl-PL"/>
              </w:rPr>
              <w:t xml:space="preserve">Minimalne wymiary przedziału medycznego w mm po wykonaniu adaptacji (długość x szerokość x </w:t>
            </w:r>
            <w:r w:rsidRPr="00814E84">
              <w:rPr>
                <w:szCs w:val="24"/>
                <w:highlight w:val="white"/>
                <w:lang w:val="pl-PL"/>
              </w:rPr>
              <w:lastRenderedPageBreak/>
              <w:t xml:space="preserve">wysokość) 3250 x 1700 x 1850  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Drzwi  tylne wyposażone w światła awaryjne, włączające się automatycznie przy otwarciu drzwi.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Ściany boczne przedziału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medycznego mają być przystosowane do zamocowania wyposażenia medycznego, podłoga przystosowana do zamocowania foteli, podstawy pod nosze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Zewnętrzny schowek za lewymi drzwiami przesuwnymi (oddzielony od przedziału medycznego i dostępny z zewnątrz pojazdu)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, z miejscem mocowania min. 2 szt. butli tlenowych 10l, krzesełka kardiologicznego, noszy podbierakowych, materaca próżniowego oraz deski ortopedycznej dla dorosłych. Poprzez drzwi lewe ma być zapewniony dostęp do min. 1 szt. plecaków / toreb medycznych um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ieszczonych w przedziale medycznym (tzw. podwójny dostęp do plecaków/toreb – z przedziału medycznego i z zewnątrz pojazdu)</w:t>
            </w:r>
          </w:p>
        </w:tc>
      </w:tr>
      <w:tr w:rsidR="00701B0E" w:rsidRP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814E84" w:rsidP="00814E8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II. OGRZEWANIE,WENTYLACJA, KLIMATYZACJA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Dodatkowa nagrzewnica w przedziale medycznym wykorzystująca ciecz chłodzącą silnik do ogrzewania przedziału medycznego; 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Postojowe – grzejnik elektryczny z możliwością ustawienia temperatury termostatem i zabezpieczeniem o mocy min. 2.0 kW zasilany  z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sieci 230 V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Niezależne od pracy silnika i układu chłodzenia silnika  dodatkowe ogrzewanie przedziału medycznego, z możliwością ustawienia temperatury i termostatem o mocy min. 5,0  kW tzw. powietrzne 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Wentylacja mechaniczna,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nawiewno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– wywiewna,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zapewniająca prawidłową wentylację przedziału medycznego i zapewniająca wymianę powietrza min 20 razy na godzinę w czasie postoju (proszę podać markę, model i wydajność w m3/h),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Rozbudowa klimatyzacji fabrycznej kabiny kierowcy na przedział medyczny (kli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matyzacja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dwuparownikowa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).</w:t>
            </w:r>
          </w:p>
        </w:tc>
      </w:tr>
      <w:tr w:rsidR="00701B0E" w:rsidRP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1B0E" w:rsidRPr="00814E84" w:rsidRDefault="00814E84" w:rsidP="00814E8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III. INSTALACJA ELEKTRYCZNA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pStyle w:val="tekstcofnity0"/>
              <w:shd w:val="clear" w:color="auto" w:fill="FFFFFF" w:themeFill="background1"/>
              <w:spacing w:line="240" w:lineRule="auto"/>
              <w:ind w:left="71" w:right="130"/>
            </w:pPr>
            <w:r w:rsidRPr="00814E84">
              <w:rPr>
                <w:highlight w:val="white"/>
              </w:rPr>
              <w:t>Instalacja dla napięcia 230V w kompletacji:</w:t>
            </w:r>
          </w:p>
          <w:p w:rsidR="00701B0E" w:rsidRPr="00814E84" w:rsidRDefault="00814E84" w:rsidP="00814E8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minimum trzy gniazda poboru prądu w przedziale medycznym zasilane z gniazda umieszczonego na zewnątrz (na pojeździe ma być zamontowana wizualna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sygnalizacja informująca o podłączeniu ambulansu do sieci 230V),</w:t>
            </w:r>
          </w:p>
          <w:p w:rsidR="00701B0E" w:rsidRPr="00814E84" w:rsidRDefault="00814E84" w:rsidP="00814E8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dodatkowe gniazdo USB na desce rozdzielczej po stronie pasażera</w:t>
            </w:r>
          </w:p>
          <w:p w:rsidR="00701B0E" w:rsidRPr="00814E84" w:rsidRDefault="00814E84" w:rsidP="00814E8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kabel zasilający o długości min. 10m,</w:t>
            </w:r>
          </w:p>
          <w:p w:rsidR="00701B0E" w:rsidRPr="00814E84" w:rsidRDefault="00814E84" w:rsidP="00814E8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zabezpieczenie przed uruchomieniem silnika przy podłączonym zasilaniu 230V,</w:t>
            </w:r>
          </w:p>
          <w:p w:rsidR="00701B0E" w:rsidRPr="00814E84" w:rsidRDefault="00814E84" w:rsidP="00814E8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wyłącznik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przeciwporażeniowy,</w:t>
            </w:r>
          </w:p>
          <w:p w:rsidR="00701B0E" w:rsidRPr="00814E84" w:rsidRDefault="00814E84" w:rsidP="00814E8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:rsidR="00701B0E" w:rsidRPr="00814E84" w:rsidRDefault="00814E84" w:rsidP="00814E8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grzałka w układzie chłodzenia cieczą silnika pojazdu,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 w:rsidP="00814E84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 w:rsidP="00814E84">
            <w:pPr>
              <w:shd w:val="clear" w:color="auto" w:fill="FFFFFF" w:themeFill="background1"/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Instalacja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dla napięcia 12V i oświetlenie przedziału medycznego: </w:t>
            </w:r>
          </w:p>
          <w:p w:rsidR="00701B0E" w:rsidRPr="00814E84" w:rsidRDefault="00814E84" w:rsidP="00814E8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powinna posiadać co najmniej 4 gniazda 12V  zabezpieczonych przed zabrudzeniem / zalaniem wyposażone we wtyki poboru prądu umiejscowione na lewej ścianie,</w:t>
            </w:r>
          </w:p>
          <w:p w:rsidR="00701B0E" w:rsidRPr="00814E84" w:rsidRDefault="00814E84" w:rsidP="00814E8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powinna posiadać minimum 6 punktów oświetlenia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rozproszonego,</w:t>
            </w:r>
          </w:p>
          <w:p w:rsidR="00701B0E" w:rsidRPr="00814E84" w:rsidRDefault="00814E84" w:rsidP="00814E8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powinna posiadać minimum 2 punkty oświetlenia halogenowego z regulacją kąta umieszczone nad noszami,</w:t>
            </w:r>
          </w:p>
          <w:p w:rsidR="00701B0E" w:rsidRPr="00814E84" w:rsidRDefault="00814E84" w:rsidP="00814E8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oświetlenie halogenowe blatu roboczego – minimum 1 punkt,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 w:rsidP="00814E84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 w:rsidP="00814E84">
            <w:pPr>
              <w:shd w:val="clear" w:color="auto" w:fill="FFFFFF" w:themeFill="background1"/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Przedział medyczny ma być wyposażony w </w:t>
            </w:r>
          </w:p>
          <w:p w:rsidR="00701B0E" w:rsidRPr="00814E84" w:rsidRDefault="00814E84" w:rsidP="00814E84">
            <w:pPr>
              <w:shd w:val="clear" w:color="auto" w:fill="FFFFFF" w:themeFill="background1"/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zamontowany na prawej ścianie (przy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fotelu obrotowym) panel sterujący:</w:t>
            </w:r>
          </w:p>
          <w:p w:rsidR="00701B0E" w:rsidRPr="00814E84" w:rsidRDefault="00814E84" w:rsidP="00814E84">
            <w:pPr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informujący o temperaturze w przedziale medycznym oraz na zewnątrz pojazdu</w:t>
            </w:r>
          </w:p>
          <w:p w:rsidR="00701B0E" w:rsidRPr="00814E84" w:rsidRDefault="00814E84" w:rsidP="00814E84">
            <w:pPr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 funkcją zegara (aktualny czas) i kalendarza (dzień, data)</w:t>
            </w:r>
          </w:p>
          <w:p w:rsidR="00701B0E" w:rsidRPr="00814E84" w:rsidRDefault="00814E84" w:rsidP="00814E84">
            <w:pPr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informujący o temperaturze wewnątrz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termoboxu</w:t>
            </w:r>
            <w:proofErr w:type="spellEnd"/>
          </w:p>
          <w:p w:rsidR="00701B0E" w:rsidRPr="00814E84" w:rsidRDefault="00814E84" w:rsidP="00814E84">
            <w:pPr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sterujący oświetleniem przedziału medycz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nego </w:t>
            </w:r>
          </w:p>
          <w:p w:rsidR="00701B0E" w:rsidRPr="00814E84" w:rsidRDefault="00814E84" w:rsidP="00814E84">
            <w:pPr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sterujący systemem wentylacji przedziału medycznego</w:t>
            </w:r>
          </w:p>
          <w:p w:rsidR="00701B0E" w:rsidRPr="00814E84" w:rsidRDefault="00814E84" w:rsidP="00814E84">
            <w:pPr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zarządzający system ogrzewania przedziału medycznego i klimatyzacji przedziału medycznego z funkcją automatycznego utrzymania zadanej temperatury </w:t>
            </w:r>
          </w:p>
          <w:p w:rsidR="00701B0E" w:rsidRPr="00814E84" w:rsidRDefault="00814E84" w:rsidP="00814E84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Zamawiający nie dopuszcza paneli dotykowych typu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to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uchscreen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4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Kabina kierowcy ma być wyposażona w panel sterujący </w:t>
            </w:r>
          </w:p>
          <w:p w:rsidR="00701B0E" w:rsidRPr="00814E84" w:rsidRDefault="00814E84">
            <w:pPr>
              <w:numPr>
                <w:ilvl w:val="1"/>
                <w:numId w:val="8"/>
              </w:numPr>
              <w:shd w:val="clear" w:color="auto" w:fill="FFFF00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informujący kierowcę o działaniu reflektorów zewnętrznych</w:t>
            </w:r>
          </w:p>
          <w:p w:rsidR="00701B0E" w:rsidRPr="00814E84" w:rsidRDefault="00814E84">
            <w:pPr>
              <w:numPr>
                <w:ilvl w:val="1"/>
                <w:numId w:val="8"/>
              </w:numPr>
              <w:shd w:val="clear" w:color="auto" w:fill="FFFF00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informujący kierowcę o braku możliwości uruchomienia pojazdu z powodu  podłączeniu ambulansu do sieci 230 V</w:t>
            </w:r>
          </w:p>
          <w:p w:rsidR="00701B0E" w:rsidRPr="00814E84" w:rsidRDefault="00814E84">
            <w:pPr>
              <w:numPr>
                <w:ilvl w:val="1"/>
                <w:numId w:val="8"/>
              </w:numPr>
              <w:shd w:val="clear" w:color="auto" w:fill="FFFF00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informujący kierowcę o braku możliwości uruchomienia pojazdu z powodu otwartych drzwi między przedziałem medycznym a kabiną kierowcy </w:t>
            </w:r>
          </w:p>
          <w:p w:rsidR="00701B0E" w:rsidRPr="00814E84" w:rsidRDefault="00814E84">
            <w:pPr>
              <w:numPr>
                <w:ilvl w:val="1"/>
                <w:numId w:val="8"/>
              </w:numPr>
              <w:shd w:val="clear" w:color="auto" w:fill="FFFF00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informujący kierowcę o poziomie naładowania akumulatora samochodu bazowego i akumulatora dodatkowego</w:t>
            </w:r>
          </w:p>
          <w:p w:rsidR="00701B0E" w:rsidRPr="00814E84" w:rsidRDefault="00814E84">
            <w:pPr>
              <w:numPr>
                <w:ilvl w:val="1"/>
                <w:numId w:val="8"/>
              </w:numPr>
              <w:shd w:val="clear" w:color="auto" w:fill="FFFF00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ostrzegający kierowcę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(sygnalizacja dźwiękowa) o niedoładowaniu akumulatora samochodu bazowego i akumulatora dodatkowego</w:t>
            </w:r>
          </w:p>
          <w:p w:rsidR="00701B0E" w:rsidRPr="00814E84" w:rsidRDefault="00814E84">
            <w:pPr>
              <w:numPr>
                <w:ilvl w:val="1"/>
                <w:numId w:val="8"/>
              </w:numPr>
              <w:shd w:val="clear" w:color="auto" w:fill="FFFF00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sterujący pracą dodatkowych sygnałów dźwiękowych (awaryjnych)</w:t>
            </w:r>
          </w:p>
          <w:p w:rsidR="00701B0E" w:rsidRPr="00814E84" w:rsidRDefault="00814E84">
            <w:pPr>
              <w:shd w:val="clear" w:color="auto" w:fill="FFFF00"/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Zamawiający nie dopuszcza paneli dotykowych typu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touchscreen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</w:tr>
      <w:tr w:rsidR="00701B0E" w:rsidRPr="00814E84" w:rsidT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IV. SYGNALIZACJA </w:t>
            </w:r>
          </w:p>
          <w:p w:rsidR="00701B0E" w:rsidRPr="00814E84" w:rsidRDefault="00814E84">
            <w:pPr>
              <w:shd w:val="clear" w:color="auto" w:fill="FFFF00"/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ŚWIETLNO –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ab/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DŹWIĘKOWA I OZNAKOWANIE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W przedniej części dachu pojazdu sygnalizacja świetlna typu LED zintegrowana z dachem tj. tworząca jedną bryłę (nie dopuszcza się lamp zespolonych czy też lamp kierunkowych). W sygnalizacji dwa światła robocze LED do oświetlania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miejsca akcji przed ambulansem.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Na wysokości pasa przedniego 2 komplety (w sumie 4 sztuki) niebieskich lamp pulsacyjnych typu LED 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Na błotnikach przednich niebieskie lampy pulsacyjne typu LED (po jednej sztuce z lewej i prawej strony pojazdu).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W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tylnej części dachu pojazdu sygnalizacja świetlna typu LED zintegrowana z dachem tj. tworząca jedną bryłę (nie dopuszcza się lamp zespolonych czy też lamp kierunkowych). W belce zintegrowanej dwa światła robocze typu LED do oświetlania miejsca akcji za amb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ulansem oraz dodatkowe kierunkowskazy.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W przednich reflektorach zamontowane dodatkowe światła typu „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cornerstrob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” lub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cornerleddziałające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wraz z sygnalizacją świetlną z możliwością wyłączenia odrębnym przyciskiem na desce rozdzielczej.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Sygnał dźwiękowy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modulowany o mocy min. 100 W z możliwością podawania komunikatów głosem zgodny z obowiązującymi przepisami 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Dodatkowe sygnały dźwiękowe (awaryjne) pneumatyczne– podać markę i model. Włączane osobnym przyciskiem w łatwo dostępnym i oznaczonym miejscu na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desce rozdzielczej (do uzgodnienia).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Dodatkowe sygnały dźwiękowe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niskotonowe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– podać markę i model. Włączane osobnym przyciskiem w łatwo dostępnym i oznaczonym miejscu na desce rozdzielczej (do uzgodnienia).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9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Oznakowanie pojazdu: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- 3 pasy odblaskowe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zgodnie z Rozporządzeniem Ministra Zdrowia  z dnia 18.10.2010 r. wykonanych z folii: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a) typu 3 barwy czerwonej o szer. min. 15 cm, umieszczony w obszarze pomiędzy linią okien i nadkoli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b) typu 3 barwy czerwonej o szer. min. 15 cm umieszczony wokół dachu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c)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typu 1 lub 3 barwy niebieskiej umieszczony bezpośrednio nad pasem czerwonym (o którym mowa w pkt. „a”) 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z przodu pojazdu napis: zgodnie z Rozporządzeniem Ministra Zdrowia  z dnia 18.10.2010r </w:t>
            </w:r>
          </w:p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oznakowanie symbolem ratownictwa medycznego zgodnie z Rozpo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rządzeniem Ministra Zdrowia z dnia 18.10.2010 r.</w:t>
            </w:r>
          </w:p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po obu bokach pojazdu nadruk barwy czerwonej „S”</w:t>
            </w:r>
          </w:p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nazwa dysponenta jednostki umieszczona po obu bokach pojazdu – do ustalenia</w:t>
            </w:r>
          </w:p>
        </w:tc>
      </w:tr>
      <w:tr w:rsidR="00701B0E" w:rsidRPr="00814E84" w:rsidT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V. WYPOSAŻENIE W ŚRODKI ŁĄCZNOŚCI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0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Na dachu pojazdu antena radiotelefonu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spełniająca następującej wymogi: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zakres częstotliwości -168-170 MHz,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współczynnik fali stojącej -1,6,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- polaryzacja pionowa,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charakterystyka promieniowania –dookólna,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odporność na działanie wiatru min. 55 m/s. 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Antena typu 3089/1 lub równoważna do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radiotelefonu przewoźnego.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0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Wyprowadzenie instalacji elektryczno-antenowej pod system SWD PRM. Adaptery do montażu uchwytów do tabletu oraz drukarki. Dodatkowa antena dachowa dwuzakresowa. Połączenie stacji dokującej z drukarką za pomocą przewodu USB. Ada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pter pod stację dokującą zamontowany w kabinie kierowcy w miejscu łatwo dostępnym, nieutrudniającym korzystania z przełączników zamontowanych na desce rozdzielczej, nie utrudniającym widoczności, nie kolidującym z poduszkami powietrznymi. Adapter pod uchwy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 pod drukarkę zamontowany w przedziale medycznym. Szczegóły do uzgodnienia pod podpisaniu umowy. Stacja dokująca. Uchwyt do drukarki z zasilaczem.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Po stronie Zamawiającego (tablet, drukarka, moduł GPS).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0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Radiotelefon przewoźny typu DM 4601 lub równoważny</w:t>
            </w:r>
          </w:p>
        </w:tc>
      </w:tr>
      <w:tr w:rsidR="00701B0E" w:rsidRPr="00814E84" w:rsidT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VI.  PRZEDZIAŁ MEDYCZNY</w:t>
            </w:r>
          </w:p>
          <w:p w:rsidR="00701B0E" w:rsidRPr="00814E84" w:rsidRDefault="00701B0E">
            <w:pPr>
              <w:shd w:val="clear" w:color="auto" w:fill="FFFF00"/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Antypoślizgowa podłoga, wzmocniona, połączona szczelnie z zabudową ścian.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Ściany boczne i sufit pokryte  tworzywem sztucznym – łatwo zmywalnym i odpornym na środki dezynfekujące, w kolorze białym.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pStyle w:val="Tekstpodstawowywcity"/>
              <w:shd w:val="clear" w:color="auto" w:fill="FFFF00"/>
              <w:suppressAutoHyphens/>
              <w:spacing w:after="0"/>
              <w:ind w:left="71" w:right="130"/>
              <w:rPr>
                <w:rFonts w:ascii="Times New Roman" w:hAnsi="Times New Roman" w:cs="Times New Roman"/>
                <w:color w:val="auto"/>
              </w:rPr>
            </w:pPr>
            <w:r w:rsidRPr="00814E84">
              <w:rPr>
                <w:rFonts w:ascii="Times New Roman" w:hAnsi="Times New Roman" w:cs="Times New Roman"/>
                <w:color w:val="auto"/>
                <w:highlight w:val="white"/>
              </w:rPr>
              <w:t xml:space="preserve">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701B0E" w:rsidRPr="00814E84" w:rsidRDefault="00701B0E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701B0E" w:rsidRPr="00814E84" w:rsidRDefault="00701B0E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701B0E" w:rsidRPr="00814E84" w:rsidRDefault="00701B0E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pStyle w:val="Tekstpodstawowywcity"/>
              <w:shd w:val="clear" w:color="auto" w:fill="FFFF00"/>
              <w:tabs>
                <w:tab w:val="left" w:pos="420"/>
              </w:tabs>
              <w:suppressAutoHyphens/>
              <w:spacing w:after="0"/>
              <w:ind w:left="71" w:right="130"/>
              <w:rPr>
                <w:rFonts w:ascii="Times New Roman" w:hAnsi="Times New Roman" w:cs="Times New Roman"/>
                <w:color w:val="auto"/>
              </w:rPr>
            </w:pPr>
            <w:r w:rsidRPr="00814E84">
              <w:rPr>
                <w:rFonts w:ascii="Times New Roman" w:hAnsi="Times New Roman" w:cs="Times New Roman"/>
                <w:color w:val="auto"/>
                <w:highlight w:val="white"/>
              </w:rPr>
              <w:t>Przy śc</w:t>
            </w:r>
            <w:r w:rsidRPr="00814E84">
              <w:rPr>
                <w:rFonts w:ascii="Times New Roman" w:hAnsi="Times New Roman" w:cs="Times New Roman"/>
                <w:color w:val="auto"/>
                <w:highlight w:val="white"/>
              </w:rPr>
              <w:t>ianie działowej u wezgłowia noszy fotel z systemem przesuwu; obrotowy tj. umożliwiający jazdę tyłem i przodem do kierunku jazdy, ze składanym do pionu siedziskiem, zagłówkiem (regulowanym lub zintegrowanym), bezwładnościowym pasem bezpieczeństwa oraz regul</w:t>
            </w:r>
            <w:r w:rsidRPr="00814E84">
              <w:rPr>
                <w:rFonts w:ascii="Times New Roman" w:hAnsi="Times New Roman" w:cs="Times New Roman"/>
                <w:color w:val="auto"/>
                <w:highlight w:val="white"/>
              </w:rPr>
              <w:t>owanym oparciem pod plecami (regulowany kąt oparcia – podać zakres regulacji). Podać markę i model oferowanego fotela.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Przegroda między kabiną kierowcy a przedziałem medycznym. Przegroda zapewniająca możliwość oddzielenia obu przedziałów oraz komunikację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pomiędzy personelem medycznym a kierowcą, przegroda ma być wyposażona w drzwi przesuwne manualnie(minimalna wysokość przejścia 1800 mm– podać wartość oferowaną) spełniające normę PN EN 1789.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Zabudowa meblowa na ścianach bocznych (lewej i prawej):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zest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awy szafek i półek wykonanych z tworzywa sztucznego, zabezpieczone przed niekontrolowanym wypadnięciem umieszczonych tam przedmiotów, z miejscem mocowania wyposażenia medycznego tj. deska pediatryczna, kamizelka typu KED, szyny Kramera, torba opatrunkowa (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Zamawiający dopuszcza mocowanie w/w sprzętu w schowku zewnętrznym)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półki podsufitowe z przezroczystymi szybkami) i podświetleniem (kolor biały) umożliwiającym podgląd na umieszczone tam przedmioty (na ścianie lewej co najmniej 4 szt., na ścianie prawej c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o najmniej 2 szt.).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na ścianie lewej zamykany schowek na środki psychotropowe z zamkiem szyfrowym.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Zabudowa meblowa na ścianie działowej: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szafka z blatem roboczym wykończonym blachą nierdzewną i cokolikiem, z miejscem na pojemniki na zużyte igły,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strzykawki i z szufladami (min. 2 szt. szuflad)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kosz na śmieci zamontowany w szufladzie otwieranej/zamykanej stopą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Sufitowy uchwyt do kroplówek na min. 4 szt. pojemników.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Sufitowy uchwyt dla personelu medycznego.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Na ścianie lewej szyny wraz z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trzema panelami do mocowania uchwytów dla następujące sprzętu medycznego: defibrylator, respirator, pompa infuzyjna. Panele mają mieć możliwość przesuwania wzdłuż osi pojazdu tj. możliwość rozmieszczenia ww. sprzętu medycznego wg uznania Zamawiającego w ka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żdym momencie eksploatacji.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Uwaga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Zamawiający nie dopuszcza mocowania na stałe uchwytów do ww. sprzętu medycznego bezpośrednio do ściany przedziału medycznego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Centralna instalacja tlenowa (bez butli):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71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</w:t>
            </w:r>
            <w:r w:rsidRPr="00814E8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minimum 2 gniazda poboru tlenu na ścianie lewej monoblokowe typu panelowego – minimum jeden przepływomierz z nawilżaczem do montażu w gnieździe tlenowym 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- 2 szt. reduktorów do butli stacjonarnych 10 l (konstrukcja reduktora umożliwiająca montaż i demontaż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reduktora bez konieczności używania kluczy).</w:t>
            </w:r>
          </w:p>
          <w:p w:rsidR="00701B0E" w:rsidRPr="00814E84" w:rsidRDefault="00814E84">
            <w:pPr>
              <w:shd w:val="clear" w:color="auto" w:fill="FFFF0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Konstrukcja instalacji tlenowej ma zapewnić możliwość swobodnego dostępu do zaworów butli tlenowych 10 l oraz obserwacji manometrów reduktorów tlenowych bez potrzeby zdejmowania osłony.</w:t>
            </w:r>
          </w:p>
          <w:p w:rsidR="00701B0E" w:rsidRPr="00814E84" w:rsidRDefault="00814E84">
            <w:pPr>
              <w:shd w:val="clear" w:color="auto" w:fill="FFFF00"/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Konstrukcja instalacji t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lenowej ma umożliwiać zasilanie paneli tlenowych równocześnie z obu butli tlenowych bez potrzeby zdejmowania osłony.</w:t>
            </w:r>
          </w:p>
          <w:p w:rsidR="00701B0E" w:rsidRPr="00814E84" w:rsidRDefault="00814E84">
            <w:pPr>
              <w:shd w:val="clear" w:color="auto" w:fill="FFFF00"/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- uchwyt do małej butli tlenowej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Dodatkowa centralna instalacja próżniowa z regulacją siły ssania oraz manometrem podciśnienia (w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zabudowie meblowej), zestaw kompletny do użycia – przystosowany do wkładów jednorazowych, wyposażony w odpowiedni słój.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720"/>
                <w:tab w:val="left" w:pos="1364"/>
              </w:tabs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Podstawa (laweta) pod nosze główne posiadająca przesuw boczny, możliwość pochyłu o min. 10 stopni do pozycji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Trendelenburga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i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Antytrendelenburga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, (pozycji drenażowej), z wysuwem na zewnątrz pojazdu umożliwiającym wjazd noszy na lawetę, (podać markę i model, załączyć folder i deklarację zgodności).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Termobox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stacjonarny do ogrzewania płynów infuzyjnych. 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Dodatkowa lodówka (poje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mnik termoizolacyjny) o pojemności min. 1 l wkomponowana w zabudowę meblową, służąca do przewożenia leków wymagających niskich temperatur 3-5 stopni.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1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1" w:right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Ampularium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w formie szafki zamontowane po lewej stronie przedziału medycznego w pobliżu blatu roboczego.</w:t>
            </w:r>
          </w:p>
        </w:tc>
      </w:tr>
      <w:tr w:rsidR="00701B0E" w:rsidRPr="00814E84" w:rsidTr="00814E84">
        <w:trPr>
          <w:trHeight w:val="57"/>
        </w:trPr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VII. WYPOSAŻENIE POJAZDU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B0E" w:rsidRPr="00814E84" w:rsidRDefault="00814E84">
            <w:pPr>
              <w:shd w:val="clear" w:color="auto" w:fill="FFFF00"/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Dodatkowa gaśnica w przedziale medycznym, młotek do wybijania szyb, nóż do przecinania pasów bezpieczeństwa.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Kamera  cofania + umieszczony w kabinie kierowcy monitor w formie lusterka wstecznego.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Radioodtwarzacz CD w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kabinie kierowcy</w:t>
            </w:r>
          </w:p>
        </w:tc>
      </w:tr>
      <w:tr w:rsidR="00701B0E" w:rsidRP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Głośnik w przedziale medycznym podłączony do radia z wyłącznikiem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Czujniki parkowania (przednie + tylne)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Nakładki progowe na drzwi kierowcy i pasażera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Lampka typu </w:t>
            </w:r>
            <w:proofErr w:type="spellStart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kokpilot</w:t>
            </w:r>
            <w:proofErr w:type="spellEnd"/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w kabinie kierowcy po stronie pasażera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Dywaniki gumowe w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kabinie kierowcy dla kierowcy i pasażera</w:t>
            </w:r>
          </w:p>
        </w:tc>
      </w:tr>
      <w:tr w:rsidR="00701B0E" w:rsidRPr="00814E84" w:rsidTr="00814E84">
        <w:trPr>
          <w:trHeight w:val="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701B0E">
            <w:pPr>
              <w:numPr>
                <w:ilvl w:val="0"/>
                <w:numId w:val="12"/>
              </w:numPr>
              <w:shd w:val="clear" w:color="auto" w:fill="FFFF0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Reflektory zewnętrzne, po bokach oraz z tyłu pojazdu, po 2 z każdej strony, ze światłem rozproszonym do oświetlenia miejsca akcji, włączanie i wyłączanie reflektorów zarówno z kabiny kierowcy jak i z przedziału </w:t>
            </w: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medycznego.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Reflektory typu LED.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Reflektory automatycznie wyłączające się po ruszeniu pojazdu i osiągnięciu prędkości 30 km/h.</w:t>
            </w:r>
          </w:p>
          <w:p w:rsidR="00701B0E" w:rsidRPr="00814E84" w:rsidRDefault="00814E84">
            <w:pPr>
              <w:shd w:val="clear" w:color="auto" w:fill="FFFF00"/>
              <w:snapToGrid w:val="0"/>
              <w:spacing w:after="0" w:line="240" w:lineRule="auto"/>
              <w:ind w:left="74" w:right="130"/>
              <w:rPr>
                <w:rFonts w:ascii="Times New Roman" w:hAnsi="Times New Roman"/>
                <w:sz w:val="24"/>
                <w:szCs w:val="24"/>
              </w:rPr>
            </w:pPr>
            <w:r w:rsidRPr="00814E84">
              <w:rPr>
                <w:rFonts w:ascii="Times New Roman" w:hAnsi="Times New Roman"/>
                <w:sz w:val="24"/>
                <w:szCs w:val="24"/>
                <w:highlight w:val="white"/>
              </w:rPr>
              <w:t>Reflektory mają mieć możliwość zdalnego gaszenia z oryginalnego kluczyka (pilota) samochodu bazowego</w:t>
            </w:r>
          </w:p>
        </w:tc>
      </w:tr>
    </w:tbl>
    <w:p w:rsidR="00701B0E" w:rsidRDefault="00701B0E">
      <w:pPr>
        <w:spacing w:after="0" w:line="240" w:lineRule="auto"/>
        <w:jc w:val="both"/>
        <w:rPr>
          <w:rFonts w:ascii="Times New Roman" w:eastAsia="Times New Roman" w:hAnsi="Times New Roman"/>
          <w:highlight w:val="white"/>
          <w:lang w:eastAsia="pl-PL"/>
        </w:rPr>
      </w:pPr>
    </w:p>
    <w:p w:rsidR="00701B0E" w:rsidRDefault="00701B0E">
      <w:pPr>
        <w:spacing w:after="0" w:line="240" w:lineRule="auto"/>
        <w:jc w:val="both"/>
        <w:rPr>
          <w:rFonts w:ascii="Times New Roman" w:eastAsia="Times New Roman" w:hAnsi="Times New Roman"/>
          <w:highlight w:val="white"/>
          <w:lang w:eastAsia="pl-PL"/>
        </w:rPr>
      </w:pPr>
    </w:p>
    <w:p w:rsidR="00701B0E" w:rsidRDefault="00814E8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white"/>
        </w:rPr>
        <w:t xml:space="preserve">- Defibrylator dwufazowy (przenośny) z monitorem wielofunkcyjnym </w:t>
      </w:r>
    </w:p>
    <w:tbl>
      <w:tblPr>
        <w:tblW w:w="10939" w:type="dxa"/>
        <w:tblInd w:w="-6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10202"/>
      </w:tblGrid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vAlign w:val="center"/>
          </w:tcPr>
          <w:p w:rsidR="00701B0E" w:rsidRDefault="00814E84">
            <w:pPr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Lp.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01B0E" w:rsidRDefault="00814E84">
            <w:pPr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PARAMETR / WARUNEK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Zasilanie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bateryjne/akumulatorowe i AC 230 V  50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Hz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+/- 10%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średni czas pracy z baterii (przy monitorowaniu) min. 6 godz.</w:t>
            </w:r>
          </w:p>
        </w:tc>
      </w:tr>
      <w:tr w:rsidR="00701B0E">
        <w:trPr>
          <w:trHeight w:val="45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ilość defibrylacji z energią 200 J </w:t>
            </w:r>
            <w:r>
              <w:rPr>
                <w:rFonts w:ascii="Times New Roman" w:hAnsi="Times New Roman"/>
                <w:color w:val="000000"/>
                <w:highlight w:val="white"/>
              </w:rPr>
              <w:t>przy pracy z baterii min. 400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możliwość ładowania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akumulatorow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z AC 220 V 50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Hz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+/- 10% 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Funkcje / cechy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urządzenie przenośne 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ciężar  monitora z możliwością defibrylacji max. 10 kg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ilość kanałów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ekg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>: min. 12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interpretacja i analiza przebiegu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ekg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w zależności od wieku pacjenta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Pomiar uniesienia odcinka S-T na każdym odprowadzeniu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ekg</w:t>
            </w:r>
            <w:proofErr w:type="spellEnd"/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Min. 8 poziomów wzmocnienia EKG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Monitorowanie funkcji życiowych : SpO2</w:t>
            </w:r>
          </w:p>
          <w:p w:rsidR="00701B0E" w:rsidRDefault="00814E84">
            <w:pPr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white"/>
              </w:rPr>
              <w:t>Pomiar saturacji krwi tętniczej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zakres pomiaru min. 50 -100%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czujnik wielorazowego </w:t>
            </w:r>
            <w:r>
              <w:rPr>
                <w:rFonts w:ascii="Times New Roman" w:hAnsi="Times New Roman"/>
                <w:color w:val="000000"/>
                <w:highlight w:val="white"/>
              </w:rPr>
              <w:t>użytku typu klips na palec dla dorosłych i dzieci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Monitorowanie funkcji życiowych: NIBP </w:t>
            </w:r>
          </w:p>
          <w:p w:rsidR="00701B0E" w:rsidRDefault="00814E84">
            <w:pPr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white"/>
              </w:rPr>
              <w:t>Pomiar ciśnienia metodą nieinwazyjną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zakres pomiaru min. 40 – 210 mm Hg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tryb ręczny i automatyczny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metoda pomiaru : oscylometryczna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701B0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snapToGrid w:val="0"/>
              <w:spacing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Mankiet dla dorosłych – 1 </w:t>
            </w:r>
            <w:r>
              <w:rPr>
                <w:rFonts w:ascii="Times New Roman" w:hAnsi="Times New Roman"/>
                <w:color w:val="000000"/>
                <w:highlight w:val="white"/>
              </w:rPr>
              <w:t>szt. i dla dzieci – 1 szt.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Defibrylacja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19.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łyżki defibrylatora dla dorosłych i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nakadki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pediatryczne dla dzieci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20.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elektrody defibrylująco-stymulująco- monitorujące min. 2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>.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21.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defibrylacja ręczna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22.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defibrylacja półautomatyczna AED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23.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zakres dostarczanej energii min. 5 – 360 J 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24.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ilość poziomów energetycznych dla defibrylacji zewnętrznej: min 22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25.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dwufazowa fala defibrylacji 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26.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K</w:t>
            </w:r>
            <w:r>
              <w:rPr>
                <w:rFonts w:ascii="Times New Roman" w:hAnsi="Times New Roman"/>
                <w:color w:val="000000"/>
                <w:highlight w:val="white"/>
              </w:rPr>
              <w:t>ardiowersja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Stymulacja przezskórna serca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27.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tryb stymulacji na żądanie i asynchroniczna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28.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zakres regulacji częstości impulsów stymulujących min. 50 – 150 / min.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29.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zakres regulacji amplitudy impulsów stymulujących min. 10 -200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mA</w:t>
            </w:r>
            <w:proofErr w:type="spellEnd"/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lastRenderedPageBreak/>
              <w:t>Ekran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30.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przekątna ekranu min. 8 cala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31.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Kolorowy LCD TFT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32.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Funkcja „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sun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view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” – dobrej widoczności w dużym oświetleniu 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>Reanimacja krążeniowo - oddechowa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33.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Metronom do wspierania kompresji klatki piersiowej i oddychania programowany dla min. czterech grup pacjentów (dorośli, dzieci, zaintubowani, </w:t>
            </w:r>
            <w:r>
              <w:rPr>
                <w:rFonts w:ascii="Times New Roman" w:hAnsi="Times New Roman"/>
                <w:color w:val="000000"/>
                <w:highlight w:val="white"/>
              </w:rPr>
              <w:t>niezaintubowani)</w:t>
            </w:r>
          </w:p>
        </w:tc>
      </w:tr>
      <w:tr w:rsidR="00701B0E">
        <w:trPr>
          <w:trHeight w:val="260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Alarmy</w:t>
            </w:r>
          </w:p>
        </w:tc>
      </w:tr>
      <w:tr w:rsidR="00701B0E">
        <w:trPr>
          <w:trHeight w:val="26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34.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alarmy wszystkich monitorowanych funkcji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Drukarka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35.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szerokość papieru min. 90 mm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36.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ilość kanałów jednocześnie drukowanych: min. 3</w:t>
            </w:r>
          </w:p>
        </w:tc>
      </w:tr>
      <w:tr w:rsidR="00701B0E">
        <w:trPr>
          <w:trHeight w:val="2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37.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prędkość przesuwu papieru: min. 2 (25 i 50 mm/sek.)</w:t>
            </w:r>
          </w:p>
        </w:tc>
      </w:tr>
      <w:tr w:rsidR="00701B0E">
        <w:trPr>
          <w:trHeight w:val="233"/>
        </w:trPr>
        <w:tc>
          <w:tcPr>
            <w:tcW w:w="10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01B0E" w:rsidRDefault="00814E84">
            <w:pPr>
              <w:keepNext/>
              <w:overflowPunct w:val="0"/>
              <w:spacing w:line="240" w:lineRule="auto"/>
              <w:jc w:val="center"/>
              <w:textAlignment w:val="baseline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white"/>
              </w:rPr>
              <w:t>Inne wymagania</w:t>
            </w:r>
          </w:p>
        </w:tc>
      </w:tr>
      <w:tr w:rsidR="00701B0E">
        <w:trPr>
          <w:trHeight w:val="69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38.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możliwość </w:t>
            </w:r>
            <w:r>
              <w:rPr>
                <w:rFonts w:ascii="Times New Roman" w:hAnsi="Times New Roman"/>
                <w:color w:val="000000"/>
                <w:highlight w:val="white"/>
              </w:rPr>
              <w:t>archiwizacji przebiegu pracy aparatu, stanu pacjenta, odcinków krzywej EKG wykonanych czynności i wydarzeń w pamięci oraz wydruk tych informacji</w:t>
            </w:r>
          </w:p>
        </w:tc>
      </w:tr>
      <w:tr w:rsidR="00701B0E">
        <w:trPr>
          <w:trHeight w:val="69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39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możliwość transmitowania badań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ekg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i innych danych medycznych z defibrylatora do min. 2 stacji odbiorczych </w:t>
            </w:r>
            <w:r>
              <w:rPr>
                <w:rFonts w:ascii="Times New Roman" w:hAnsi="Times New Roman"/>
                <w:color w:val="000000"/>
                <w:highlight w:val="white"/>
              </w:rPr>
              <w:t>(pracowni hemodynamicznych): Szpital Przemienienia Pańskiego, ul. Długa 1/2, 61-848 Poznań; Wielospecjalistyczny Szpital Miejski im. Józefa Strusia, ul. Szwajcarska 3, 61-285 Poznań; Szpital Kliniczny im. Heliodora Święcickiego, ul. Przybyszewskiego 49, 60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-355 Poznań; Centrum Medyczne HCP Sp. z o.o., ul. 28 Czerwca 1956 r. nr 194, 61-485 Poznań; Szpital w Puszczykowie im. Prof. S.T. Dąbrowskiego S.A., ul. Kraszewskiego, 62-041 Puszczykowo; Pleszewskie Centrum Medyczne w Pleszewie Sp. z o. o., ul. Poznańska 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125A, 63-300 Pleszew  w powszechnie używanym systemie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Lifenet</w:t>
            </w:r>
            <w:proofErr w:type="spellEnd"/>
          </w:p>
        </w:tc>
      </w:tr>
      <w:tr w:rsidR="00701B0E">
        <w:trPr>
          <w:trHeight w:val="26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40.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Odporny na wstrząsy (upadki) i drgania </w:t>
            </w:r>
          </w:p>
        </w:tc>
      </w:tr>
      <w:tr w:rsidR="00701B0E">
        <w:trPr>
          <w:trHeight w:val="27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41.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Test defibrylatora wykonywany na zasilaniu prądem stałym i na zasilaniu za pomocą akumulatorów</w:t>
            </w:r>
          </w:p>
        </w:tc>
      </w:tr>
      <w:tr w:rsidR="00701B0E">
        <w:trPr>
          <w:trHeight w:val="27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42.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Odporność na wilgoć i kurz nie mniejsza niż IP44 </w:t>
            </w:r>
          </w:p>
        </w:tc>
      </w:tr>
      <w:tr w:rsidR="00701B0E">
        <w:trPr>
          <w:trHeight w:val="27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43.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Torba na akcesoria i uchwyt mocujący defibrylator na ścianie ambulansu</w:t>
            </w:r>
          </w:p>
        </w:tc>
      </w:tr>
      <w:tr w:rsidR="00701B0E">
        <w:trPr>
          <w:trHeight w:val="27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44.</w:t>
            </w:r>
          </w:p>
        </w:tc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Impregnowana torba do noszenia na ramieniu z kieszeniami na akcesoria i materiały zużywalne</w:t>
            </w:r>
          </w:p>
        </w:tc>
      </w:tr>
      <w:tr w:rsidR="00701B0E">
        <w:trPr>
          <w:trHeight w:val="270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B0E" w:rsidRDefault="00814E84">
            <w:pPr>
              <w:tabs>
                <w:tab w:val="left" w:pos="360"/>
              </w:tabs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45. </w:t>
            </w:r>
          </w:p>
        </w:tc>
        <w:tc>
          <w:tcPr>
            <w:tcW w:w="10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B0E" w:rsidRDefault="00814E84">
            <w:pPr>
              <w:overflowPunct w:val="0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Rok produkcji sprzętu 2019 </w:t>
            </w:r>
          </w:p>
        </w:tc>
      </w:tr>
    </w:tbl>
    <w:p w:rsidR="00701B0E" w:rsidRDefault="00701B0E">
      <w:pPr>
        <w:spacing w:line="240" w:lineRule="auto"/>
        <w:rPr>
          <w:rFonts w:ascii="Times New Roman" w:hAnsi="Times New Roman"/>
          <w:b/>
          <w:highlight w:val="white"/>
        </w:rPr>
      </w:pPr>
    </w:p>
    <w:p w:rsidR="00701B0E" w:rsidRDefault="00814E8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white"/>
        </w:rPr>
        <w:t>- Nosze główne oraz krzesełko transportowe</w:t>
      </w:r>
    </w:p>
    <w:tbl>
      <w:tblPr>
        <w:tblW w:w="10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0384"/>
      </w:tblGrid>
      <w:tr w:rsidR="00701B0E">
        <w:trPr>
          <w:cantSplit/>
          <w:trHeight w:val="284"/>
          <w:jc w:val="center"/>
        </w:trPr>
        <w:tc>
          <w:tcPr>
            <w:tcW w:w="10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highlight w:val="white"/>
              </w:rPr>
              <w:t xml:space="preserve">Nosze główne 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1.</w:t>
            </w:r>
          </w:p>
        </w:tc>
        <w:tc>
          <w:tcPr>
            <w:tcW w:w="10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Wykonane z materiału odpornego na korozję, lub z materiału zabezpieczonego przed korozją.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2.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Nosze potrójnie łamane z możliwością ustawienia pozycji przeciwwstrząsowej i pozycji </w:t>
            </w:r>
            <w:r>
              <w:rPr>
                <w:rFonts w:ascii="Times New Roman" w:hAnsi="Times New Roman"/>
                <w:highlight w:val="white"/>
              </w:rPr>
              <w:t>zmniejszającej napięcie mięśni brzucha.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lastRenderedPageBreak/>
              <w:t>3.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Przystosowane do prowadzenia reanimacji, wyposażone w twardą płytę na całej długości pod materacem umożliwiającą ustawienie wszystkich dostępnych funkcji.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4.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Z możliwością płynnej regulacji kąta nachylenia </w:t>
            </w:r>
            <w:r>
              <w:rPr>
                <w:rFonts w:ascii="Times New Roman" w:hAnsi="Times New Roman"/>
                <w:highlight w:val="white"/>
              </w:rPr>
              <w:t>oparcia pod plecami do min. 75 stopni.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5.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Wyposażone w podgłówek mocowany bezpośrednio do ramy noszy umożliwiający ich przedłużenie w celu transportu pacjenta o znacznym wzroście.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6.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Uchylny stabilizator głowy pacjenta z możliwością wyjęcia i ułożenia gł</w:t>
            </w:r>
            <w:r>
              <w:rPr>
                <w:rFonts w:ascii="Times New Roman" w:hAnsi="Times New Roman"/>
                <w:highlight w:val="white"/>
              </w:rPr>
              <w:t>owy na wznak do pozycji węszącej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7.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Z zestawem pasów zabezpieczających pacjenta o regulowanej długości mocowanych bezpośrednio do ramy noszy.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8.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Wyposażone w cienki niesprężynujący materac z tworzywa sztucznego umożliwiający ustawienie wszystkich </w:t>
            </w:r>
            <w:r>
              <w:rPr>
                <w:rFonts w:ascii="Times New Roman" w:hAnsi="Times New Roman"/>
                <w:highlight w:val="white"/>
              </w:rPr>
              <w:t>dostępnych pozycji transportowych, o powierzchni antypoślizgowej, nie absorbujący krwi i płynów, odporny na środki dezynfekujące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9.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Ze składanymi wzdłużnie poręczami bocznymi.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10.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Z wysuwanymi rączkami do przenoszenia umieszczonymi z przodu i tyłu noszy.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>11.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Możliwość wprowadzania noszy przodem i tyłem do kierunku jazdy.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  <w:lang w:val="pl-PL"/>
              </w:rPr>
              <w:t>12</w:t>
            </w:r>
            <w:r>
              <w:rPr>
                <w:b/>
                <w:bCs/>
                <w:sz w:val="22"/>
                <w:szCs w:val="22"/>
                <w:highlight w:val="white"/>
                <w:lang w:val="pl-PL"/>
              </w:rPr>
              <w:t>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Fabrycznie zamontowany gumowy odbojnik na całej długości bocznej ramy noszy chroniący przed uszkodzeniami przy otarciach lub uderzeniach podczas przenoszenia lub prowadzenia na </w:t>
            </w:r>
            <w:r>
              <w:rPr>
                <w:rFonts w:ascii="Times New Roman" w:hAnsi="Times New Roman"/>
                <w:highlight w:val="white"/>
              </w:rPr>
              <w:t>transporterze.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13.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Rama noszy wykonana z profili o przekroju prostokątnym (podwyższona wytrzymałość na ekstremalne przeciążenia)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14.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Składany teleskopowo statyw na płyny infuzyjne.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15.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Waga noszy max 23 kg (podać)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16.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Trwałe oznakowanie najlepiej </w:t>
            </w:r>
            <w:r>
              <w:rPr>
                <w:rFonts w:ascii="Times New Roman" w:hAnsi="Times New Roman"/>
                <w:highlight w:val="white"/>
              </w:rPr>
              <w:t>graficzne elementów związanych z obsługą noszy.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17.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Dodatkowy zestaw pasów lub uprzęży służący do transportu małych dzieci.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18.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Maksymalne obciążenie dopuszczalne min. 227 kg (podać)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10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01B0E" w:rsidRDefault="00814E84">
            <w:pPr>
              <w:pStyle w:val="Tekstcofnity"/>
              <w:snapToGrid w:val="0"/>
              <w:spacing w:line="240" w:lineRule="auto"/>
              <w:ind w:left="0" w:right="78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highlight w:val="white"/>
                <w:lang w:val="pl-PL"/>
              </w:rPr>
              <w:t xml:space="preserve">TRANSPORTER NOSZY GŁÓWNYCH o parametrach minimalnych musi </w:t>
            </w:r>
            <w:r>
              <w:rPr>
                <w:b/>
                <w:bCs/>
                <w:sz w:val="22"/>
                <w:szCs w:val="22"/>
                <w:highlight w:val="white"/>
                <w:lang w:val="pl-PL"/>
              </w:rPr>
              <w:t>posiadać/być: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>19.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>20.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Szybki,</w:t>
            </w:r>
            <w:r>
              <w:rPr>
                <w:rFonts w:ascii="Times New Roman" w:hAnsi="Times New Roman"/>
                <w:highlight w:val="white"/>
              </w:rPr>
              <w:t xml:space="preserve"> bezpieczny i łatwy system połączenia z noszami.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21.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Regulacja wysokości w minimum 7 poziomach.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22.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Możliwość ustawienia pozycji drenażowych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Trendelenburga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i Fowlera na minimum trzech poziomach pochylenia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23.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Możliwości zapięcia noszy przodem lub nogami</w:t>
            </w:r>
            <w:r>
              <w:rPr>
                <w:rFonts w:ascii="Times New Roman" w:hAnsi="Times New Roman"/>
                <w:highlight w:val="white"/>
              </w:rPr>
              <w:t xml:space="preserve"> w kierunku jazdy.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24.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Wyposażony w min. 4 kółka obrotowe w zakresie 360 stopni, min. 2 kółka wyposażone w hamulce.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25.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Fabrycznie zamontowany system pozwalający na prowadzenie transportera bokiem przez jedną osobę z dowolnego miejsca na obwodzie transpo</w:t>
            </w:r>
            <w:r>
              <w:rPr>
                <w:rFonts w:ascii="Times New Roman" w:hAnsi="Times New Roman"/>
                <w:highlight w:val="white"/>
              </w:rPr>
              <w:t>rtera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26.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Wszystkie kółka jezdne o średnicy min. 150 mm z blokadą przednich kółek do jazdy na wprost.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27.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 główne uchwyty transportera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28.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Dodatkowe uchylne uchwyty transportera ułatwiające manewrowanie z możliwością odblokowania goleni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29.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Rama </w:t>
            </w:r>
            <w:r>
              <w:rPr>
                <w:rFonts w:ascii="Times New Roman" w:hAnsi="Times New Roman"/>
                <w:highlight w:val="white"/>
              </w:rPr>
              <w:t>transportera wykonana z profili o przekroju prostokątnym (podwyższona wytrzymałość na ekstremalne przeciążenia)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30.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Przyciski blokady goleni kodowane kolorami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31.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Trwałe oznakowanie najlepiej graficzne elementów związanych z obsługą transportera.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32.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Wykonany z materiału odpornego na korozję, lub z materiału zabezpieczonego przed korozją.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33.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Maksymalne obciążenie dopuszczalne transportera min. 227 kg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34.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Waga transportera max 28 kg Dopuszcza się wyższą wagę transportera do max.36 kg  przy ładowności</w:t>
            </w:r>
            <w:r>
              <w:rPr>
                <w:rFonts w:ascii="Times New Roman" w:hAnsi="Times New Roman"/>
                <w:highlight w:val="white"/>
              </w:rPr>
              <w:t xml:space="preserve"> przekraczającej 220 kg, pod warunkiem potwierdzenia zgodności z wymogami normy PN EN 1789 i PN EN 1865, poświadczone odpowiednim dokumentem wystawionym przez niezależną badawczą jednostkę notyfikowaną zgodnie z uprawnieniami wg dyrektywy medycznej 93/42/E</w:t>
            </w:r>
            <w:r>
              <w:rPr>
                <w:rFonts w:ascii="Times New Roman" w:hAnsi="Times New Roman"/>
                <w:highlight w:val="white"/>
              </w:rPr>
              <w:t>EC - dostarczyć przy dostawie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35.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Mocowanie transportera do lawety ambulansu zgodne z wymogami PN EN 1789. Poświadczone odpowiednim dokumentem wystawionym przez niezależną badawczą jednostkę notyfikowaną zgodnie z uprawnieniami wg dyrektywy medycznej 93/4</w:t>
            </w:r>
            <w:r>
              <w:rPr>
                <w:rFonts w:ascii="Times New Roman" w:hAnsi="Times New Roman"/>
                <w:highlight w:val="white"/>
              </w:rPr>
              <w:t>2/EEC- dostarczyć przy dostawie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36.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Na oferowany system transportowy (nosze i transporter), deklaracja zgodności.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10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01B0E" w:rsidRDefault="00814E84">
            <w:pPr>
              <w:pStyle w:val="WW-Tekstpodstawowy2"/>
              <w:snapToGrid w:val="0"/>
              <w:spacing w:before="0" w:line="240" w:lineRule="auto"/>
              <w:jc w:val="left"/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  <w:highlight w:val="white"/>
              </w:rPr>
              <w:t>Krzesełko transportowe płozowe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37.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Wykonane z materiału odpornego na korozję lub z materiału zabezpieczonego przed korozją.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38.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System </w:t>
            </w:r>
            <w:r>
              <w:rPr>
                <w:rFonts w:ascii="Times New Roman" w:hAnsi="Times New Roman"/>
                <w:highlight w:val="white"/>
              </w:rPr>
              <w:t>płozowy do transportu pacjenta po schodach.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39.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Siedzisko i oparcie wykonane z łatwego do mycia i dezynfekcji tworzywa typu ABS odpornego na uszkodzenia.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40.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Możliwość złożenia do transportu w ambulansie.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41.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Wysuwane uchwyty przednie blokowane w min. 3</w:t>
            </w:r>
            <w:r>
              <w:rPr>
                <w:rFonts w:ascii="Times New Roman" w:hAnsi="Times New Roman"/>
                <w:highlight w:val="white"/>
              </w:rPr>
              <w:t xml:space="preserve"> pozycjach.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42.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 koła w tym min 2 obrotowe w zakresie 360°.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43.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Uchylne rączki tylne.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44.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Wysuwany uchwyt ramy oparcia blokowany w min. 2 pozycjach.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43.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Kąt pomiędzy płozami, a ramą krzesełka min. 30°.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44.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Rozstaw zewnętrzny płóz min. 37 cm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45.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Stabilizator głowy pacjenta.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46.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Ruchoma podpórka na stopy pacjenta zapewniająca mu stabilne podparcie, uniemożliwiające ześliźnięcie się stóp pacjenta, o wymiarach min. 240x85 mm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47.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Min. 3 pasy poprzeczne.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48.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Waga krzesełka z systemem płozowym max 14</w:t>
            </w:r>
            <w:r>
              <w:rPr>
                <w:rFonts w:ascii="Times New Roman" w:hAnsi="Times New Roman"/>
                <w:highlight w:val="white"/>
              </w:rPr>
              <w:t xml:space="preserve"> kg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49.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Maksymalne wymiary po złożeniu: 95 cm x 52 cm x max 20 cm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50.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Udźwig min. 227 kg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51.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Deklaracja zgodności  przy dostawie.</w:t>
            </w:r>
          </w:p>
        </w:tc>
      </w:tr>
      <w:tr w:rsidR="00701B0E">
        <w:trPr>
          <w:cantSplit/>
          <w:trHeight w:val="28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pStyle w:val="WW-Tekstpodstawowy2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highlight w:val="white"/>
              </w:rPr>
              <w:t>52.</w:t>
            </w:r>
          </w:p>
        </w:tc>
        <w:tc>
          <w:tcPr>
            <w:tcW w:w="10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0E" w:rsidRDefault="00814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Zgodność z wymogami normy PN EN 1789 i PN EN 1865, poświadczone odpowiednim dokumentem wystawionym przez niezależną </w:t>
            </w:r>
            <w:r>
              <w:rPr>
                <w:rFonts w:ascii="Times New Roman" w:hAnsi="Times New Roman"/>
                <w:highlight w:val="white"/>
              </w:rPr>
              <w:t>badawczą jednostkę notyfikowaną zgodnie z uprawnieniami wg dyrektywy medycznej 93/42/EEC - dostarczyć przy dostawie</w:t>
            </w:r>
          </w:p>
        </w:tc>
      </w:tr>
    </w:tbl>
    <w:p w:rsidR="00701B0E" w:rsidRDefault="00701B0E">
      <w:pPr>
        <w:spacing w:after="0" w:line="240" w:lineRule="auto"/>
        <w:jc w:val="both"/>
        <w:rPr>
          <w:rFonts w:eastAsia="Times New Roman"/>
          <w:bCs/>
          <w:highlight w:val="white"/>
          <w:lang w:eastAsia="pl-PL"/>
        </w:rPr>
      </w:pPr>
    </w:p>
    <w:p w:rsidR="00701B0E" w:rsidRDefault="00814E84">
      <w:pPr>
        <w:spacing w:after="0" w:line="240" w:lineRule="auto"/>
        <w:jc w:val="both"/>
        <w:rPr>
          <w:rFonts w:cs="Calibri"/>
          <w:b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Rękojmia/gwarancja</w:t>
      </w:r>
    </w:p>
    <w:p w:rsidR="00701B0E" w:rsidRDefault="00701B0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1. Wykonawca udziela Zamawiającemu gwarancji i rękojmi na przedmiot zamówienia. 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2. Wykonawca udzieli gwarancji na pojazd bazowy. Okres gwarancji – 24 miesiące bez limitu kilometrów licząc od dnia podpisania protokołu odbioru.  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3. Wykonawca udzieli gwarancji na perforację nadwozia ambulansu. Okres gwarancji – 60 miesięcy, licząc od dn</w:t>
      </w:r>
      <w:r>
        <w:rPr>
          <w:rFonts w:ascii="Times New Roman" w:eastAsia="Times New Roman" w:hAnsi="Times New Roman"/>
          <w:lang w:eastAsia="pl-PL"/>
        </w:rPr>
        <w:t>ia podpisania protokołu odbioru.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4. Wykonawca udzieli gwarancji na nosze, transporter, defibrylator, krzesełko transportowe płozowe. Okres gwarancji – 12 miesięcy. 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5. Warunki gwarancji: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- każdorazowe przedłużenie gwarancji o czas naprawy w okresie gwaranc</w:t>
      </w:r>
      <w:r>
        <w:rPr>
          <w:rFonts w:ascii="Times New Roman" w:eastAsia="Times New Roman" w:hAnsi="Times New Roman"/>
          <w:lang w:eastAsia="pl-PL"/>
        </w:rPr>
        <w:t>ji,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- Wykonawca zobowiązany jest do dokonywania w okresie gwarancji przeglądów i napraw zgodnych z instrukcją obsługi producenta.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- Wykonawca zobowiązany jest do podjęcia działań w celu usunięcia awarii przedmiotu zamówienia nie później niż w ciągu 24 godz</w:t>
      </w:r>
      <w:r>
        <w:rPr>
          <w:rFonts w:ascii="Times New Roman" w:eastAsia="Times New Roman" w:hAnsi="Times New Roman"/>
          <w:lang w:eastAsia="pl-PL"/>
        </w:rPr>
        <w:t>in od momentu telefonicznego zgłoszenia awarii przez Zamawiającego,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- w przypadku trzykrotnej naprawy gwarancyjnej, Wykonawca zobowiązany jest wymienić wadliwy element na nowy.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- maksymalny okres naprawy gwarancyjnej ustala się na 3 dni robocze, liczone od</w:t>
      </w:r>
      <w:r>
        <w:rPr>
          <w:rFonts w:ascii="Times New Roman" w:eastAsia="Times New Roman" w:hAnsi="Times New Roman"/>
          <w:lang w:eastAsia="pl-PL"/>
        </w:rPr>
        <w:t xml:space="preserve"> zgłoszenia awarii przez Zamawiającego. Naprawa na koszt gwaranta. (Za dzień roboczy uważa się dni tygodnia od poniedziałku do piątku, z wyłączeniem dni ustawowo wolnych od pracy).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- w przypadku naprawy gwarancyjnej trwającej powyżej 3 dni roboczych Zamawi</w:t>
      </w:r>
      <w:r>
        <w:rPr>
          <w:rFonts w:ascii="Times New Roman" w:eastAsia="Times New Roman" w:hAnsi="Times New Roman"/>
          <w:lang w:eastAsia="pl-PL"/>
        </w:rPr>
        <w:t xml:space="preserve">ający dopuszcza   wymianę sprzętu na zastępczy o parametrach użytkowych równych lub lepszych sprzętowi naprawianemu. 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6. Wraz z dostawą ambulansu Wykonawca przekaże Zamawiającemu następujące dokumenty: kartę pojazdu, wyciąg ze świadectwa homologacji dla po</w:t>
      </w:r>
      <w:r>
        <w:rPr>
          <w:rFonts w:ascii="Times New Roman" w:eastAsia="Times New Roman" w:hAnsi="Times New Roman"/>
          <w:lang w:eastAsia="pl-PL"/>
        </w:rPr>
        <w:t xml:space="preserve">jazdu bazowego i skompletowanego (po zabudowie), instrukcję obsługi pojazdu, książkę obsługi przeglądów pojazdu, kartę gwarancyjną, wszelkie dokumenty umożliwiające rejestrację pojazdu przez Zamawiającego jako pojazd specjalny. Ponadto Wykonawca przedłoży </w:t>
      </w:r>
      <w:r>
        <w:rPr>
          <w:rFonts w:ascii="Times New Roman" w:eastAsia="Times New Roman" w:hAnsi="Times New Roman"/>
          <w:lang w:eastAsia="pl-PL"/>
        </w:rPr>
        <w:t xml:space="preserve">deklarację zgodności i inne dokumenty, o których mowa w opisie poszczególnego sprzętu stanowiącego wyposażenie karetki tj. krzesełka, noszy oraz defibrylatora. 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7. Wykonawca zapewni możliwość zakupu części zamiennych w okresie pięciu lat od podpisania prot</w:t>
      </w:r>
      <w:r>
        <w:rPr>
          <w:rFonts w:ascii="Times New Roman" w:eastAsia="Times New Roman" w:hAnsi="Times New Roman"/>
          <w:lang w:eastAsia="pl-PL"/>
        </w:rPr>
        <w:t xml:space="preserve">okołu odbioru. 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8.</w:t>
      </w:r>
      <w:r>
        <w:rPr>
          <w:rFonts w:ascii="Times New Roman" w:eastAsia="Times New Roman" w:hAnsi="Times New Roman"/>
          <w:lang w:eastAsia="ar-SA"/>
        </w:rPr>
        <w:t>Po dostarczeniu ambulansu wraz z wyposażeniem oraz wszelkimi wymaganymi dokumentami Wykonawca zobowiązuje się jest do współpracy z Zamawiającym w trakcie procesu rejestracji ambulansu</w:t>
      </w: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>. W szczególności zobowiązuje się do uzupełnienia wszel</w:t>
      </w:r>
      <w:r>
        <w:rPr>
          <w:rFonts w:ascii="Times New Roman" w:eastAsia="Times New Roman" w:hAnsi="Times New Roman"/>
          <w:lang w:eastAsia="ar-SA"/>
        </w:rPr>
        <w:t>kich dokumentów wymaganych przez instytucje państwowe.</w:t>
      </w:r>
    </w:p>
    <w:p w:rsidR="00701B0E" w:rsidRDefault="00814E84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ar-SA"/>
        </w:rPr>
        <w:t xml:space="preserve">9. Wymagany przez Zamawiającego sprzęt musi być fabrycznie nowy, rok produkcji sprzętu – 2019 rok. </w:t>
      </w:r>
    </w:p>
    <w:p w:rsidR="00701B0E" w:rsidRDefault="00814E8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br w:type="page"/>
      </w:r>
    </w:p>
    <w:p w:rsidR="00701B0E" w:rsidRDefault="00814E84">
      <w:pPr>
        <w:spacing w:after="0" w:line="240" w:lineRule="auto"/>
        <w:ind w:right="-284"/>
      </w:pPr>
      <w:r>
        <w:rPr>
          <w:rFonts w:cs="Calibri"/>
        </w:rPr>
        <w:lastRenderedPageBreak/>
        <w:tab/>
      </w:r>
    </w:p>
    <w:sectPr w:rsidR="00701B0E">
      <w:pgSz w:w="11906" w:h="16838"/>
      <w:pgMar w:top="993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2238"/>
    <w:multiLevelType w:val="multilevel"/>
    <w:tmpl w:val="E01A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B2DBF"/>
    <w:multiLevelType w:val="multilevel"/>
    <w:tmpl w:val="7BC0F75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10D76"/>
    <w:multiLevelType w:val="multilevel"/>
    <w:tmpl w:val="1904F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340E7"/>
    <w:multiLevelType w:val="multilevel"/>
    <w:tmpl w:val="4DDC7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6C74BC"/>
    <w:multiLevelType w:val="multilevel"/>
    <w:tmpl w:val="39746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909C4"/>
    <w:multiLevelType w:val="multilevel"/>
    <w:tmpl w:val="CFF45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C97B8B"/>
    <w:multiLevelType w:val="multilevel"/>
    <w:tmpl w:val="B680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10185B"/>
    <w:multiLevelType w:val="multilevel"/>
    <w:tmpl w:val="237C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64876004"/>
    <w:multiLevelType w:val="multilevel"/>
    <w:tmpl w:val="A24609D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01F83"/>
    <w:multiLevelType w:val="multilevel"/>
    <w:tmpl w:val="53A687F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0" w15:restartNumberingAfterBreak="0">
    <w:nsid w:val="6CEE40A3"/>
    <w:multiLevelType w:val="multilevel"/>
    <w:tmpl w:val="CDCE0C8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76460"/>
    <w:multiLevelType w:val="multilevel"/>
    <w:tmpl w:val="0C5C7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983940"/>
    <w:multiLevelType w:val="multilevel"/>
    <w:tmpl w:val="2B024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E"/>
    <w:rsid w:val="00701B0E"/>
    <w:rsid w:val="008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0A987-AF2D-4FDF-9E70-77464669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qFormat/>
    <w:rsid w:val="00A800C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D7132F"/>
  </w:style>
  <w:style w:type="character" w:customStyle="1" w:styleId="ListLabel1">
    <w:name w:val="ListLabel 1"/>
    <w:qFormat/>
    <w:rsid w:val="00A725F4"/>
    <w:rPr>
      <w:rFonts w:ascii="Times New Roman" w:eastAsia="Times New Roman" w:hAnsi="Times New Roman" w:cs="Calibri"/>
    </w:rPr>
  </w:style>
  <w:style w:type="character" w:customStyle="1" w:styleId="ListLabel2">
    <w:name w:val="ListLabel 2"/>
    <w:qFormat/>
    <w:rsid w:val="00A725F4"/>
    <w:rPr>
      <w:rFonts w:ascii="Times New Roman" w:eastAsia="Times New Roman" w:hAnsi="Times New Roman" w:cs="Calibri"/>
    </w:rPr>
  </w:style>
  <w:style w:type="character" w:customStyle="1" w:styleId="ListLabel3">
    <w:name w:val="ListLabel 3"/>
    <w:qFormat/>
    <w:rsid w:val="00A725F4"/>
    <w:rPr>
      <w:rFonts w:eastAsia="Tahoma" w:cs="Times New Roman"/>
    </w:rPr>
  </w:style>
  <w:style w:type="character" w:customStyle="1" w:styleId="ListLabel4">
    <w:name w:val="ListLabel 4"/>
    <w:qFormat/>
    <w:rsid w:val="00A725F4"/>
    <w:rPr>
      <w:rFonts w:cs="Courier New"/>
    </w:rPr>
  </w:style>
  <w:style w:type="character" w:customStyle="1" w:styleId="ListLabel5">
    <w:name w:val="ListLabel 5"/>
    <w:qFormat/>
    <w:rsid w:val="00A725F4"/>
    <w:rPr>
      <w:rFonts w:cs="Courier New"/>
    </w:rPr>
  </w:style>
  <w:style w:type="character" w:customStyle="1" w:styleId="ListLabel6">
    <w:name w:val="ListLabel 6"/>
    <w:qFormat/>
    <w:rsid w:val="00A725F4"/>
    <w:rPr>
      <w:rFonts w:cs="Courier New"/>
    </w:rPr>
  </w:style>
  <w:style w:type="character" w:customStyle="1" w:styleId="ListLabel7">
    <w:name w:val="ListLabel 7"/>
    <w:qFormat/>
    <w:rsid w:val="00A725F4"/>
    <w:rPr>
      <w:rFonts w:eastAsia="Tahoma" w:cs="Times New Roman"/>
    </w:rPr>
  </w:style>
  <w:style w:type="character" w:customStyle="1" w:styleId="ListLabel8">
    <w:name w:val="ListLabel 8"/>
    <w:qFormat/>
    <w:rsid w:val="00A725F4"/>
    <w:rPr>
      <w:rFonts w:cs="Courier New"/>
    </w:rPr>
  </w:style>
  <w:style w:type="character" w:customStyle="1" w:styleId="ListLabel9">
    <w:name w:val="ListLabel 9"/>
    <w:qFormat/>
    <w:rsid w:val="00A725F4"/>
    <w:rPr>
      <w:rFonts w:cs="Courier New"/>
    </w:rPr>
  </w:style>
  <w:style w:type="character" w:customStyle="1" w:styleId="ListLabel10">
    <w:name w:val="ListLabel 10"/>
    <w:qFormat/>
    <w:rsid w:val="00A725F4"/>
    <w:rPr>
      <w:rFonts w:cs="Courier New"/>
    </w:rPr>
  </w:style>
  <w:style w:type="character" w:customStyle="1" w:styleId="ListLabel11">
    <w:name w:val="ListLabel 11"/>
    <w:qFormat/>
    <w:rsid w:val="00A725F4"/>
    <w:rPr>
      <w:rFonts w:eastAsia="Times New Roman" w:cs="Times New Roman"/>
    </w:rPr>
  </w:style>
  <w:style w:type="character" w:customStyle="1" w:styleId="ListLabel12">
    <w:name w:val="ListLabel 12"/>
    <w:qFormat/>
    <w:rsid w:val="00A725F4"/>
    <w:rPr>
      <w:rFonts w:cs="Courier New"/>
    </w:rPr>
  </w:style>
  <w:style w:type="character" w:customStyle="1" w:styleId="ListLabel13">
    <w:name w:val="ListLabel 13"/>
    <w:qFormat/>
    <w:rsid w:val="00A725F4"/>
    <w:rPr>
      <w:rFonts w:cs="Courier New"/>
    </w:rPr>
  </w:style>
  <w:style w:type="character" w:customStyle="1" w:styleId="ListLabel14">
    <w:name w:val="ListLabel 14"/>
    <w:qFormat/>
    <w:rsid w:val="00A725F4"/>
    <w:rPr>
      <w:rFonts w:cs="Courier New"/>
    </w:rPr>
  </w:style>
  <w:style w:type="character" w:customStyle="1" w:styleId="ListLabel15">
    <w:name w:val="ListLabel 15"/>
    <w:qFormat/>
    <w:rsid w:val="00A725F4"/>
    <w:rPr>
      <w:rFonts w:eastAsia="Tahoma" w:cs="Times New Roman"/>
    </w:rPr>
  </w:style>
  <w:style w:type="character" w:customStyle="1" w:styleId="ListLabel16">
    <w:name w:val="ListLabel 16"/>
    <w:qFormat/>
    <w:rsid w:val="00A725F4"/>
    <w:rPr>
      <w:rFonts w:cs="Courier New"/>
    </w:rPr>
  </w:style>
  <w:style w:type="character" w:customStyle="1" w:styleId="ListLabel17">
    <w:name w:val="ListLabel 17"/>
    <w:qFormat/>
    <w:rsid w:val="00A725F4"/>
    <w:rPr>
      <w:rFonts w:cs="Courier New"/>
    </w:rPr>
  </w:style>
  <w:style w:type="character" w:customStyle="1" w:styleId="ListLabel18">
    <w:name w:val="ListLabel 18"/>
    <w:qFormat/>
    <w:rsid w:val="00A725F4"/>
    <w:rPr>
      <w:rFonts w:cs="Courier New"/>
    </w:rPr>
  </w:style>
  <w:style w:type="character" w:customStyle="1" w:styleId="WW8Num2z0">
    <w:name w:val="WW8Num2z0"/>
    <w:qFormat/>
    <w:rsid w:val="00A725F4"/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eastAsia="Times New Roman" w:cs="Calibri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eastAsia="Times New Roman" w:cs="Calibri"/>
    </w:rPr>
  </w:style>
  <w:style w:type="character" w:customStyle="1" w:styleId="ListLabel24">
    <w:name w:val="ListLabel 24"/>
    <w:qFormat/>
    <w:rPr>
      <w:rFonts w:eastAsia="Times New Roman" w:cs="Calibri"/>
    </w:rPr>
  </w:style>
  <w:style w:type="paragraph" w:styleId="Nagwek">
    <w:name w:val="header"/>
    <w:basedOn w:val="Normalny"/>
    <w:next w:val="Tekstpodstawowy"/>
    <w:qFormat/>
    <w:rsid w:val="00A725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725F4"/>
    <w:pPr>
      <w:spacing w:after="140"/>
    </w:pPr>
  </w:style>
  <w:style w:type="paragraph" w:styleId="Lista">
    <w:name w:val="List"/>
    <w:basedOn w:val="Tekstpodstawowy"/>
    <w:rsid w:val="00A725F4"/>
    <w:rPr>
      <w:rFonts w:cs="Mangal"/>
    </w:rPr>
  </w:style>
  <w:style w:type="paragraph" w:customStyle="1" w:styleId="Legenda1">
    <w:name w:val="Legenda1"/>
    <w:basedOn w:val="Normalny"/>
    <w:qFormat/>
    <w:rsid w:val="00A72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5F4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0C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A800CD"/>
    <w:pPr>
      <w:spacing w:after="0" w:line="360" w:lineRule="auto"/>
      <w:ind w:left="720" w:hanging="180"/>
    </w:pPr>
    <w:rPr>
      <w:rFonts w:ascii="Times New Roman" w:eastAsia="Arial Unicode MS" w:hAnsi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qFormat/>
    <w:rsid w:val="00A800CD"/>
    <w:pPr>
      <w:ind w:left="540" w:firstLine="0"/>
    </w:pPr>
  </w:style>
  <w:style w:type="paragraph" w:customStyle="1" w:styleId="tekstcofnity0">
    <w:name w:val="tekstcofnity"/>
    <w:basedOn w:val="Normalny"/>
    <w:qFormat/>
    <w:rsid w:val="00A800CD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46F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725F4"/>
    <w:pPr>
      <w:suppressLineNumbers/>
    </w:pPr>
  </w:style>
  <w:style w:type="paragraph" w:customStyle="1" w:styleId="Nagwektabeli">
    <w:name w:val="Nagłówek tabeli"/>
    <w:basedOn w:val="Zawartotabeli"/>
    <w:qFormat/>
    <w:rsid w:val="00A725F4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qFormat/>
    <w:rsid w:val="00A725F4"/>
    <w:pPr>
      <w:suppressAutoHyphens/>
      <w:spacing w:before="120" w:after="0"/>
      <w:jc w:val="both"/>
    </w:pPr>
    <w:rPr>
      <w:b/>
      <w:bCs/>
      <w:sz w:val="25"/>
    </w:rPr>
  </w:style>
  <w:style w:type="numbering" w:customStyle="1" w:styleId="WW8Num2">
    <w:name w:val="WW8Num2"/>
    <w:qFormat/>
    <w:rsid w:val="00A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4074</Words>
  <Characters>24446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do oferty</vt:lpstr>
    </vt:vector>
  </TitlesOfParts>
  <Company/>
  <LinksUpToDate>false</LinksUpToDate>
  <CharactersWithSpaces>28464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do oferty</dc:title>
  <dc:subject/>
  <dc:creator>Daniel Rydian</dc:creator>
  <dc:description/>
  <cp:lastModifiedBy>Filip Waligóra</cp:lastModifiedBy>
  <cp:revision>2</cp:revision>
  <dcterms:created xsi:type="dcterms:W3CDTF">2019-08-09T16:42:00Z</dcterms:created>
  <dcterms:modified xsi:type="dcterms:W3CDTF">2019-08-09T16:42:00Z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