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557D955B" w:rsidR="00D11272" w:rsidRPr="00A63C09" w:rsidRDefault="00D11272" w:rsidP="00BA5657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BA5657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>ZO/2</w:t>
      </w:r>
      <w:r w:rsidRPr="00BA5657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 xml:space="preserve">USŁUGA PRZYGOTOWANIA ŚCIEŻKI LEKTORSKIEJ i AUDIODESKRYPCJI WRAZ Z NOŚNIKIEM DCP / BLU – RAY ORAZ PRZYGOTOWANIE NAPISÓW, DO 9 UTWORÓW AUDIOWIZUALNYCH DLA OSÓB Z NIEPEŁNOSPRAWNOŚCIAMI SŁUCHU I WZROKU, </w:t>
      </w:r>
      <w:bookmarkStart w:id="0" w:name="_GoBack"/>
      <w:bookmarkEnd w:id="0"/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>W RAMACH PROJEKTU „KINO OTWARTE” DLA CENTRUM KULTURY ZAMEK W POZNANIU</w:t>
      </w:r>
      <w:r w:rsidR="00E66459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Pr="00760C58" w:rsidRDefault="00D11272" w:rsidP="00D11272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FFB66FC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D11272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20AADADA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E66459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F9DC62F" w14:textId="4C9FA16F" w:rsidR="00D11272" w:rsidRPr="00E66459" w:rsidRDefault="00D11272" w:rsidP="00E66459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E66459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AC17" w14:textId="77777777" w:rsidR="00032CF0" w:rsidRDefault="00032CF0" w:rsidP="009F1122">
      <w:r>
        <w:separator/>
      </w:r>
    </w:p>
  </w:endnote>
  <w:endnote w:type="continuationSeparator" w:id="0">
    <w:p w14:paraId="63DBF3E7" w14:textId="77777777" w:rsidR="00032CF0" w:rsidRDefault="00032CF0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F2788CF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A5657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64D6" w14:textId="77777777" w:rsidR="00032CF0" w:rsidRDefault="00032CF0" w:rsidP="009F1122">
      <w:r>
        <w:separator/>
      </w:r>
    </w:p>
  </w:footnote>
  <w:footnote w:type="continuationSeparator" w:id="0">
    <w:p w14:paraId="6B925682" w14:textId="77777777" w:rsidR="00032CF0" w:rsidRDefault="00032CF0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4A2107E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 w:rsidRPr="00E66459">
      <w:rPr>
        <w:rFonts w:ascii="Century Gothic" w:hAnsi="Century Gothic"/>
        <w:b/>
        <w:i/>
        <w:sz w:val="16"/>
        <w:szCs w:val="16"/>
      </w:rPr>
      <w:t>Załącznik nr 2</w:t>
    </w:r>
    <w:r w:rsidR="00EA7F87" w:rsidRPr="00E66459">
      <w:rPr>
        <w:rFonts w:ascii="Century Gothic" w:hAnsi="Century Gothic"/>
        <w:b/>
        <w:i/>
        <w:sz w:val="16"/>
        <w:szCs w:val="16"/>
      </w:rPr>
      <w:t xml:space="preserve"> do </w:t>
    </w:r>
    <w:r w:rsidR="00D11272" w:rsidRPr="00E66459">
      <w:rPr>
        <w:rFonts w:ascii="Century Gothic" w:hAnsi="Century Gothic"/>
        <w:b/>
        <w:i/>
        <w:sz w:val="16"/>
        <w:szCs w:val="16"/>
      </w:rPr>
      <w:t>ZO/</w:t>
    </w:r>
    <w:r w:rsidR="00D41D14" w:rsidRPr="00E66459">
      <w:rPr>
        <w:rFonts w:ascii="Century Gothic" w:hAnsi="Century Gothic"/>
        <w:b/>
        <w:i/>
        <w:sz w:val="16"/>
        <w:szCs w:val="16"/>
      </w:rPr>
      <w:t>2</w:t>
    </w:r>
    <w:r w:rsidR="00BA5657">
      <w:rPr>
        <w:rFonts w:ascii="Century Gothic" w:hAnsi="Century Gothic"/>
        <w:b/>
        <w:i/>
        <w:sz w:val="16"/>
        <w:szCs w:val="16"/>
      </w:rPr>
      <w:t>/2023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32CF0"/>
    <w:rsid w:val="00034DB2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0275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8B1"/>
    <w:rsid w:val="002A1E23"/>
    <w:rsid w:val="002B6FEB"/>
    <w:rsid w:val="002D47B2"/>
    <w:rsid w:val="002E08BF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661A7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96E6E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A5657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41BF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10A4"/>
    <w:rsid w:val="00E43446"/>
    <w:rsid w:val="00E45028"/>
    <w:rsid w:val="00E52541"/>
    <w:rsid w:val="00E63996"/>
    <w:rsid w:val="00E63ECE"/>
    <w:rsid w:val="00E65DB8"/>
    <w:rsid w:val="00E66459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2023-01-10T08:56:00Z</dcterms:modified>
</cp:coreProperties>
</file>