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B8F7A" w14:textId="77777777" w:rsidR="000D4965" w:rsidRPr="002D021F" w:rsidRDefault="000D4965" w:rsidP="000D4965">
      <w:pPr>
        <w:pStyle w:val="Nagwek5"/>
        <w:rPr>
          <w:rFonts w:ascii="Times New Roman" w:hAnsi="Times New Roman"/>
        </w:rPr>
      </w:pPr>
      <w:bookmarkStart w:id="0" w:name="_Hlk93937406"/>
      <w:r w:rsidRPr="002D021F">
        <w:rPr>
          <w:rFonts w:ascii="Times New Roman" w:hAnsi="Times New Roman"/>
        </w:rPr>
        <w:t>Część III – Opis przedmiotu zamówienia</w:t>
      </w:r>
    </w:p>
    <w:p w14:paraId="1549CC90" w14:textId="6E6BAA91" w:rsidR="000D4965" w:rsidRPr="00DC1CE7" w:rsidRDefault="000D4965" w:rsidP="00DC1CE7">
      <w:pPr>
        <w:pStyle w:val="Tekstpodstawowy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CZĘŚĆ NR 1</w:t>
      </w:r>
    </w:p>
    <w:p w14:paraId="4B960004" w14:textId="1EE60E7C" w:rsidR="00C363E6" w:rsidRDefault="008B27B9" w:rsidP="00C363E6">
      <w:pPr>
        <w:jc w:val="both"/>
      </w:pPr>
      <w:r>
        <w:t>Przedmiotem zamówienia jest dostawa modułowego systemu wystawienniczego</w:t>
      </w:r>
      <w:r w:rsidR="005C0538">
        <w:t xml:space="preserve"> do zastosowań wewnętrznych</w:t>
      </w:r>
      <w:r w:rsidR="007C673B">
        <w:t>,</w:t>
      </w:r>
      <w:r>
        <w:t xml:space="preserve"> umożliwiającego dowolną konfigurację </w:t>
      </w:r>
      <w:r w:rsidR="005C0538">
        <w:t>jego elementów składowych. System ten ma mieć charakter mobilny, czyli pozwalać na jego szybki, wielokrotny montaż</w:t>
      </w:r>
      <w:r w:rsidR="00B31A42">
        <w:t>,</w:t>
      </w:r>
      <w:r w:rsidR="005C0538">
        <w:t xml:space="preserve"> demontaż oraz transport</w:t>
      </w:r>
      <w:r w:rsidR="00B31A42">
        <w:t xml:space="preserve"> w sposób, który nie będzie powodował uszczerbku dla stanu technicznego systemu. </w:t>
      </w:r>
    </w:p>
    <w:p w14:paraId="55E970A7" w14:textId="459096B1" w:rsidR="00B15D27" w:rsidRPr="00176DC9" w:rsidRDefault="00B15D27" w:rsidP="00B25F8E">
      <w:pPr>
        <w:ind w:firstLine="708"/>
        <w:jc w:val="both"/>
        <w:rPr>
          <w:color w:val="FF0000"/>
        </w:rPr>
      </w:pPr>
      <w:r>
        <w:t>Z uwagi na fakt, iż system ma pełnić zarówno funkcję przegrody dzielącej przestrzeń jak i umożliwiać ekspozycję grafik, które mimo iż umieszczone w oddzielnych modułach tworzyć będą spójną całość</w:t>
      </w:r>
      <w:r w:rsidR="00EE06D1">
        <w:t xml:space="preserve"> –  moduły muszą być</w:t>
      </w:r>
      <w:r w:rsidR="00C363E6">
        <w:t xml:space="preserve"> w całości</w:t>
      </w:r>
      <w:r w:rsidR="00EE06D1">
        <w:t xml:space="preserve"> dwustronnie wypełnione płytą umożliwiającą wykonanie na niej wysokiej jakości </w:t>
      </w:r>
      <w:r w:rsidR="002B48DE">
        <w:t>na</w:t>
      </w:r>
      <w:r w:rsidR="00EE06D1">
        <w:t xml:space="preserve">druku </w:t>
      </w:r>
      <w:r w:rsidR="002B48DE">
        <w:t xml:space="preserve">techniką druku </w:t>
      </w:r>
      <w:r w:rsidR="00EE06D1">
        <w:t>bezpośredniego</w:t>
      </w:r>
      <w:r w:rsidR="00554FCA">
        <w:t xml:space="preserve">. Sposób osadzenia wypełnienia w konstrukcji modułu ma pozwolić na uzyskanie maksymalnie jednorodnej powierzchni zestawionych modułów, tzn. </w:t>
      </w:r>
      <w:r w:rsidR="00176DC9">
        <w:t xml:space="preserve">widoczne </w:t>
      </w:r>
      <w:r w:rsidR="00554FCA">
        <w:t xml:space="preserve">elementy konstrukcyjne </w:t>
      </w:r>
      <w:r w:rsidR="00A62E92">
        <w:t>na płaszczyźnie ekspozycyjnej</w:t>
      </w:r>
      <w:r w:rsidR="00176DC9">
        <w:t xml:space="preserve"> nie mogą być szersze niż po 3 mm z każdej strony)</w:t>
      </w:r>
      <w:r w:rsidR="007C673B">
        <w:t>.</w:t>
      </w:r>
      <w:r w:rsidR="00554FCA">
        <w:t xml:space="preserve"> </w:t>
      </w:r>
      <w:r w:rsidR="00176DC9" w:rsidRPr="000A17CC">
        <w:t>Wypełnienie modułu nie może być mocowane do jego konstrukcji z użyciem wkrętów lub innych widocznych łączników</w:t>
      </w:r>
      <w:r w:rsidR="00105F80" w:rsidRPr="000A17CC">
        <w:t xml:space="preserve">. Należy zastosować taką technikę łączenia, aby zapewnić trwałość połączenia, a jednocześnie jego estetykę, tzn. mocowanie </w:t>
      </w:r>
      <w:r w:rsidR="000A17CC" w:rsidRPr="000A17CC">
        <w:t xml:space="preserve">nie może być widoczne. </w:t>
      </w:r>
    </w:p>
    <w:p w14:paraId="2DE6CB2A" w14:textId="27BCA21A" w:rsidR="009F7CB9" w:rsidRDefault="002B48DE" w:rsidP="00B25F8E">
      <w:pPr>
        <w:ind w:firstLine="708"/>
        <w:jc w:val="both"/>
      </w:pPr>
      <w:r>
        <w:t>System ma składać się z modułów o</w:t>
      </w:r>
      <w:r w:rsidRPr="002B48DE">
        <w:t xml:space="preserve"> </w:t>
      </w:r>
      <w:r>
        <w:t xml:space="preserve">wymiarach 100x200 cm (szerokość x wysokość) wykonanych </w:t>
      </w:r>
      <w:r w:rsidRPr="00D37830">
        <w:t xml:space="preserve"> </w:t>
      </w:r>
      <w:r>
        <w:t xml:space="preserve">z </w:t>
      </w:r>
      <w:r w:rsidRPr="00D37830">
        <w:t>lekkich i sztywnych profil</w:t>
      </w:r>
      <w:r>
        <w:t>i</w:t>
      </w:r>
      <w:r w:rsidRPr="00D37830">
        <w:t xml:space="preserve"> aluminiowych, anodowanych w kolorze srebrny mat</w:t>
      </w:r>
      <w:r>
        <w:t xml:space="preserve">, które pozwalają na jednostronny lub dwustronny montaż wypełnienia z płyty </w:t>
      </w:r>
      <w:proofErr w:type="spellStart"/>
      <w:r>
        <w:t>pcv</w:t>
      </w:r>
      <w:proofErr w:type="spellEnd"/>
      <w:r>
        <w:t>. Profile muszą posiadać rozwiązania, które umożliwiają poprowadzenie w nich w sposób niewidoczny przewodów elektrycznych or</w:t>
      </w:r>
      <w:r w:rsidR="00B27FA9">
        <w:t xml:space="preserve">az przewodów audio, a także umożliwiać montaż oświetlenia i innych akcesoriów, tak aby nie ingerować w konstrukcję modułu. </w:t>
      </w:r>
    </w:p>
    <w:p w14:paraId="0AA3832F" w14:textId="560493D6" w:rsidR="00C5196E" w:rsidRPr="00C5196E" w:rsidRDefault="00C5196E" w:rsidP="00B25F8E">
      <w:pPr>
        <w:ind w:firstLine="708"/>
        <w:jc w:val="both"/>
        <w:rPr>
          <w:b/>
          <w:bCs/>
        </w:rPr>
      </w:pPr>
      <w:r>
        <w:t xml:space="preserve">Z uwagi, iż system będzie wielokrotnie montowany, demontowany i przewożony, jego montaż ma być możliwy bez użycia narzędzi. Elementy względem siebie muszą być więc stabilizowane przy użyciu śrub motylkowych lub innych podobnych rozwiązań technicznych, pozwalających maksymalnie skrócić czas montażu. </w:t>
      </w:r>
      <w:r w:rsidRPr="00C5196E">
        <w:rPr>
          <w:b/>
          <w:bCs/>
        </w:rPr>
        <w:t>(Pozycja nr 1 w specyfikacji)</w:t>
      </w:r>
    </w:p>
    <w:p w14:paraId="46A12FF6" w14:textId="30B9D885" w:rsidR="00C458A5" w:rsidRPr="00E4564C" w:rsidRDefault="00B27FA9" w:rsidP="00C458A5">
      <w:pPr>
        <w:ind w:firstLine="708"/>
        <w:jc w:val="both"/>
        <w:rPr>
          <w:b/>
          <w:bCs/>
        </w:rPr>
      </w:pPr>
      <w:r>
        <w:t xml:space="preserve">Moduły muszą umożliwiać ich łączenie zarówno </w:t>
      </w:r>
      <w:r w:rsidR="0056228A">
        <w:t>w linii prostej jak i pod kątem w sposób, który zapewni dużą sztywność i stabilność konstrukcji</w:t>
      </w:r>
      <w:r w:rsidR="007C673B">
        <w:t>,</w:t>
      </w:r>
      <w:r w:rsidR="0056228A">
        <w:t xml:space="preserve"> przy jednoczesnym zachowaniu oczekiwanych przez Zamawiającego walorów estetycznych, tzn. elementy konstrukcyjne będą jak najmniej widoczne</w:t>
      </w:r>
      <w:r w:rsidR="009F7CB9">
        <w:t xml:space="preserve"> i pozwolą na uzyskanie możliwie najbardziej jednorodnej powierzchni ekspozycyjnej. Wchodzące w skład systemu łączniki muszą umożliwiać dowolne zestawienie modułów w zależności od potrzeb</w:t>
      </w:r>
      <w:r w:rsidR="003A1807">
        <w:t xml:space="preserve"> (w linii prostej, na planie krzyża, trójkąta, oraz litery U, T i L</w:t>
      </w:r>
      <w:r w:rsidR="00A33376">
        <w:t xml:space="preserve">, </w:t>
      </w:r>
      <w:r w:rsidR="00801102">
        <w:t xml:space="preserve">a także </w:t>
      </w:r>
      <w:r w:rsidR="00A33376">
        <w:t>pod kątem</w:t>
      </w:r>
      <w:r w:rsidR="00801102">
        <w:t xml:space="preserve"> rozwartym</w:t>
      </w:r>
      <w:r w:rsidR="003A1807">
        <w:t xml:space="preserve">). </w:t>
      </w:r>
      <w:r w:rsidR="009F7CB9">
        <w:t xml:space="preserve"> </w:t>
      </w:r>
      <w:r w:rsidR="003A1807">
        <w:t>W celu zabezpieczenia modułów przed uszkodzeniem ramy konstrukcji muszą być wyposażone w stopy umieszczone na spodzie dolnej części ramy, tak by rama nie dotykała bezpośrednio podłoża.</w:t>
      </w:r>
      <w:r w:rsidR="00E4564C">
        <w:t xml:space="preserve"> </w:t>
      </w:r>
      <w:r w:rsidR="00E4564C" w:rsidRPr="00C5196E">
        <w:rPr>
          <w:b/>
          <w:bCs/>
        </w:rPr>
        <w:t xml:space="preserve">(Pozycja nr </w:t>
      </w:r>
      <w:r w:rsidR="00E4564C">
        <w:rPr>
          <w:b/>
          <w:bCs/>
        </w:rPr>
        <w:t>2</w:t>
      </w:r>
      <w:r w:rsidR="00E4564C" w:rsidRPr="00C5196E">
        <w:rPr>
          <w:b/>
          <w:bCs/>
        </w:rPr>
        <w:t xml:space="preserve"> </w:t>
      </w:r>
      <w:r w:rsidR="00E4564C">
        <w:rPr>
          <w:b/>
          <w:bCs/>
        </w:rPr>
        <w:t xml:space="preserve">i 3 </w:t>
      </w:r>
      <w:r w:rsidR="00E4564C" w:rsidRPr="00C5196E">
        <w:rPr>
          <w:b/>
          <w:bCs/>
        </w:rPr>
        <w:t>w specyfikacji)</w:t>
      </w:r>
    </w:p>
    <w:p w14:paraId="22F542C9" w14:textId="0EE348D4" w:rsidR="00527F92" w:rsidRPr="00E4564C" w:rsidRDefault="00DE4D47" w:rsidP="00E4564C">
      <w:pPr>
        <w:ind w:firstLine="708"/>
        <w:jc w:val="both"/>
        <w:rPr>
          <w:b/>
          <w:bCs/>
        </w:rPr>
      </w:pPr>
      <w:r>
        <w:lastRenderedPageBreak/>
        <w:t xml:space="preserve">W związku z faktem, iż Zamawiający zakłada możliwość </w:t>
      </w:r>
      <w:r w:rsidRPr="00DE4D47">
        <w:t xml:space="preserve">ustawiania ram jako </w:t>
      </w:r>
      <w:r w:rsidR="00A33376">
        <w:t>moduł</w:t>
      </w:r>
      <w:r w:rsidR="007C673B">
        <w:t>ów</w:t>
      </w:r>
      <w:r w:rsidRPr="00DE4D47">
        <w:t xml:space="preserve"> wolnostojąc</w:t>
      </w:r>
      <w:r w:rsidR="007C673B">
        <w:t>ych</w:t>
      </w:r>
      <w:r w:rsidRPr="00DE4D47">
        <w:t xml:space="preserve">, lub w linii prostej, </w:t>
      </w:r>
      <w:r>
        <w:t>zestaw musi być wyposażony w stabilizujące konstrukcję</w:t>
      </w:r>
      <w:r w:rsidRPr="00DE4D47">
        <w:t xml:space="preserve"> </w:t>
      </w:r>
      <w:r>
        <w:t>podstawy stalowe, których budowa będzie wpisywała się w ideę</w:t>
      </w:r>
      <w:r w:rsidR="00527F92">
        <w:t>, by wszystkie elementy konstrukcyjne były jak najmniej widoczne.</w:t>
      </w:r>
      <w:r w:rsidR="00E4564C">
        <w:t xml:space="preserve"> </w:t>
      </w:r>
      <w:r w:rsidR="00E4564C" w:rsidRPr="00C5196E">
        <w:rPr>
          <w:b/>
          <w:bCs/>
        </w:rPr>
        <w:t xml:space="preserve">(Pozycja nr </w:t>
      </w:r>
      <w:r w:rsidR="00E4564C">
        <w:rPr>
          <w:b/>
          <w:bCs/>
        </w:rPr>
        <w:t>4</w:t>
      </w:r>
      <w:r w:rsidR="00E4564C" w:rsidRPr="00C5196E">
        <w:rPr>
          <w:b/>
          <w:bCs/>
        </w:rPr>
        <w:t xml:space="preserve"> w specyfikacji)</w:t>
      </w:r>
    </w:p>
    <w:bookmarkEnd w:id="0"/>
    <w:p w14:paraId="22C1AD06" w14:textId="46743F63" w:rsidR="00B25F8E" w:rsidRDefault="00A17A1C" w:rsidP="00E4564C">
      <w:pPr>
        <w:ind w:firstLine="708"/>
        <w:jc w:val="both"/>
        <w:rPr>
          <w:b/>
          <w:bCs/>
        </w:rPr>
      </w:pPr>
      <w:r>
        <w:t>W celu ułatwienia transportu i zabezpieczenia ram przed uszkodzeniem</w:t>
      </w:r>
      <w:r w:rsidR="0065315D">
        <w:t xml:space="preserve"> podczas przewożenia</w:t>
      </w:r>
      <w:r w:rsidR="007C673B">
        <w:t>,</w:t>
      </w:r>
      <w:r w:rsidR="0065315D">
        <w:t xml:space="preserve"> system musi być wyposażony w dedykowane metalowe wózki do przewozu i zabezpieczenia ram. Wózki te muszą zapewniać także ochronę przed kurzem i czynnikami zewnętrznymi, takimi jak słońce i opady atmosferyczne</w:t>
      </w:r>
      <w:r w:rsidR="00227A41">
        <w:t xml:space="preserve"> (osłona wózka nie musi być jego integralną częścią)</w:t>
      </w:r>
      <w:r w:rsidR="0065315D">
        <w:t xml:space="preserve">. </w:t>
      </w:r>
      <w:r w:rsidR="00DE4D47">
        <w:t>W skład systemu muszą wchodzić także dedykowane dla elementów systemu skrzynie wykonane z drewna, materiałów drewnopodobnych lub tworzywa sztucznego, które pozwolą na transport i zabezpieczenie wszystkich elementów montażowych.</w:t>
      </w:r>
      <w:r w:rsidR="00E4564C">
        <w:t xml:space="preserve"> </w:t>
      </w:r>
      <w:r w:rsidR="00E4564C" w:rsidRPr="00C5196E">
        <w:rPr>
          <w:b/>
          <w:bCs/>
        </w:rPr>
        <w:t xml:space="preserve">(Pozycja nr </w:t>
      </w:r>
      <w:r w:rsidR="00E4564C">
        <w:rPr>
          <w:b/>
          <w:bCs/>
        </w:rPr>
        <w:t xml:space="preserve">5 i 6 </w:t>
      </w:r>
      <w:r w:rsidR="00E4564C" w:rsidRPr="00C5196E">
        <w:rPr>
          <w:b/>
          <w:bCs/>
        </w:rPr>
        <w:t>w specyfikacji)</w:t>
      </w:r>
    </w:p>
    <w:p w14:paraId="74B09E44" w14:textId="68828351" w:rsidR="00C458A5" w:rsidRPr="00B21700" w:rsidRDefault="00C458A5" w:rsidP="00E4564C">
      <w:pPr>
        <w:ind w:firstLine="708"/>
        <w:jc w:val="both"/>
      </w:pPr>
      <w:r w:rsidRPr="00B21700">
        <w:t>Uzupełnieniem systemu będą przeszklone, zamykane na klucz gabloty przeznaczone do ekspozycji reprodukcji książek lub prezentacji drobnych eksponatów o wymiarach</w:t>
      </w:r>
      <w:r w:rsidR="00B21700" w:rsidRPr="00B21700">
        <w:t xml:space="preserve"> </w:t>
      </w:r>
      <w:r w:rsidR="0066445D">
        <w:t>około 30x40 cm i wysokości kopuły nie większej niż 20 cm.</w:t>
      </w:r>
      <w:r w:rsidRPr="00B21700">
        <w:t xml:space="preserve"> </w:t>
      </w:r>
      <w:r w:rsidR="00B21700">
        <w:t xml:space="preserve">Konstrukcja gablot zapewniać ma maksymalną widoczność eksponowanych przedmiotów, w związku z tym profile konstrukcyjne mogą znajdować się jedynie od strony, która będzie mocowana do płyty. </w:t>
      </w:r>
      <w:r w:rsidRPr="00B21700">
        <w:t xml:space="preserve">Gabloty muszą być mocowane do konstrukcji ram w sposób niewidoczny, </w:t>
      </w:r>
      <w:r w:rsidR="00B21700" w:rsidRPr="00B21700">
        <w:t xml:space="preserve">do gablot muszą być dołączone wszystkie niezbędne elementy montażowe. </w:t>
      </w:r>
      <w:r w:rsidR="00230D50">
        <w:t xml:space="preserve">Kolor profili szary. </w:t>
      </w:r>
      <w:r w:rsidR="00694223" w:rsidRPr="00694223">
        <w:rPr>
          <w:b/>
          <w:bCs/>
        </w:rPr>
        <w:t>(Pozycja nr 7 w specyfikacji)</w:t>
      </w:r>
    </w:p>
    <w:p w14:paraId="33CF8A34" w14:textId="77777777" w:rsidR="00B8495B" w:rsidRPr="002D021F" w:rsidRDefault="003A1807" w:rsidP="00B8495B">
      <w:pPr>
        <w:widowControl w:val="0"/>
        <w:autoSpaceDE w:val="0"/>
        <w:autoSpaceDN w:val="0"/>
        <w:adjustRightInd w:val="0"/>
        <w:jc w:val="both"/>
        <w:rPr>
          <w:b/>
        </w:rPr>
      </w:pPr>
      <w:r>
        <w:t xml:space="preserve"> </w:t>
      </w:r>
      <w:r w:rsidR="00B8495B" w:rsidRPr="002D021F">
        <w:rPr>
          <w:b/>
        </w:rPr>
        <w:t>Wymagane parametry przedmiotu zamówienia.</w:t>
      </w:r>
    </w:p>
    <w:p w14:paraId="5D4BF752" w14:textId="27BD88D1" w:rsidR="00B8495B" w:rsidRPr="002D021F" w:rsidRDefault="00B8495B" w:rsidP="00B8495B">
      <w:pPr>
        <w:jc w:val="both"/>
      </w:pPr>
      <w:r w:rsidRPr="002D021F">
        <w:t xml:space="preserve">Poniższe tabele z parametrami wymaganymi musi wypełnić </w:t>
      </w:r>
      <w:r>
        <w:t xml:space="preserve">Wykonawca i dołączyć do oferty. </w:t>
      </w:r>
      <w:r w:rsidRPr="002D021F">
        <w:t>Parametry podane w tabeli</w:t>
      </w:r>
      <w:r w:rsidRPr="002D021F">
        <w:rPr>
          <w:b/>
        </w:rPr>
        <w:t xml:space="preserve"> </w:t>
      </w:r>
      <w:r w:rsidRPr="002D021F">
        <w:t xml:space="preserve">stanowią </w:t>
      </w:r>
      <w:r w:rsidRPr="002D021F">
        <w:rPr>
          <w:b/>
          <w:u w:val="single"/>
        </w:rPr>
        <w:t>minimalne</w:t>
      </w:r>
      <w:r w:rsidRPr="002D021F">
        <w:t xml:space="preserve"> wymagania graniczne (odcinające), których niespełnienie spowoduje odrzucenie oferty. Brak wpisu w rubryce </w:t>
      </w:r>
      <w:r w:rsidRPr="002D021F">
        <w:rPr>
          <w:b/>
        </w:rPr>
        <w:t>„Parametry oferowane”</w:t>
      </w:r>
      <w:r w:rsidRPr="002D021F">
        <w:t xml:space="preserve"> zostanie potraktowany jako niespełnienie parametru skutkujące odrzuceniem oferty.</w:t>
      </w:r>
    </w:p>
    <w:p w14:paraId="3B74D95B" w14:textId="14B9B7DE" w:rsidR="000D4965" w:rsidRPr="00DC1CE7" w:rsidRDefault="000D4965" w:rsidP="00DC1CE7">
      <w:pPr>
        <w:ind w:firstLine="708"/>
        <w:jc w:val="both"/>
      </w:pPr>
    </w:p>
    <w:p w14:paraId="1DAC330D" w14:textId="77777777" w:rsidR="000D4965" w:rsidRPr="002D021F" w:rsidRDefault="000D4965" w:rsidP="000D4965">
      <w:pPr>
        <w:pStyle w:val="Nagwek1"/>
        <w:spacing w:before="0" w:after="0"/>
        <w:rPr>
          <w:rFonts w:ascii="Times New Roman" w:hAnsi="Times New Roman"/>
          <w:color w:val="000000"/>
          <w:sz w:val="22"/>
          <w:szCs w:val="22"/>
        </w:rPr>
      </w:pPr>
      <w:r w:rsidRPr="002D021F">
        <w:rPr>
          <w:rFonts w:ascii="Times New Roman" w:hAnsi="Times New Roman"/>
          <w:color w:val="000000"/>
          <w:sz w:val="22"/>
          <w:szCs w:val="22"/>
        </w:rPr>
        <w:t xml:space="preserve">ZESTAWIENIE PARAMETRÓW TECHNICZNYCH </w:t>
      </w:r>
    </w:p>
    <w:p w14:paraId="722F2D58" w14:textId="77777777" w:rsidR="000D4965" w:rsidRPr="002D021F" w:rsidRDefault="000D4965" w:rsidP="000D4965">
      <w:pPr>
        <w:pStyle w:val="Nagwek2"/>
        <w:rPr>
          <w:rFonts w:ascii="Times New Roman" w:hAnsi="Times New Roman"/>
          <w:b w:val="0"/>
          <w:sz w:val="22"/>
          <w:szCs w:val="22"/>
        </w:rPr>
      </w:pPr>
      <w:r w:rsidRPr="002D021F">
        <w:rPr>
          <w:rFonts w:ascii="Times New Roman" w:hAnsi="Times New Roman"/>
          <w:b w:val="0"/>
          <w:sz w:val="22"/>
          <w:szCs w:val="22"/>
        </w:rPr>
        <w:t xml:space="preserve">Producent: </w:t>
      </w:r>
    </w:p>
    <w:p w14:paraId="16EB8EF2" w14:textId="77777777" w:rsidR="000D4965" w:rsidRPr="002D021F" w:rsidRDefault="000D4965" w:rsidP="000D4965">
      <w:pPr>
        <w:pStyle w:val="Tekstpodstawowy"/>
        <w:rPr>
          <w:sz w:val="22"/>
          <w:szCs w:val="22"/>
        </w:rPr>
      </w:pPr>
      <w:r w:rsidRPr="002D021F">
        <w:rPr>
          <w:sz w:val="22"/>
          <w:szCs w:val="22"/>
        </w:rPr>
        <w:t xml:space="preserve">Urządzenie typ : </w:t>
      </w:r>
    </w:p>
    <w:p w14:paraId="65D784B2" w14:textId="77777777" w:rsidR="000D4965" w:rsidRPr="002D021F" w:rsidRDefault="000D4965" w:rsidP="000D4965">
      <w:pPr>
        <w:pStyle w:val="Tekstpodstawowy"/>
        <w:rPr>
          <w:sz w:val="22"/>
          <w:szCs w:val="22"/>
        </w:rPr>
      </w:pPr>
      <w:r w:rsidRPr="002D021F">
        <w:rPr>
          <w:sz w:val="22"/>
          <w:szCs w:val="22"/>
        </w:rPr>
        <w:t xml:space="preserve">Kraj pochodzenia : </w:t>
      </w:r>
    </w:p>
    <w:p w14:paraId="74B0C708" w14:textId="2D3675F2" w:rsidR="000D4965" w:rsidRPr="00096CC3" w:rsidRDefault="000D4965" w:rsidP="000D4965">
      <w:r w:rsidRPr="00096CC3">
        <w:t xml:space="preserve">Rok produkcji : </w:t>
      </w:r>
      <w:r w:rsidR="00B8495B">
        <w:t xml:space="preserve"> min.</w:t>
      </w:r>
      <w:bookmarkStart w:id="1" w:name="_GoBack"/>
      <w:bookmarkEnd w:id="1"/>
      <w:r w:rsidRPr="00096CC3">
        <w:t>2021</w:t>
      </w:r>
    </w:p>
    <w:p w14:paraId="3CD06289" w14:textId="77777777" w:rsidR="000D4965" w:rsidRPr="002D021F" w:rsidRDefault="000D4965" w:rsidP="000D4965">
      <w:pPr>
        <w:pStyle w:val="Tekstpodstawowy"/>
        <w:rPr>
          <w:sz w:val="22"/>
          <w:szCs w:val="22"/>
        </w:rPr>
      </w:pPr>
    </w:p>
    <w:tbl>
      <w:tblPr>
        <w:tblW w:w="143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701"/>
        <w:gridCol w:w="4564"/>
      </w:tblGrid>
      <w:tr w:rsidR="000D4965" w:rsidRPr="002D021F" w14:paraId="0DA5EEBB" w14:textId="77777777" w:rsidTr="00807AE6">
        <w:tc>
          <w:tcPr>
            <w:tcW w:w="851" w:type="dxa"/>
            <w:vAlign w:val="center"/>
          </w:tcPr>
          <w:p w14:paraId="2160F983" w14:textId="77777777" w:rsidR="000D4965" w:rsidRPr="002D021F" w:rsidRDefault="000D4965" w:rsidP="00807AE6">
            <w:pPr>
              <w:pStyle w:val="Nagwek8"/>
              <w:rPr>
                <w:sz w:val="22"/>
                <w:szCs w:val="22"/>
              </w:rPr>
            </w:pPr>
            <w:r w:rsidRPr="002D021F">
              <w:rPr>
                <w:sz w:val="22"/>
                <w:szCs w:val="22"/>
              </w:rPr>
              <w:lastRenderedPageBreak/>
              <w:t>LP.</w:t>
            </w:r>
          </w:p>
        </w:tc>
        <w:tc>
          <w:tcPr>
            <w:tcW w:w="7229" w:type="dxa"/>
            <w:vAlign w:val="center"/>
          </w:tcPr>
          <w:p w14:paraId="2050E4F8" w14:textId="77777777" w:rsidR="000D4965" w:rsidRPr="002D021F" w:rsidRDefault="000D4965" w:rsidP="00807AE6">
            <w:pPr>
              <w:pStyle w:val="Nagwek8"/>
              <w:rPr>
                <w:sz w:val="22"/>
                <w:szCs w:val="22"/>
              </w:rPr>
            </w:pPr>
            <w:r w:rsidRPr="002D021F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5A6CB16B" w14:textId="77777777" w:rsidR="000D4965" w:rsidRPr="002D021F" w:rsidRDefault="000D4965" w:rsidP="00807AE6">
            <w:pPr>
              <w:pStyle w:val="Nagwek8"/>
              <w:rPr>
                <w:sz w:val="22"/>
                <w:szCs w:val="22"/>
              </w:rPr>
            </w:pPr>
            <w:r w:rsidRPr="002D021F">
              <w:rPr>
                <w:sz w:val="22"/>
                <w:szCs w:val="22"/>
              </w:rPr>
              <w:t>PARAMETRY WYMAGANE</w:t>
            </w:r>
          </w:p>
        </w:tc>
        <w:tc>
          <w:tcPr>
            <w:tcW w:w="4564" w:type="dxa"/>
            <w:vAlign w:val="center"/>
          </w:tcPr>
          <w:p w14:paraId="16DF3FF9" w14:textId="77777777" w:rsidR="000D4965" w:rsidRPr="002D021F" w:rsidRDefault="000D4965" w:rsidP="00807AE6">
            <w:pPr>
              <w:pStyle w:val="Nagwek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PARAMETR OFEROWANY</w:t>
            </w:r>
          </w:p>
        </w:tc>
      </w:tr>
      <w:tr w:rsidR="000D4965" w:rsidRPr="002D021F" w14:paraId="64877289" w14:textId="77777777" w:rsidTr="00807AE6">
        <w:trPr>
          <w:trHeight w:val="90"/>
        </w:trPr>
        <w:tc>
          <w:tcPr>
            <w:tcW w:w="851" w:type="dxa"/>
          </w:tcPr>
          <w:p w14:paraId="31C4230C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4C815628" w14:textId="49E9171E" w:rsidR="000D4965" w:rsidRPr="002D021F" w:rsidRDefault="000D4965" w:rsidP="000D4965">
            <w:pPr>
              <w:rPr>
                <w:b/>
              </w:rPr>
            </w:pPr>
            <w:r w:rsidRPr="000D4965">
              <w:t xml:space="preserve">Moduł złożony z ramy aluminiowej anodowanej w kolorze srebrny mat z dwustronnym wypełnieniem </w:t>
            </w:r>
            <w:proofErr w:type="spellStart"/>
            <w:r w:rsidRPr="000D4965">
              <w:t>pcv</w:t>
            </w:r>
            <w:proofErr w:type="spellEnd"/>
            <w:r w:rsidRPr="000D4965">
              <w:t xml:space="preserve"> o jakości umożliwiającej druk metodą nadruku bezpośredniego. Rama wyposażona w stopy separujące ramę od podłoża. Wymiar zewnętrzny modułu 100 cm x 200 cm</w:t>
            </w:r>
            <w:r>
              <w:t>. Liczba sztuk: 12</w:t>
            </w:r>
          </w:p>
        </w:tc>
        <w:tc>
          <w:tcPr>
            <w:tcW w:w="1701" w:type="dxa"/>
          </w:tcPr>
          <w:p w14:paraId="18D30B5C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73677F31" w14:textId="77777777" w:rsidR="000D4965" w:rsidRPr="002D021F" w:rsidRDefault="000D4965" w:rsidP="00807AE6">
            <w:pPr>
              <w:rPr>
                <w:color w:val="000000"/>
              </w:rPr>
            </w:pPr>
          </w:p>
        </w:tc>
      </w:tr>
      <w:tr w:rsidR="000D4965" w:rsidRPr="002D021F" w14:paraId="60E9B73D" w14:textId="77777777" w:rsidTr="00807AE6">
        <w:trPr>
          <w:trHeight w:val="175"/>
        </w:trPr>
        <w:tc>
          <w:tcPr>
            <w:tcW w:w="851" w:type="dxa"/>
          </w:tcPr>
          <w:p w14:paraId="3B41D5CD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</w:tcPr>
          <w:p w14:paraId="67B3DFC1" w14:textId="74520AEF" w:rsidR="000D4965" w:rsidRPr="002D021F" w:rsidRDefault="000D4965" w:rsidP="00807AE6">
            <w:pPr>
              <w:rPr>
                <w:b/>
                <w:bCs/>
              </w:rPr>
            </w:pPr>
            <w:r w:rsidRPr="000D4965">
              <w:t>Łącznik lub komplet łączników (w zależności od przyjętego rozwiązania technicznego) umożliwiający zestawienie modułów (połączenie ram aluminiowych) pod kątem prostym. Kolor srebrny</w:t>
            </w:r>
            <w:r>
              <w:t>. Liczba sztuk: 6</w:t>
            </w:r>
          </w:p>
        </w:tc>
        <w:tc>
          <w:tcPr>
            <w:tcW w:w="1701" w:type="dxa"/>
          </w:tcPr>
          <w:p w14:paraId="7A9BD77C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47A6B139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6D53CCB7" w14:textId="77777777" w:rsidTr="00807AE6">
        <w:trPr>
          <w:trHeight w:val="175"/>
        </w:trPr>
        <w:tc>
          <w:tcPr>
            <w:tcW w:w="851" w:type="dxa"/>
          </w:tcPr>
          <w:p w14:paraId="01278FB5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</w:tcPr>
          <w:p w14:paraId="65C0BF7C" w14:textId="525C3464" w:rsidR="000D4965" w:rsidRPr="002D021F" w:rsidRDefault="000D4965" w:rsidP="00807AE6">
            <w:pPr>
              <w:rPr>
                <w:b/>
                <w:bCs/>
              </w:rPr>
            </w:pPr>
            <w:r w:rsidRPr="000D4965">
              <w:t>Łącznik lub komplet łączników (w zależności od przyjętego rozwiązania technicznego) umożliwiający zestawienie modułów (połączenie ram aluminiowych) pod kątem rozwartym. Kolor srebrny</w:t>
            </w:r>
            <w:r>
              <w:t>. Liczba sztuk: 6</w:t>
            </w:r>
          </w:p>
        </w:tc>
        <w:tc>
          <w:tcPr>
            <w:tcW w:w="1701" w:type="dxa"/>
          </w:tcPr>
          <w:p w14:paraId="2E7EE2BF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54CD9180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2862E5D7" w14:textId="77777777" w:rsidTr="00807AE6">
        <w:trPr>
          <w:trHeight w:val="175"/>
        </w:trPr>
        <w:tc>
          <w:tcPr>
            <w:tcW w:w="851" w:type="dxa"/>
          </w:tcPr>
          <w:p w14:paraId="42E173EE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</w:tcPr>
          <w:p w14:paraId="5E293738" w14:textId="05AF38F0" w:rsidR="000D4965" w:rsidRPr="002D021F" w:rsidRDefault="000D4965" w:rsidP="00807AE6">
            <w:pPr>
              <w:rPr>
                <w:bCs/>
              </w:rPr>
            </w:pPr>
            <w:r w:rsidRPr="000D4965">
              <w:t>Podstawy stalowe stabilizujące moduły. Kolor srebrny</w:t>
            </w:r>
            <w:r>
              <w:t>. Liczba sztuk: 12</w:t>
            </w:r>
          </w:p>
        </w:tc>
        <w:tc>
          <w:tcPr>
            <w:tcW w:w="1701" w:type="dxa"/>
          </w:tcPr>
          <w:p w14:paraId="6E383D4D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7E94AAA1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4C17A075" w14:textId="77777777" w:rsidTr="00807AE6">
        <w:trPr>
          <w:trHeight w:val="175"/>
        </w:trPr>
        <w:tc>
          <w:tcPr>
            <w:tcW w:w="851" w:type="dxa"/>
          </w:tcPr>
          <w:p w14:paraId="75182C9D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</w:tcPr>
          <w:p w14:paraId="3B747620" w14:textId="3B6540A3" w:rsidR="000D4965" w:rsidRPr="002D021F" w:rsidRDefault="000D4965" w:rsidP="00807AE6">
            <w:pPr>
              <w:rPr>
                <w:bCs/>
              </w:rPr>
            </w:pPr>
            <w:r w:rsidRPr="000D4965">
              <w:rPr>
                <w:bCs/>
              </w:rPr>
              <w:t xml:space="preserve">Stalowe wózki do transportu i przechowywania ram chroniące przed kurzem i opadami atmosferycznymi. </w:t>
            </w:r>
            <w:r>
              <w:rPr>
                <w:bCs/>
              </w:rPr>
              <w:t>Liczba sztuk dostosowana do liczby ram.</w:t>
            </w:r>
          </w:p>
        </w:tc>
        <w:tc>
          <w:tcPr>
            <w:tcW w:w="1701" w:type="dxa"/>
          </w:tcPr>
          <w:p w14:paraId="7DE48376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42943DE7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0D8D34FC" w14:textId="77777777" w:rsidTr="00807AE6">
        <w:trPr>
          <w:trHeight w:val="175"/>
        </w:trPr>
        <w:tc>
          <w:tcPr>
            <w:tcW w:w="851" w:type="dxa"/>
          </w:tcPr>
          <w:p w14:paraId="417384AA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07B557A3" w14:textId="640A07C1" w:rsidR="000D4965" w:rsidRPr="002D021F" w:rsidRDefault="000D4965" w:rsidP="00807AE6">
            <w:pPr>
              <w:rPr>
                <w:bCs/>
              </w:rPr>
            </w:pPr>
            <w:r w:rsidRPr="000D4965">
              <w:t>Skrzynie do transportu i przechowywania elementów montażowych wykonane z drewna, materiałów drewnopo</w:t>
            </w:r>
            <w:r>
              <w:t>chodnych lub tworzyw sztucznych</w:t>
            </w:r>
            <w:r w:rsidRPr="00BB464F">
              <w:t>.</w:t>
            </w:r>
            <w:r>
              <w:t xml:space="preserve"> Liczba sztuk dostosowana </w:t>
            </w:r>
            <w:r w:rsidRPr="000D4965">
              <w:t>do wielkości i liczby elementów montażowych</w:t>
            </w:r>
            <w:r>
              <w:t>.</w:t>
            </w:r>
          </w:p>
        </w:tc>
        <w:tc>
          <w:tcPr>
            <w:tcW w:w="1701" w:type="dxa"/>
          </w:tcPr>
          <w:p w14:paraId="52EFAE94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50093D9B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044EFC63" w14:textId="77777777" w:rsidTr="00807AE6">
        <w:trPr>
          <w:trHeight w:val="175"/>
        </w:trPr>
        <w:tc>
          <w:tcPr>
            <w:tcW w:w="851" w:type="dxa"/>
          </w:tcPr>
          <w:p w14:paraId="7D365A92" w14:textId="77777777" w:rsidR="000D4965" w:rsidRPr="002D021F" w:rsidRDefault="000D4965" w:rsidP="000D4965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</w:p>
        </w:tc>
        <w:tc>
          <w:tcPr>
            <w:tcW w:w="7229" w:type="dxa"/>
          </w:tcPr>
          <w:p w14:paraId="293D87A1" w14:textId="7201A198" w:rsidR="000D4965" w:rsidRPr="002D021F" w:rsidRDefault="000D4965" w:rsidP="00807AE6">
            <w:pPr>
              <w:rPr>
                <w:bCs/>
              </w:rPr>
            </w:pPr>
            <w:r w:rsidRPr="000D4965">
              <w:rPr>
                <w:bCs/>
              </w:rPr>
              <w:t>Gabloty szklane o wymiarach około 30x40 cm i wysokości kopuły nie większej niż 20 cm wraz z systemem mocowania do ram systemu</w:t>
            </w:r>
            <w:r>
              <w:rPr>
                <w:bCs/>
              </w:rPr>
              <w:t>. Liczba sztuk: 3.</w:t>
            </w:r>
          </w:p>
        </w:tc>
        <w:tc>
          <w:tcPr>
            <w:tcW w:w="1701" w:type="dxa"/>
          </w:tcPr>
          <w:p w14:paraId="3888F73E" w14:textId="77777777" w:rsidR="000D4965" w:rsidRPr="002D021F" w:rsidRDefault="000D4965" w:rsidP="00807AE6">
            <w:pPr>
              <w:jc w:val="center"/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7981D17F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7CB873DE" w14:textId="77777777" w:rsidTr="00807AE6">
        <w:trPr>
          <w:trHeight w:val="175"/>
        </w:trPr>
        <w:tc>
          <w:tcPr>
            <w:tcW w:w="851" w:type="dxa"/>
          </w:tcPr>
          <w:p w14:paraId="03177F2C" w14:textId="77777777" w:rsidR="000D4965" w:rsidRPr="002D021F" w:rsidRDefault="000D4965" w:rsidP="00807AE6">
            <w:pPr>
              <w:ind w:left="360"/>
              <w:jc w:val="center"/>
            </w:pPr>
          </w:p>
        </w:tc>
        <w:tc>
          <w:tcPr>
            <w:tcW w:w="7229" w:type="dxa"/>
            <w:vAlign w:val="center"/>
          </w:tcPr>
          <w:p w14:paraId="37766578" w14:textId="77777777" w:rsidR="000D4965" w:rsidRPr="002D021F" w:rsidRDefault="000D4965" w:rsidP="00807AE6">
            <w:pPr>
              <w:snapToGrid w:val="0"/>
              <w:jc w:val="center"/>
              <w:rPr>
                <w:b/>
                <w:color w:val="000000"/>
              </w:rPr>
            </w:pPr>
            <w:r w:rsidRPr="002D021F">
              <w:rPr>
                <w:b/>
                <w:color w:val="000000"/>
              </w:rPr>
              <w:t>Warunki gwarancji i serwisu</w:t>
            </w:r>
          </w:p>
        </w:tc>
        <w:tc>
          <w:tcPr>
            <w:tcW w:w="1701" w:type="dxa"/>
          </w:tcPr>
          <w:p w14:paraId="541F860F" w14:textId="77777777" w:rsidR="000D4965" w:rsidRPr="002D021F" w:rsidRDefault="000D4965" w:rsidP="00807AE6">
            <w:pPr>
              <w:jc w:val="center"/>
            </w:pPr>
          </w:p>
        </w:tc>
        <w:tc>
          <w:tcPr>
            <w:tcW w:w="4564" w:type="dxa"/>
            <w:vAlign w:val="center"/>
          </w:tcPr>
          <w:p w14:paraId="5866D9A5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3423693F" w14:textId="77777777" w:rsidTr="00807AE6">
        <w:trPr>
          <w:trHeight w:val="175"/>
        </w:trPr>
        <w:tc>
          <w:tcPr>
            <w:tcW w:w="851" w:type="dxa"/>
          </w:tcPr>
          <w:p w14:paraId="4B41FF30" w14:textId="77777777" w:rsidR="000D4965" w:rsidRPr="002D021F" w:rsidRDefault="000D4965" w:rsidP="000D4965">
            <w:pPr>
              <w:numPr>
                <w:ilvl w:val="0"/>
                <w:numId w:val="6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7C9FA541" w14:textId="640558EB" w:rsidR="000D4965" w:rsidRPr="002D021F" w:rsidRDefault="000D4965" w:rsidP="00807AE6">
            <w:pPr>
              <w:snapToGrid w:val="0"/>
              <w:rPr>
                <w:color w:val="000000"/>
              </w:rPr>
            </w:pPr>
            <w:r w:rsidRPr="002D021F">
              <w:rPr>
                <w:color w:val="000000"/>
              </w:rPr>
              <w:t>Gwarancja dla wszystkich urządzeń należących do przedmiotu zamówienia min 24 m-ce liczona od dnia podpisania protokołu odbioru całości zadania</w:t>
            </w:r>
          </w:p>
        </w:tc>
        <w:tc>
          <w:tcPr>
            <w:tcW w:w="1701" w:type="dxa"/>
            <w:vAlign w:val="center"/>
          </w:tcPr>
          <w:p w14:paraId="1393A860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  <w:r w:rsidRPr="002D021F">
              <w:rPr>
                <w:color w:val="000000"/>
              </w:rPr>
              <w:t>TAK</w:t>
            </w:r>
            <w:r>
              <w:rPr>
                <w:color w:val="000000"/>
              </w:rPr>
              <w:t>/podać</w:t>
            </w:r>
          </w:p>
        </w:tc>
        <w:tc>
          <w:tcPr>
            <w:tcW w:w="4564" w:type="dxa"/>
            <w:vAlign w:val="center"/>
          </w:tcPr>
          <w:p w14:paraId="22AF24CC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2D50AC52" w14:textId="77777777" w:rsidTr="00807AE6">
        <w:trPr>
          <w:trHeight w:val="175"/>
        </w:trPr>
        <w:tc>
          <w:tcPr>
            <w:tcW w:w="851" w:type="dxa"/>
          </w:tcPr>
          <w:p w14:paraId="4D896622" w14:textId="77777777" w:rsidR="000D4965" w:rsidRPr="002D021F" w:rsidRDefault="000D4965" w:rsidP="000D4965">
            <w:pPr>
              <w:numPr>
                <w:ilvl w:val="0"/>
                <w:numId w:val="6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2B2014CC" w14:textId="77777777" w:rsidR="000D4965" w:rsidRPr="002D021F" w:rsidRDefault="000D4965" w:rsidP="00807AE6">
            <w:pPr>
              <w:snapToGrid w:val="0"/>
              <w:rPr>
                <w:color w:val="000000"/>
              </w:rPr>
            </w:pPr>
            <w:r w:rsidRPr="002D021F">
              <w:rPr>
                <w:color w:val="000000"/>
              </w:rPr>
              <w:t>Liczba napraw gwarancyjnych tego samego podzespołu uprawniająca do wymiany podzespołu na nowy max 3 naprawy</w:t>
            </w:r>
          </w:p>
        </w:tc>
        <w:tc>
          <w:tcPr>
            <w:tcW w:w="1701" w:type="dxa"/>
            <w:vAlign w:val="center"/>
          </w:tcPr>
          <w:p w14:paraId="08CAA5E9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614BA047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392815A5" w14:textId="77777777" w:rsidTr="00807AE6">
        <w:trPr>
          <w:trHeight w:val="175"/>
        </w:trPr>
        <w:tc>
          <w:tcPr>
            <w:tcW w:w="851" w:type="dxa"/>
          </w:tcPr>
          <w:p w14:paraId="0AEF882E" w14:textId="77777777" w:rsidR="000D4965" w:rsidRPr="002D021F" w:rsidRDefault="000D4965" w:rsidP="000D4965">
            <w:pPr>
              <w:numPr>
                <w:ilvl w:val="0"/>
                <w:numId w:val="6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2247FDA4" w14:textId="77777777" w:rsidR="000D4965" w:rsidRPr="002D021F" w:rsidRDefault="000D4965" w:rsidP="00807AE6">
            <w:pPr>
              <w:snapToGrid w:val="0"/>
              <w:rPr>
                <w:color w:val="000000"/>
              </w:rPr>
            </w:pPr>
            <w:r w:rsidRPr="002D021F">
              <w:t xml:space="preserve">Czas reakcji na zgłoszenie awarii „przyjęcie zgłoszenia – podjęcie naprawy” max </w:t>
            </w:r>
            <w:r>
              <w:t>2 dni</w:t>
            </w:r>
            <w:r w:rsidRPr="002D021F">
              <w:t xml:space="preserve"> w dni robocze</w:t>
            </w:r>
          </w:p>
        </w:tc>
        <w:tc>
          <w:tcPr>
            <w:tcW w:w="1701" w:type="dxa"/>
            <w:vAlign w:val="center"/>
          </w:tcPr>
          <w:p w14:paraId="3EDA4782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56F61247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  <w:tr w:rsidR="000D4965" w:rsidRPr="002D021F" w14:paraId="61D4DD7C" w14:textId="77777777" w:rsidTr="00807AE6">
        <w:trPr>
          <w:trHeight w:val="175"/>
        </w:trPr>
        <w:tc>
          <w:tcPr>
            <w:tcW w:w="851" w:type="dxa"/>
          </w:tcPr>
          <w:p w14:paraId="51D32B57" w14:textId="77777777" w:rsidR="000D4965" w:rsidRPr="002D021F" w:rsidRDefault="000D4965" w:rsidP="000D4965">
            <w:pPr>
              <w:numPr>
                <w:ilvl w:val="0"/>
                <w:numId w:val="6"/>
              </w:numPr>
              <w:spacing w:after="0" w:line="240" w:lineRule="auto"/>
              <w:jc w:val="center"/>
            </w:pPr>
          </w:p>
        </w:tc>
        <w:tc>
          <w:tcPr>
            <w:tcW w:w="7229" w:type="dxa"/>
            <w:vAlign w:val="center"/>
          </w:tcPr>
          <w:p w14:paraId="2D327EA0" w14:textId="77777777" w:rsidR="000D4965" w:rsidRPr="002D021F" w:rsidRDefault="000D4965" w:rsidP="00807AE6">
            <w:pPr>
              <w:snapToGrid w:val="0"/>
              <w:rPr>
                <w:color w:val="000000"/>
              </w:rPr>
            </w:pPr>
            <w:r w:rsidRPr="002D021F">
              <w:rPr>
                <w:color w:val="000000"/>
              </w:rPr>
              <w:t xml:space="preserve">Czas oczekiwania na usunięcie awarii max </w:t>
            </w:r>
            <w:r>
              <w:rPr>
                <w:color w:val="000000"/>
              </w:rPr>
              <w:t>14</w:t>
            </w:r>
            <w:r w:rsidRPr="002D021F">
              <w:rPr>
                <w:color w:val="000000"/>
              </w:rPr>
              <w:t xml:space="preserve"> dni roboczych</w:t>
            </w:r>
          </w:p>
        </w:tc>
        <w:tc>
          <w:tcPr>
            <w:tcW w:w="1701" w:type="dxa"/>
            <w:vAlign w:val="center"/>
          </w:tcPr>
          <w:p w14:paraId="053087AF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  <w:r w:rsidRPr="002D021F">
              <w:rPr>
                <w:color w:val="000000"/>
              </w:rPr>
              <w:t>TAK</w:t>
            </w:r>
          </w:p>
        </w:tc>
        <w:tc>
          <w:tcPr>
            <w:tcW w:w="4564" w:type="dxa"/>
            <w:vAlign w:val="center"/>
          </w:tcPr>
          <w:p w14:paraId="31D209F6" w14:textId="77777777" w:rsidR="000D4965" w:rsidRPr="002D021F" w:rsidRDefault="000D4965" w:rsidP="00807AE6">
            <w:pPr>
              <w:jc w:val="center"/>
              <w:rPr>
                <w:color w:val="000000"/>
              </w:rPr>
            </w:pPr>
          </w:p>
        </w:tc>
      </w:tr>
    </w:tbl>
    <w:p w14:paraId="7A0E4FFD" w14:textId="77777777" w:rsidR="000D4965" w:rsidRPr="002D021F" w:rsidRDefault="000D4965" w:rsidP="000D4965">
      <w:pPr>
        <w:jc w:val="both"/>
        <w:rPr>
          <w:b/>
        </w:rPr>
      </w:pPr>
    </w:p>
    <w:p w14:paraId="121F892F" w14:textId="77777777" w:rsidR="000D4965" w:rsidRDefault="000D4965" w:rsidP="000D4965">
      <w:pPr>
        <w:pStyle w:val="Tekstpodstawowy"/>
        <w:jc w:val="center"/>
        <w:rPr>
          <w:b/>
          <w:color w:val="000000"/>
          <w:sz w:val="22"/>
          <w:szCs w:val="22"/>
        </w:rPr>
      </w:pPr>
    </w:p>
    <w:p w14:paraId="5EDE95AE" w14:textId="77777777" w:rsidR="000D4965" w:rsidRPr="00196167" w:rsidRDefault="000D4965" w:rsidP="000D4965">
      <w:pPr>
        <w:rPr>
          <w:sz w:val="18"/>
          <w:szCs w:val="18"/>
        </w:rPr>
      </w:pPr>
      <w:r w:rsidRPr="00196167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6167">
        <w:rPr>
          <w:sz w:val="18"/>
          <w:szCs w:val="18"/>
        </w:rPr>
        <w:t>……………………………………………….</w:t>
      </w:r>
    </w:p>
    <w:p w14:paraId="1C212A9A" w14:textId="77777777" w:rsidR="000D4965" w:rsidRPr="00196167" w:rsidRDefault="000D4965" w:rsidP="000D4965">
      <w:pPr>
        <w:ind w:left="2832"/>
        <w:rPr>
          <w:sz w:val="16"/>
          <w:szCs w:val="16"/>
        </w:rPr>
      </w:pPr>
      <w:r w:rsidRPr="00196167"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6167">
        <w:rPr>
          <w:sz w:val="18"/>
          <w:szCs w:val="18"/>
        </w:rPr>
        <w:tab/>
      </w:r>
      <w:r w:rsidRPr="00196167">
        <w:rPr>
          <w:sz w:val="16"/>
          <w:szCs w:val="16"/>
        </w:rPr>
        <w:t xml:space="preserve">Data oraz odpis upoważnionego </w:t>
      </w:r>
    </w:p>
    <w:p w14:paraId="3F6C091F" w14:textId="77777777" w:rsidR="000D4965" w:rsidRPr="00196167" w:rsidRDefault="000D4965" w:rsidP="000D4965">
      <w:pPr>
        <w:ind w:left="9912" w:firstLine="708"/>
        <w:rPr>
          <w:sz w:val="16"/>
          <w:szCs w:val="16"/>
        </w:rPr>
      </w:pPr>
      <w:r w:rsidRPr="00196167">
        <w:rPr>
          <w:sz w:val="16"/>
          <w:szCs w:val="16"/>
        </w:rPr>
        <w:t xml:space="preserve">   przedstawiciela wykonawcy</w:t>
      </w:r>
    </w:p>
    <w:p w14:paraId="2EA6C66D" w14:textId="77777777" w:rsidR="000D4965" w:rsidRDefault="000D4965" w:rsidP="000D4965">
      <w:pPr>
        <w:pStyle w:val="Tekstpodstawowy"/>
        <w:jc w:val="center"/>
        <w:rPr>
          <w:b/>
          <w:color w:val="000000"/>
          <w:sz w:val="22"/>
          <w:szCs w:val="22"/>
        </w:rPr>
      </w:pPr>
    </w:p>
    <w:p w14:paraId="4F17071C" w14:textId="77777777" w:rsidR="000D4965" w:rsidRDefault="000D4965" w:rsidP="000D4965">
      <w:pPr>
        <w:pStyle w:val="Tekstpodstawowy"/>
        <w:rPr>
          <w:b/>
          <w:color w:val="000000"/>
          <w:sz w:val="22"/>
          <w:szCs w:val="22"/>
        </w:rPr>
      </w:pPr>
    </w:p>
    <w:p w14:paraId="0CC33B93" w14:textId="77777777" w:rsidR="000D4965" w:rsidRDefault="000D4965" w:rsidP="008E6C30">
      <w:pPr>
        <w:rPr>
          <w:i/>
          <w:iCs/>
          <w:color w:val="FF0000"/>
        </w:rPr>
      </w:pPr>
    </w:p>
    <w:p w14:paraId="38D11CC4" w14:textId="77777777" w:rsidR="000D4965" w:rsidRDefault="000D4965" w:rsidP="008E6C30">
      <w:pPr>
        <w:rPr>
          <w:i/>
          <w:iCs/>
          <w:color w:val="FF0000"/>
        </w:rPr>
      </w:pPr>
    </w:p>
    <w:p w14:paraId="4949650B" w14:textId="77777777" w:rsidR="000D4965" w:rsidRDefault="000D4965" w:rsidP="008E6C30">
      <w:pPr>
        <w:rPr>
          <w:i/>
          <w:iCs/>
          <w:color w:val="FF0000"/>
        </w:rPr>
      </w:pPr>
    </w:p>
    <w:p w14:paraId="1FB628AC" w14:textId="77777777" w:rsidR="000D4965" w:rsidRDefault="000D4965" w:rsidP="008E6C30">
      <w:pPr>
        <w:rPr>
          <w:i/>
          <w:iCs/>
          <w:color w:val="FF0000"/>
        </w:rPr>
      </w:pPr>
    </w:p>
    <w:p w14:paraId="2A430183" w14:textId="77777777" w:rsidR="000D4965" w:rsidRDefault="000D4965" w:rsidP="008E6C30">
      <w:pPr>
        <w:rPr>
          <w:i/>
          <w:iCs/>
          <w:color w:val="FF0000"/>
        </w:rPr>
      </w:pPr>
    </w:p>
    <w:p w14:paraId="679DCCD0" w14:textId="77777777" w:rsidR="000D4965" w:rsidRDefault="000D4965" w:rsidP="008E6C30">
      <w:pPr>
        <w:rPr>
          <w:i/>
          <w:iCs/>
          <w:color w:val="FF0000"/>
        </w:rPr>
      </w:pPr>
    </w:p>
    <w:p w14:paraId="2BC739AE" w14:textId="77777777" w:rsidR="000D4965" w:rsidRDefault="000D4965" w:rsidP="008E6C30">
      <w:pPr>
        <w:rPr>
          <w:i/>
          <w:iCs/>
          <w:color w:val="FF0000"/>
        </w:rPr>
      </w:pPr>
    </w:p>
    <w:p w14:paraId="14FC9431" w14:textId="77777777" w:rsidR="000D4965" w:rsidRDefault="000D4965" w:rsidP="008E6C30">
      <w:pPr>
        <w:rPr>
          <w:i/>
          <w:iCs/>
          <w:color w:val="FF0000"/>
        </w:rPr>
      </w:pPr>
    </w:p>
    <w:p w14:paraId="38CDD652" w14:textId="77777777" w:rsidR="000D4965" w:rsidRDefault="000D4965" w:rsidP="008E6C30">
      <w:pPr>
        <w:rPr>
          <w:i/>
          <w:iCs/>
          <w:color w:val="FF0000"/>
        </w:rPr>
      </w:pPr>
    </w:p>
    <w:sectPr w:rsidR="000D4965" w:rsidSect="000D496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7398F" w14:textId="77777777" w:rsidR="00A108C7" w:rsidRDefault="00A108C7" w:rsidP="00B15D27">
      <w:pPr>
        <w:spacing w:after="0" w:line="240" w:lineRule="auto"/>
      </w:pPr>
      <w:r>
        <w:separator/>
      </w:r>
    </w:p>
  </w:endnote>
  <w:endnote w:type="continuationSeparator" w:id="0">
    <w:p w14:paraId="351E29B9" w14:textId="77777777" w:rsidR="00A108C7" w:rsidRDefault="00A108C7" w:rsidP="00B15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4F129" w14:textId="77777777" w:rsidR="00A108C7" w:rsidRDefault="00A108C7" w:rsidP="00B15D27">
      <w:pPr>
        <w:spacing w:after="0" w:line="240" w:lineRule="auto"/>
      </w:pPr>
      <w:r>
        <w:separator/>
      </w:r>
    </w:p>
  </w:footnote>
  <w:footnote w:type="continuationSeparator" w:id="0">
    <w:p w14:paraId="287B6035" w14:textId="77777777" w:rsidR="00A108C7" w:rsidRDefault="00A108C7" w:rsidP="00B15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D2B8B" w14:textId="60B803AF" w:rsidR="00DC1CE7" w:rsidRDefault="00DC1CE7" w:rsidP="00DC1CE7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53DA3AE" wp14:editId="63341935">
          <wp:extent cx="337185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9F099" w14:textId="77777777" w:rsidR="00DC1CE7" w:rsidRDefault="00DC1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3CE3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3A6401"/>
    <w:multiLevelType w:val="hybridMultilevel"/>
    <w:tmpl w:val="D406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85336"/>
    <w:multiLevelType w:val="multilevel"/>
    <w:tmpl w:val="26A4B1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B6995"/>
    <w:multiLevelType w:val="hybridMultilevel"/>
    <w:tmpl w:val="38E88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72F21"/>
    <w:multiLevelType w:val="multilevel"/>
    <w:tmpl w:val="A66AA9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B9"/>
    <w:rsid w:val="0006329E"/>
    <w:rsid w:val="00096CC3"/>
    <w:rsid w:val="000A17CC"/>
    <w:rsid w:val="000D4965"/>
    <w:rsid w:val="00105F80"/>
    <w:rsid w:val="00146477"/>
    <w:rsid w:val="00176DC9"/>
    <w:rsid w:val="0019021B"/>
    <w:rsid w:val="001D115A"/>
    <w:rsid w:val="001F0AF0"/>
    <w:rsid w:val="00227A41"/>
    <w:rsid w:val="00230D50"/>
    <w:rsid w:val="00256360"/>
    <w:rsid w:val="002B48DE"/>
    <w:rsid w:val="002C79DC"/>
    <w:rsid w:val="003A1807"/>
    <w:rsid w:val="00426B78"/>
    <w:rsid w:val="00444DE6"/>
    <w:rsid w:val="004A6834"/>
    <w:rsid w:val="00527F92"/>
    <w:rsid w:val="0053589C"/>
    <w:rsid w:val="00554FCA"/>
    <w:rsid w:val="0056228A"/>
    <w:rsid w:val="005A74F6"/>
    <w:rsid w:val="005C0538"/>
    <w:rsid w:val="005D1DB1"/>
    <w:rsid w:val="005D4357"/>
    <w:rsid w:val="005D68B6"/>
    <w:rsid w:val="006018A2"/>
    <w:rsid w:val="006443A3"/>
    <w:rsid w:val="0065315D"/>
    <w:rsid w:val="0066445D"/>
    <w:rsid w:val="0066727C"/>
    <w:rsid w:val="00694223"/>
    <w:rsid w:val="006E1C75"/>
    <w:rsid w:val="00727114"/>
    <w:rsid w:val="00762E81"/>
    <w:rsid w:val="007C673B"/>
    <w:rsid w:val="00801102"/>
    <w:rsid w:val="0080699A"/>
    <w:rsid w:val="00836962"/>
    <w:rsid w:val="008B27B9"/>
    <w:rsid w:val="008E29F6"/>
    <w:rsid w:val="008E333C"/>
    <w:rsid w:val="008E6C30"/>
    <w:rsid w:val="00902F3B"/>
    <w:rsid w:val="009472FF"/>
    <w:rsid w:val="00981ECA"/>
    <w:rsid w:val="00984934"/>
    <w:rsid w:val="00984F49"/>
    <w:rsid w:val="009F7CB9"/>
    <w:rsid w:val="00A108C7"/>
    <w:rsid w:val="00A140E2"/>
    <w:rsid w:val="00A17A1C"/>
    <w:rsid w:val="00A33376"/>
    <w:rsid w:val="00A561F2"/>
    <w:rsid w:val="00A62E92"/>
    <w:rsid w:val="00B15D27"/>
    <w:rsid w:val="00B21700"/>
    <w:rsid w:val="00B25F8E"/>
    <w:rsid w:val="00B27FA9"/>
    <w:rsid w:val="00B31A42"/>
    <w:rsid w:val="00B8495B"/>
    <w:rsid w:val="00BE2E00"/>
    <w:rsid w:val="00C06422"/>
    <w:rsid w:val="00C363E6"/>
    <w:rsid w:val="00C458A5"/>
    <w:rsid w:val="00C5196E"/>
    <w:rsid w:val="00CB6006"/>
    <w:rsid w:val="00D37830"/>
    <w:rsid w:val="00DC1CE7"/>
    <w:rsid w:val="00DE4D47"/>
    <w:rsid w:val="00DF546D"/>
    <w:rsid w:val="00DF57E4"/>
    <w:rsid w:val="00E4564C"/>
    <w:rsid w:val="00E50960"/>
    <w:rsid w:val="00E52DE1"/>
    <w:rsid w:val="00EB5976"/>
    <w:rsid w:val="00ED5B17"/>
    <w:rsid w:val="00EE06D1"/>
    <w:rsid w:val="00F1744C"/>
    <w:rsid w:val="00F20EDF"/>
    <w:rsid w:val="00F2784D"/>
    <w:rsid w:val="00F54476"/>
    <w:rsid w:val="00F64504"/>
    <w:rsid w:val="00FB22A7"/>
    <w:rsid w:val="00FC40AF"/>
    <w:rsid w:val="00FC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D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496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D4965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9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0D496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9021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19021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5D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5D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5D27"/>
    <w:rPr>
      <w:vertAlign w:val="superscript"/>
    </w:rPr>
  </w:style>
  <w:style w:type="table" w:styleId="Tabela-Siatka">
    <w:name w:val="Table Grid"/>
    <w:basedOn w:val="Standardowy"/>
    <w:uiPriority w:val="39"/>
    <w:rsid w:val="0006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329E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984F49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rsid w:val="000D4965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D496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D496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49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496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96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DC1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CE7"/>
  </w:style>
  <w:style w:type="paragraph" w:styleId="Stopka">
    <w:name w:val="footer"/>
    <w:basedOn w:val="Normalny"/>
    <w:link w:val="StopkaZnak"/>
    <w:uiPriority w:val="99"/>
    <w:unhideWhenUsed/>
    <w:rsid w:val="00DC1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CE7"/>
  </w:style>
  <w:style w:type="paragraph" w:styleId="Tekstdymka">
    <w:name w:val="Balloon Text"/>
    <w:basedOn w:val="Normalny"/>
    <w:link w:val="TekstdymkaZnak"/>
    <w:uiPriority w:val="99"/>
    <w:semiHidden/>
    <w:unhideWhenUsed/>
    <w:rsid w:val="00DC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496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D4965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9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0D496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9021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19021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5D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5D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5D27"/>
    <w:rPr>
      <w:vertAlign w:val="superscript"/>
    </w:rPr>
  </w:style>
  <w:style w:type="table" w:styleId="Tabela-Siatka">
    <w:name w:val="Table Grid"/>
    <w:basedOn w:val="Standardowy"/>
    <w:uiPriority w:val="39"/>
    <w:rsid w:val="0006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329E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984F49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rsid w:val="000D4965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D496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D496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49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496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96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DC1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CE7"/>
  </w:style>
  <w:style w:type="paragraph" w:styleId="Stopka">
    <w:name w:val="footer"/>
    <w:basedOn w:val="Normalny"/>
    <w:link w:val="StopkaZnak"/>
    <w:uiPriority w:val="99"/>
    <w:unhideWhenUsed/>
    <w:rsid w:val="00DC1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CE7"/>
  </w:style>
  <w:style w:type="paragraph" w:styleId="Tekstdymka">
    <w:name w:val="Balloon Text"/>
    <w:basedOn w:val="Normalny"/>
    <w:link w:val="TekstdymkaZnak"/>
    <w:uiPriority w:val="99"/>
    <w:semiHidden/>
    <w:unhideWhenUsed/>
    <w:rsid w:val="00DC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Gryko</dc:creator>
  <cp:lastModifiedBy>Iwona</cp:lastModifiedBy>
  <cp:revision>8</cp:revision>
  <cp:lastPrinted>2022-04-14T07:48:00Z</cp:lastPrinted>
  <dcterms:created xsi:type="dcterms:W3CDTF">2022-03-11T11:06:00Z</dcterms:created>
  <dcterms:modified xsi:type="dcterms:W3CDTF">2022-04-14T09:24:00Z</dcterms:modified>
</cp:coreProperties>
</file>