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3AA390BB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8250362"/>
            <w:bookmarkStart w:id="1" w:name="_Hlk164773299"/>
            <w:r w:rsidR="0098672B" w:rsidRPr="0098672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End w:id="0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560038" w:rsidRPr="0056003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samochodu z mobilną platformą</w:t>
            </w:r>
            <w:bookmarkEnd w:id="1"/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1A68B5DA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2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56003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23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2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25896794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BF44011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0EC20E4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CF2E9B0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4D4907E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DE2C56E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016D3CD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EE8EE95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D519D81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F5D2E9E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C37305E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43B1823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46F5950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72150DD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BAA8961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B82FBA8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AB00FBC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DA5427C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75173A9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2230076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D4CEE95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9D08BCC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E490606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4F99FDC" w14:textId="25F3467C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0E3CFED" w14:textId="3EAC7883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9980304" w14:textId="57B8BC6B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5213A66" w14:textId="46CA399D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7111EB7" w14:textId="46D434C9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5F9E8D9" w14:textId="6F66A0E6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F37901D" w14:textId="21A08C6B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7379D38" w14:textId="1B97379A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33CC2A6" w14:textId="1D041A85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17A2D58" w14:textId="072A5852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E8B02F9" w14:textId="35FE0BB6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E140554" w14:textId="111D5AE9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E3545A2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93345A9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3540930" w14:textId="477151FA" w:rsidR="00795C2A" w:rsidRDefault="00847562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Z</w:t>
      </w:r>
      <w:r w:rsidR="00795C2A" w:rsidRPr="00795C2A">
        <w:rPr>
          <w:rFonts w:eastAsia="Calibri" w:cs="Arial"/>
          <w:b/>
          <w:color w:val="222A35"/>
          <w:szCs w:val="20"/>
          <w:lang w:eastAsia="pl-PL"/>
        </w:rPr>
        <w:t>atwierdzam:</w:t>
      </w:r>
    </w:p>
    <w:p w14:paraId="6162B830" w14:textId="77777777" w:rsidR="006D359B" w:rsidRDefault="006D359B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A0F9977" w14:textId="1986121B" w:rsidR="006D359B" w:rsidRPr="00392210" w:rsidRDefault="006D359B" w:rsidP="006D359B">
      <w:pPr>
        <w:jc w:val="right"/>
        <w:rPr>
          <w:rFonts w:eastAsia="Calibri" w:cs="Arial"/>
          <w:i/>
          <w:szCs w:val="20"/>
          <w:lang w:eastAsia="pl-PL"/>
        </w:rPr>
      </w:pPr>
      <w:r w:rsidRPr="006D359B">
        <w:rPr>
          <w:rFonts w:eastAsia="Calibri" w:cs="Arial"/>
          <w:i/>
          <w:szCs w:val="20"/>
          <w:lang w:eastAsia="pl-PL"/>
        </w:rPr>
        <w:t xml:space="preserve"> </w:t>
      </w:r>
      <w:r w:rsidRPr="00392210">
        <w:rPr>
          <w:rFonts w:eastAsia="Calibri" w:cs="Arial"/>
          <w:i/>
          <w:szCs w:val="20"/>
          <w:lang w:eastAsia="pl-PL"/>
        </w:rPr>
        <w:t xml:space="preserve">mgr Agnieszka Maj – Z-ca Kanclerza </w:t>
      </w:r>
    </w:p>
    <w:p w14:paraId="3BE5E87F" w14:textId="54E53C51" w:rsidR="0098672B" w:rsidRDefault="006D359B" w:rsidP="006D359B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 w:rsidRPr="00392210">
        <w:rPr>
          <w:rFonts w:eastAsia="Calibri" w:cs="Arial"/>
          <w:i/>
          <w:szCs w:val="20"/>
          <w:lang w:eastAsia="pl-PL"/>
        </w:rPr>
        <w:t xml:space="preserve">ds. Inwestycji i Zarządzania </w:t>
      </w:r>
      <w:r w:rsidRPr="00392210">
        <w:rPr>
          <w:rFonts w:eastAsia="Calibri" w:cs="Arial"/>
          <w:i/>
          <w:szCs w:val="20"/>
          <w:lang w:eastAsia="pl-PL"/>
        </w:rPr>
        <w:t>Logistycznego</w:t>
      </w:r>
    </w:p>
    <w:p w14:paraId="0E961AD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7CFF70F1" w14:textId="34759798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6C94FAC1" w14:textId="2A649DA6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7100B38E" w14:textId="77777777" w:rsidR="00CE60FA" w:rsidRP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3AA887EB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 xml:space="preserve">Katowice, </w:t>
      </w:r>
      <w:r w:rsidR="00DD7960">
        <w:rPr>
          <w:rFonts w:eastAsia="Calibri" w:cs="Arial"/>
          <w:color w:val="222A35"/>
          <w:szCs w:val="20"/>
          <w:lang w:eastAsia="pl-PL"/>
        </w:rPr>
        <w:t>maj</w:t>
      </w:r>
      <w:r w:rsidR="000E65F5">
        <w:rPr>
          <w:rFonts w:eastAsia="Calibri" w:cs="Arial"/>
          <w:color w:val="222A35"/>
          <w:szCs w:val="20"/>
          <w:lang w:eastAsia="pl-PL"/>
        </w:rPr>
        <w:t xml:space="preserve"> 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t>Spis treści</w:t>
      </w:r>
    </w:p>
    <w:p w14:paraId="60969002" w14:textId="42D58D37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1378C58F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7789FBCC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7123E176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3207FC6D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79113FBB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587811A7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64563EF8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220D5C2D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116E9933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739F98CB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6C1DD887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74EBD66F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6ADE3D9E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66CE4DB9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7C0950A5" w:rsidR="00266C63" w:rsidRPr="00266C63" w:rsidRDefault="006D359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4005BFD0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C63AC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70BD93ED" w14:textId="77777777" w:rsidR="00CE60FA" w:rsidRDefault="00CE60FA" w:rsidP="00CE60FA">
      <w:pPr>
        <w:tabs>
          <w:tab w:val="left" w:pos="284"/>
          <w:tab w:val="left" w:pos="6237"/>
        </w:tabs>
        <w:spacing w:before="100" w:beforeAutospacing="1" w:after="3120" w:line="480" w:lineRule="auto"/>
        <w:rPr>
          <w:rFonts w:cs="Arial"/>
          <w:szCs w:val="20"/>
        </w:rPr>
      </w:pPr>
    </w:p>
    <w:p w14:paraId="22415C31" w14:textId="46D9A79F" w:rsidR="00F85C46" w:rsidRPr="005B5BDF" w:rsidRDefault="00F85C46" w:rsidP="00E85B4D">
      <w:pPr>
        <w:pStyle w:val="Nagwek1"/>
      </w:pPr>
      <w:bookmarkStart w:id="3" w:name="_Toc375581632"/>
      <w:bookmarkStart w:id="4" w:name="_Toc375581814"/>
      <w:bookmarkStart w:id="5" w:name="_Toc375582131"/>
      <w:bookmarkStart w:id="6" w:name="_Toc102113056"/>
      <w:r w:rsidRPr="005B5BDF">
        <w:lastRenderedPageBreak/>
        <w:t>Postanowienia ogólne</w:t>
      </w:r>
      <w:bookmarkEnd w:id="3"/>
      <w:bookmarkEnd w:id="4"/>
      <w:bookmarkEnd w:id="5"/>
      <w:r w:rsidRPr="005B5BDF">
        <w:t>.</w:t>
      </w:r>
      <w:bookmarkStart w:id="7" w:name="_Toc362736425"/>
      <w:bookmarkEnd w:id="6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7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5E04E7CD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CE60FA">
        <w:rPr>
          <w:lang w:eastAsia="pl-PL"/>
        </w:rPr>
        <w:t>3</w:t>
      </w:r>
      <w:r w:rsidR="005E7402" w:rsidRPr="005E7402">
        <w:rPr>
          <w:lang w:eastAsia="pl-PL"/>
        </w:rPr>
        <w:t xml:space="preserve"> poz. 1</w:t>
      </w:r>
      <w:r w:rsidR="00CE60FA">
        <w:rPr>
          <w:lang w:eastAsia="pl-PL"/>
        </w:rPr>
        <w:t>605</w:t>
      </w:r>
      <w:r w:rsidR="005F26F5" w:rsidRPr="005F26F5">
        <w:t xml:space="preserve"> </w:t>
      </w:r>
      <w:r w:rsidR="005F26F5" w:rsidRPr="005F26F5">
        <w:rPr>
          <w:lang w:eastAsia="pl-PL"/>
        </w:rPr>
        <w:t>ze zm.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>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>i jest prowadzone w trybie podstawowym bez negocjacji w rozumieniu art. 275 pkt 1 ustawy Pzp (wariant I)</w:t>
      </w:r>
      <w:r w:rsidR="007051BA" w:rsidRPr="00CD2E49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6C418B5A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98672B" w:rsidRPr="0098672B">
        <w:rPr>
          <w:rFonts w:eastAsia="Calibri"/>
          <w:b/>
        </w:rPr>
        <w:t>Dostawa</w:t>
      </w:r>
      <w:r w:rsidR="00D751FB" w:rsidRPr="00D751FB">
        <w:t xml:space="preserve"> </w:t>
      </w:r>
      <w:r w:rsidR="00560038" w:rsidRPr="00560038">
        <w:rPr>
          <w:b/>
        </w:rPr>
        <w:t>samochodu z mobilną platformą</w:t>
      </w:r>
      <w:r w:rsidR="00103256" w:rsidRPr="00560038">
        <w:rPr>
          <w:rFonts w:eastAsia="Calibri"/>
          <w:b/>
        </w:rPr>
        <w:t>”;</w:t>
      </w:r>
    </w:p>
    <w:p w14:paraId="6DEB84FD" w14:textId="36921EF5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560038">
        <w:rPr>
          <w:b/>
        </w:rPr>
        <w:t>23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40AB1996" w14:textId="1C6752D2" w:rsidR="00F85C46" w:rsidRPr="005B5BDF" w:rsidRDefault="00F85C46" w:rsidP="00E85B4D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102113057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153096AB" w14:textId="3865EFE8" w:rsidR="00000E81" w:rsidRDefault="00274FBA" w:rsidP="001E4214">
      <w:pPr>
        <w:pStyle w:val="Akapitzlist"/>
        <w:numPr>
          <w:ilvl w:val="0"/>
          <w:numId w:val="50"/>
        </w:numPr>
        <w:rPr>
          <w:rFonts w:eastAsia="Times New Roman" w:cs="Times New Roman"/>
          <w:bCs/>
          <w:szCs w:val="26"/>
          <w:lang w:eastAsia="pl-PL"/>
        </w:rPr>
      </w:pPr>
      <w:r w:rsidRPr="001E4214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2" w:name="_Hlk66189265"/>
      <w:r w:rsidR="0098672B" w:rsidRPr="001E4214">
        <w:rPr>
          <w:rFonts w:eastAsia="Times New Roman" w:cs="Times New Roman"/>
          <w:bCs/>
          <w:szCs w:val="26"/>
          <w:lang w:eastAsia="pl-PL"/>
        </w:rPr>
        <w:t>jest</w:t>
      </w:r>
      <w:r w:rsidR="00BA7816" w:rsidRPr="00BA7816">
        <w:t xml:space="preserve"> </w:t>
      </w:r>
      <w:r w:rsidR="00BA7816" w:rsidRPr="001E4214">
        <w:rPr>
          <w:rFonts w:eastAsia="Times New Roman" w:cs="Times New Roman"/>
          <w:bCs/>
          <w:szCs w:val="26"/>
          <w:lang w:eastAsia="pl-PL"/>
        </w:rPr>
        <w:t>dostawa samochodu</w:t>
      </w:r>
      <w:r w:rsidR="000D782A">
        <w:rPr>
          <w:rFonts w:eastAsia="Times New Roman" w:cs="Times New Roman"/>
          <w:bCs/>
          <w:szCs w:val="26"/>
          <w:lang w:eastAsia="pl-PL"/>
        </w:rPr>
        <w:t xml:space="preserve"> dostawczego</w:t>
      </w:r>
      <w:r w:rsidR="00F20EAF" w:rsidRPr="00F20EAF">
        <w:t xml:space="preserve"> </w:t>
      </w:r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wraz ze specjalistyczną zabudową służącą do przewozu skanującego, mobilnego </w:t>
      </w:r>
      <w:bookmarkStart w:id="13" w:name="_Hlk167089174"/>
      <w:proofErr w:type="spellStart"/>
      <w:r w:rsidR="00F20EAF" w:rsidRPr="00F20EAF">
        <w:rPr>
          <w:rFonts w:eastAsia="Times New Roman" w:cs="Times New Roman"/>
          <w:bCs/>
          <w:szCs w:val="26"/>
          <w:lang w:eastAsia="pl-PL"/>
        </w:rPr>
        <w:t>LIDARu</w:t>
      </w:r>
      <w:bookmarkEnd w:id="13"/>
      <w:proofErr w:type="spellEnd"/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 </w:t>
      </w:r>
      <w:proofErr w:type="spellStart"/>
      <w:r w:rsidR="00F20EAF" w:rsidRPr="00F20EAF">
        <w:rPr>
          <w:rFonts w:eastAsia="Times New Roman" w:cs="Times New Roman"/>
          <w:bCs/>
          <w:szCs w:val="26"/>
          <w:lang w:eastAsia="pl-PL"/>
        </w:rPr>
        <w:t>Raymetrics</w:t>
      </w:r>
      <w:proofErr w:type="spellEnd"/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 LR121-ESS-D200 (</w:t>
      </w:r>
      <w:r w:rsidR="00DD6D55">
        <w:rPr>
          <w:rFonts w:eastAsia="Times New Roman" w:cs="Times New Roman"/>
          <w:bCs/>
          <w:szCs w:val="26"/>
          <w:lang w:eastAsia="pl-PL"/>
        </w:rPr>
        <w:t xml:space="preserve">wyprodukowanego w </w:t>
      </w:r>
      <w:r w:rsidR="00F20EAF" w:rsidRPr="00F20EAF">
        <w:rPr>
          <w:rFonts w:eastAsia="Times New Roman" w:cs="Times New Roman"/>
          <w:bCs/>
          <w:szCs w:val="26"/>
          <w:lang w:eastAsia="pl-PL"/>
        </w:rPr>
        <w:t>Grecj</w:t>
      </w:r>
      <w:r w:rsidR="00DD6D55">
        <w:rPr>
          <w:rFonts w:eastAsia="Times New Roman" w:cs="Times New Roman"/>
          <w:bCs/>
          <w:szCs w:val="26"/>
          <w:lang w:eastAsia="pl-PL"/>
        </w:rPr>
        <w:t>i</w:t>
      </w:r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) posiadanego przez </w:t>
      </w:r>
      <w:r w:rsidR="00000E81">
        <w:rPr>
          <w:rFonts w:eastAsia="Times New Roman" w:cs="Times New Roman"/>
          <w:bCs/>
          <w:szCs w:val="26"/>
          <w:lang w:eastAsia="pl-PL"/>
        </w:rPr>
        <w:t>Z</w:t>
      </w:r>
      <w:r w:rsidR="00F20EAF" w:rsidRPr="00F20EAF">
        <w:rPr>
          <w:rFonts w:eastAsia="Times New Roman" w:cs="Times New Roman"/>
          <w:bCs/>
          <w:szCs w:val="26"/>
          <w:lang w:eastAsia="pl-PL"/>
        </w:rPr>
        <w:t>amawiającego</w:t>
      </w:r>
      <w:r w:rsidR="00000E81" w:rsidRPr="001E4214">
        <w:rPr>
          <w:rFonts w:eastAsia="Times New Roman" w:cs="Times New Roman"/>
          <w:bCs/>
          <w:szCs w:val="26"/>
          <w:lang w:eastAsia="pl-PL"/>
        </w:rPr>
        <w:t xml:space="preserve"> (1 szt.) o parametrach wskazanych w </w:t>
      </w:r>
      <w:r w:rsidR="00000E81" w:rsidRPr="001E4214">
        <w:rPr>
          <w:rFonts w:eastAsia="Times New Roman" w:cs="Times New Roman"/>
          <w:b/>
          <w:bCs/>
          <w:szCs w:val="26"/>
          <w:lang w:eastAsia="pl-PL"/>
        </w:rPr>
        <w:t>załączniku nr 2</w:t>
      </w:r>
      <w:r w:rsidR="00000E81">
        <w:rPr>
          <w:rFonts w:eastAsia="Times New Roman" w:cs="Times New Roman"/>
          <w:b/>
          <w:bCs/>
          <w:szCs w:val="26"/>
          <w:lang w:eastAsia="pl-PL"/>
        </w:rPr>
        <w:t xml:space="preserve">A (opis samochodu) i 2B (opis </w:t>
      </w:r>
      <w:proofErr w:type="spellStart"/>
      <w:r w:rsidR="00AC50A7" w:rsidRPr="00AC50A7">
        <w:rPr>
          <w:rFonts w:eastAsia="Times New Roman" w:cs="Times New Roman"/>
          <w:b/>
          <w:bCs/>
          <w:szCs w:val="26"/>
          <w:lang w:eastAsia="pl-PL"/>
        </w:rPr>
        <w:t>LIDARu</w:t>
      </w:r>
      <w:proofErr w:type="spellEnd"/>
      <w:r w:rsidR="00000E81">
        <w:rPr>
          <w:rFonts w:eastAsia="Times New Roman" w:cs="Times New Roman"/>
          <w:b/>
          <w:bCs/>
          <w:szCs w:val="26"/>
          <w:lang w:eastAsia="pl-PL"/>
        </w:rPr>
        <w:t xml:space="preserve">) </w:t>
      </w:r>
      <w:r w:rsidR="00000E81" w:rsidRPr="001E4214">
        <w:rPr>
          <w:rFonts w:eastAsia="Times New Roman" w:cs="Times New Roman"/>
          <w:b/>
          <w:bCs/>
          <w:szCs w:val="26"/>
          <w:lang w:eastAsia="pl-PL"/>
        </w:rPr>
        <w:t xml:space="preserve"> do SWZ</w:t>
      </w:r>
      <w:r w:rsidR="00000E81" w:rsidRPr="001E4214">
        <w:rPr>
          <w:rFonts w:eastAsia="Times New Roman" w:cs="Times New Roman"/>
          <w:bCs/>
          <w:szCs w:val="26"/>
          <w:lang w:eastAsia="pl-PL"/>
        </w:rPr>
        <w:t>, zwanego dalej także pojazdem.</w:t>
      </w:r>
      <w:r w:rsidR="00000E81" w:rsidRPr="00000E81">
        <w:t xml:space="preserve"> </w:t>
      </w:r>
    </w:p>
    <w:p w14:paraId="0AAE7106" w14:textId="20DD7878" w:rsidR="00BA7816" w:rsidRDefault="00F20EAF" w:rsidP="004D149F">
      <w:pPr>
        <w:pStyle w:val="Akapitzlist"/>
        <w:numPr>
          <w:ilvl w:val="0"/>
          <w:numId w:val="50"/>
        </w:numPr>
        <w:rPr>
          <w:rFonts w:eastAsia="Times New Roman" w:cs="Times New Roman"/>
          <w:bCs/>
          <w:szCs w:val="26"/>
          <w:lang w:eastAsia="pl-PL"/>
        </w:rPr>
      </w:pPr>
      <w:r w:rsidRPr="007E77EF">
        <w:rPr>
          <w:rFonts w:eastAsia="Times New Roman" w:cs="Times New Roman"/>
          <w:bCs/>
          <w:szCs w:val="26"/>
          <w:lang w:eastAsia="pl-PL"/>
        </w:rPr>
        <w:t xml:space="preserve"> </w:t>
      </w:r>
      <w:r w:rsidR="00BA7816" w:rsidRPr="007E77EF">
        <w:rPr>
          <w:rFonts w:eastAsia="Times New Roman" w:cs="Times New Roman"/>
          <w:bCs/>
          <w:szCs w:val="26"/>
          <w:lang w:eastAsia="pl-PL"/>
        </w:rPr>
        <w:t xml:space="preserve"> Oferowany samochód powinien być fabrycznie nowy i pochodzić z bieżącej produkcji  - rok produkcji nie </w:t>
      </w:r>
      <w:r w:rsidR="00F4088D">
        <w:rPr>
          <w:rFonts w:eastAsia="Times New Roman" w:cs="Times New Roman"/>
          <w:bCs/>
          <w:szCs w:val="26"/>
          <w:lang w:eastAsia="pl-PL"/>
        </w:rPr>
        <w:t>wcześniej</w:t>
      </w:r>
      <w:r w:rsidR="00BA7816" w:rsidRPr="007E77EF">
        <w:rPr>
          <w:rFonts w:eastAsia="Times New Roman" w:cs="Times New Roman"/>
          <w:bCs/>
          <w:szCs w:val="26"/>
          <w:lang w:eastAsia="pl-PL"/>
        </w:rPr>
        <w:t xml:space="preserve"> niż 2023r. Pojazd musi być wolny od wad technicznych i prawnych oraz posiadać stosowne dokumenty dopuszczające samochód do sprzedaży i użytkowania na terenie RP. Oferowany  przedmiot zamówienia powinien być zgodny z obowiązującymi przepisami , a w szczególności  posiadać homologację obowiązującą na terenie UE</w:t>
      </w:r>
      <w:r w:rsidR="00A43714" w:rsidRPr="007E77EF">
        <w:rPr>
          <w:rFonts w:eastAsia="Times New Roman" w:cs="Times New Roman"/>
          <w:bCs/>
          <w:szCs w:val="26"/>
          <w:lang w:eastAsia="pl-PL"/>
        </w:rPr>
        <w:t>, posiadać europejski standard emisji spalin (emisja zanieczyszczeń) na poziomie EURO 6</w:t>
      </w:r>
      <w:r w:rsidR="001E4214" w:rsidRPr="007E77EF">
        <w:rPr>
          <w:rFonts w:eastAsia="Times New Roman" w:cs="Times New Roman"/>
          <w:bCs/>
          <w:szCs w:val="26"/>
          <w:lang w:eastAsia="pl-PL"/>
        </w:rPr>
        <w:t xml:space="preserve">, </w:t>
      </w:r>
      <w:r w:rsidR="00BA7816" w:rsidRPr="007E77EF">
        <w:rPr>
          <w:rFonts w:eastAsia="Times New Roman" w:cs="Times New Roman"/>
          <w:bCs/>
          <w:szCs w:val="26"/>
          <w:lang w:eastAsia="pl-PL"/>
        </w:rPr>
        <w:t xml:space="preserve">oraz spełniać wszelkie warunki dopuszczenia do ruchu drogowego  zgodnie z ustawą Prawo o ruchu drogowym. </w:t>
      </w:r>
    </w:p>
    <w:p w14:paraId="3F9E7CEC" w14:textId="2B79BF4B" w:rsidR="007E77EF" w:rsidRDefault="007E77EF" w:rsidP="007E77EF">
      <w:pPr>
        <w:pStyle w:val="Akapitzlist"/>
        <w:numPr>
          <w:ilvl w:val="0"/>
          <w:numId w:val="50"/>
        </w:numPr>
        <w:rPr>
          <w:rFonts w:eastAsia="Times New Roman" w:cs="Times New Roman"/>
          <w:bCs/>
          <w:szCs w:val="26"/>
          <w:lang w:eastAsia="pl-PL"/>
        </w:rPr>
      </w:pPr>
      <w:r w:rsidRPr="00F20EAF">
        <w:rPr>
          <w:rFonts w:eastAsia="Times New Roman" w:cs="Times New Roman"/>
          <w:bCs/>
          <w:szCs w:val="26"/>
          <w:lang w:eastAsia="pl-PL"/>
        </w:rPr>
        <w:t xml:space="preserve">Zamawiający dopuszcza samochód demonstracyjny </w:t>
      </w:r>
      <w:r w:rsidR="00F4088D">
        <w:rPr>
          <w:rFonts w:eastAsia="Times New Roman" w:cs="Times New Roman"/>
          <w:bCs/>
          <w:szCs w:val="26"/>
          <w:lang w:eastAsia="pl-PL"/>
        </w:rPr>
        <w:t>wyprodukowany  nie wcześniej niż</w:t>
      </w:r>
      <w:r w:rsidRPr="00F20EAF">
        <w:rPr>
          <w:rFonts w:eastAsia="Times New Roman" w:cs="Times New Roman"/>
          <w:bCs/>
          <w:szCs w:val="26"/>
          <w:lang w:eastAsia="pl-PL"/>
        </w:rPr>
        <w:t xml:space="preserve"> 2023</w:t>
      </w:r>
      <w:r w:rsidR="00F4088D">
        <w:rPr>
          <w:rFonts w:eastAsia="Times New Roman" w:cs="Times New Roman"/>
          <w:bCs/>
          <w:szCs w:val="26"/>
          <w:lang w:eastAsia="pl-PL"/>
        </w:rPr>
        <w:t>r.</w:t>
      </w:r>
      <w:r w:rsidRPr="00F20EAF">
        <w:rPr>
          <w:rFonts w:eastAsia="Times New Roman" w:cs="Times New Roman"/>
          <w:bCs/>
          <w:szCs w:val="26"/>
          <w:lang w:eastAsia="pl-PL"/>
        </w:rPr>
        <w:t xml:space="preserve"> o przebiegu nie większym niż 3 000 km pod warunkiem, iż nie posiadał żadnych napraw blacharsko – lakierniczych i jedynym jego właścicielem było ASO</w:t>
      </w:r>
      <w:r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6132BB7C" w14:textId="1E8B7953" w:rsidR="00BA7816" w:rsidRPr="00A704C7" w:rsidRDefault="00BA7816" w:rsidP="00BA7816">
      <w:pPr>
        <w:widowControl w:val="0"/>
        <w:numPr>
          <w:ilvl w:val="0"/>
          <w:numId w:val="50"/>
        </w:numPr>
        <w:outlineLvl w:val="2"/>
        <w:rPr>
          <w:rFonts w:eastAsia="Times New Roman" w:cs="Times New Roman"/>
          <w:bCs/>
          <w:color w:val="FF0000"/>
          <w:szCs w:val="26"/>
          <w:lang w:eastAsia="pl-PL"/>
        </w:rPr>
      </w:pPr>
      <w:r w:rsidRPr="00A704C7">
        <w:rPr>
          <w:rFonts w:eastAsia="Times New Roman" w:cs="Times New Roman"/>
          <w:b/>
          <w:bCs/>
          <w:szCs w:val="26"/>
          <w:lang w:eastAsia="pl-PL"/>
        </w:rPr>
        <w:t>Zakres zamówienia obejmuje:</w:t>
      </w:r>
      <w:r w:rsidRPr="00BA7816">
        <w:rPr>
          <w:rFonts w:eastAsia="Times New Roman" w:cs="Times New Roman"/>
          <w:bCs/>
          <w:szCs w:val="26"/>
          <w:lang w:eastAsia="pl-PL"/>
        </w:rPr>
        <w:t xml:space="preserve"> zakup </w:t>
      </w:r>
      <w:r w:rsidR="00F4088D">
        <w:rPr>
          <w:rFonts w:eastAsia="Times New Roman" w:cs="Times New Roman"/>
          <w:bCs/>
          <w:szCs w:val="26"/>
          <w:lang w:eastAsia="pl-PL"/>
        </w:rPr>
        <w:t>i wydanie</w:t>
      </w:r>
      <w:r w:rsidR="001815C9" w:rsidRPr="001815C9">
        <w:t xml:space="preserve"> </w:t>
      </w:r>
      <w:r w:rsidR="001815C9" w:rsidRPr="001815C9">
        <w:rPr>
          <w:rFonts w:eastAsia="Times New Roman" w:cs="Times New Roman"/>
          <w:bCs/>
          <w:szCs w:val="26"/>
          <w:lang w:eastAsia="pl-PL"/>
        </w:rPr>
        <w:t xml:space="preserve"> w miejscu wskazanym przez Wykonawcę,</w:t>
      </w:r>
      <w:r w:rsidR="00F4088D">
        <w:rPr>
          <w:rFonts w:eastAsia="Times New Roman" w:cs="Times New Roman"/>
          <w:bCs/>
          <w:szCs w:val="26"/>
          <w:lang w:eastAsia="pl-PL"/>
        </w:rPr>
        <w:t xml:space="preserve"> </w:t>
      </w:r>
      <w:r w:rsidRPr="00BA7816">
        <w:rPr>
          <w:rFonts w:eastAsia="Times New Roman" w:cs="Times New Roman"/>
          <w:bCs/>
          <w:szCs w:val="26"/>
          <w:lang w:eastAsia="pl-PL"/>
        </w:rPr>
        <w:t>samochodu</w:t>
      </w:r>
      <w:r w:rsidR="00AC50A7">
        <w:rPr>
          <w:rFonts w:eastAsia="Times New Roman" w:cs="Times New Roman"/>
          <w:bCs/>
          <w:szCs w:val="26"/>
          <w:lang w:eastAsia="pl-PL"/>
        </w:rPr>
        <w:t xml:space="preserve"> ze specjalistyczną zabudową, montaż </w:t>
      </w:r>
      <w:proofErr w:type="spellStart"/>
      <w:r w:rsidR="00AC50A7" w:rsidRPr="00AC50A7">
        <w:rPr>
          <w:rFonts w:eastAsia="Times New Roman" w:cs="Times New Roman"/>
          <w:bCs/>
          <w:szCs w:val="26"/>
          <w:lang w:eastAsia="pl-PL"/>
        </w:rPr>
        <w:t>LIDARu</w:t>
      </w:r>
      <w:proofErr w:type="spellEnd"/>
      <w:r w:rsidR="00AC50A7">
        <w:rPr>
          <w:rFonts w:eastAsia="Times New Roman" w:cs="Times New Roman"/>
          <w:bCs/>
          <w:szCs w:val="26"/>
          <w:lang w:eastAsia="pl-PL"/>
        </w:rPr>
        <w:t xml:space="preserve"> w porozumieniu z producentem </w:t>
      </w:r>
      <w:proofErr w:type="spellStart"/>
      <w:r w:rsidR="00AC50A7" w:rsidRPr="00F20EAF">
        <w:rPr>
          <w:rFonts w:eastAsia="Times New Roman" w:cs="Times New Roman"/>
          <w:bCs/>
          <w:szCs w:val="26"/>
          <w:lang w:eastAsia="pl-PL"/>
        </w:rPr>
        <w:t>LIDARu</w:t>
      </w:r>
      <w:proofErr w:type="spellEnd"/>
      <w:r w:rsidR="001815C9">
        <w:rPr>
          <w:rFonts w:eastAsia="Times New Roman" w:cs="Times New Roman"/>
          <w:bCs/>
          <w:szCs w:val="26"/>
          <w:lang w:eastAsia="pl-PL"/>
        </w:rPr>
        <w:t>,</w:t>
      </w:r>
      <w:r w:rsidRPr="00BA7816">
        <w:rPr>
          <w:rFonts w:eastAsia="Times New Roman" w:cs="Times New Roman"/>
          <w:bCs/>
          <w:szCs w:val="26"/>
          <w:lang w:eastAsia="pl-PL"/>
        </w:rPr>
        <w:t xml:space="preserve"> </w:t>
      </w:r>
      <w:r w:rsidRPr="00AC50A7">
        <w:rPr>
          <w:rFonts w:eastAsia="Times New Roman" w:cs="Times New Roman"/>
          <w:bCs/>
          <w:szCs w:val="26"/>
          <w:lang w:eastAsia="pl-PL"/>
        </w:rPr>
        <w:t xml:space="preserve">zapewnienie bezpłatnego serwisu i napraw gwarancyjnych w autoryzowanej stacji obsługi oferowanej marki </w:t>
      </w:r>
      <w:r w:rsidRPr="00AC50A7">
        <w:rPr>
          <w:rFonts w:eastAsia="Times New Roman" w:cs="Times New Roman"/>
          <w:bCs/>
          <w:szCs w:val="26"/>
          <w:lang w:eastAsia="pl-PL"/>
        </w:rPr>
        <w:lastRenderedPageBreak/>
        <w:t>pojazdu (przeglądy gwarancyjne nie wchodzą w zakres przedmiotowego zamówienia), zapewnienie bezpłatnej gwarancji bez limitu kilometrów oraz przekazanie Zamawiającemu dokumentów niezbędnych w celu zarejestrowania i ubezpieczenia zakupionego pojazdu.</w:t>
      </w:r>
    </w:p>
    <w:bookmarkEnd w:id="12"/>
    <w:p w14:paraId="4A8C3F4B" w14:textId="493BB04B" w:rsidR="00274FBA" w:rsidRPr="00274FBA" w:rsidRDefault="00274FBA" w:rsidP="00A704C7">
      <w:pPr>
        <w:widowControl w:val="0"/>
        <w:numPr>
          <w:ilvl w:val="0"/>
          <w:numId w:val="50"/>
        </w:numPr>
        <w:outlineLvl w:val="2"/>
        <w:rPr>
          <w:rFonts w:eastAsia="Calibri" w:cs="Times New Roman"/>
          <w:bCs/>
          <w:szCs w:val="26"/>
          <w:lang w:eastAsia="x-none"/>
        </w:rPr>
      </w:pPr>
      <w:r w:rsidRPr="00274FBA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2A07C3AF" w:rsidR="006F213D" w:rsidRPr="0063185A" w:rsidRDefault="00274FBA" w:rsidP="00A704C7">
      <w:pPr>
        <w:widowControl w:val="0"/>
        <w:numPr>
          <w:ilvl w:val="0"/>
          <w:numId w:val="50"/>
        </w:numPr>
        <w:outlineLvl w:val="2"/>
        <w:rPr>
          <w:rFonts w:eastAsia="Calibri" w:cs="Times New Roman"/>
          <w:bCs/>
          <w:color w:val="000000"/>
          <w:szCs w:val="26"/>
          <w:lang w:eastAsia="x-none"/>
        </w:rPr>
      </w:pPr>
      <w:r w:rsidRPr="00274FBA">
        <w:rPr>
          <w:rFonts w:eastAsia="Calibri" w:cs="Times New Roman"/>
          <w:bCs/>
          <w:color w:val="000000"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2869D7" w:rsidRPr="0063185A">
        <w:rPr>
          <w:rFonts w:eastAsia="Calibri" w:cs="Times New Roman"/>
          <w:b/>
          <w:bCs/>
          <w:color w:val="000000"/>
          <w:szCs w:val="26"/>
          <w:lang w:eastAsia="x-none"/>
        </w:rPr>
        <w:t xml:space="preserve"> </w:t>
      </w:r>
      <w:r w:rsidR="00A704C7" w:rsidRPr="00A704C7">
        <w:rPr>
          <w:rFonts w:eastAsia="Calibri" w:cs="Times New Roman"/>
          <w:b/>
          <w:bCs/>
          <w:color w:val="000000"/>
          <w:szCs w:val="26"/>
          <w:lang w:eastAsia="x-none"/>
        </w:rPr>
        <w:t>34130000-7</w:t>
      </w:r>
      <w:r w:rsidR="0098672B" w:rsidRPr="0098672B">
        <w:t xml:space="preserve"> </w:t>
      </w:r>
      <w:r w:rsidR="0063185A">
        <w:rPr>
          <w:rFonts w:eastAsia="Calibri" w:cs="Times New Roman"/>
          <w:b/>
          <w:bCs/>
          <w:color w:val="000000"/>
          <w:szCs w:val="26"/>
          <w:lang w:eastAsia="x-none"/>
        </w:rPr>
        <w:t xml:space="preserve"> </w:t>
      </w:r>
      <w:r w:rsidR="00A704C7" w:rsidRPr="00A704C7">
        <w:rPr>
          <w:rFonts w:eastAsia="Calibri" w:cs="Times New Roman"/>
          <w:b/>
          <w:bCs/>
          <w:color w:val="000000"/>
          <w:szCs w:val="26"/>
          <w:lang w:eastAsia="x-none"/>
        </w:rPr>
        <w:t>Pojazdy silnikowe do transportu towarów</w:t>
      </w:r>
    </w:p>
    <w:p w14:paraId="276985F9" w14:textId="12AC3D1D" w:rsidR="00170642" w:rsidRPr="00463447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463447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3AA1CAC2" w:rsidR="00F85C46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</w:t>
      </w:r>
      <w:r w:rsidR="00B66970">
        <w:rPr>
          <w:lang w:val="pl-PL"/>
        </w:rPr>
        <w:t>ą</w:t>
      </w:r>
      <w:r w:rsidR="00170642" w:rsidRPr="005B5BDF">
        <w:t xml:space="preserve"> załącznik</w:t>
      </w:r>
      <w:r w:rsidR="00B66970">
        <w:rPr>
          <w:lang w:val="pl-PL"/>
        </w:rPr>
        <w:t>i</w:t>
      </w:r>
      <w:r w:rsidR="00170642" w:rsidRPr="005B5BDF">
        <w:t xml:space="preserve"> nr 2</w:t>
      </w:r>
      <w:r w:rsidR="00B66970">
        <w:rPr>
          <w:lang w:val="pl-PL"/>
        </w:rPr>
        <w:t>A i 2B</w:t>
      </w:r>
      <w:r w:rsidR="00170642" w:rsidRPr="005B5BDF">
        <w:t xml:space="preserve"> do S</w:t>
      </w:r>
      <w:r w:rsidR="00F85C46" w:rsidRPr="005B5BDF">
        <w:t>WZ;</w:t>
      </w:r>
      <w:r w:rsidR="00274FBA" w:rsidRPr="00274FBA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341EEB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274FBA" w:rsidRPr="00341EEB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341EEB">
        <w:br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>
        <w:rPr>
          <w:lang w:val="pl-PL"/>
        </w:rPr>
        <w:t xml:space="preserve">                       </w:t>
      </w:r>
      <w:r w:rsidR="00274FBA" w:rsidRPr="00341EEB">
        <w:t>w celu oceny równoważności;</w:t>
      </w:r>
    </w:p>
    <w:p w14:paraId="5F7DD6A0" w14:textId="7B974EDD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>
        <w:rPr>
          <w:lang w:val="pl-PL"/>
        </w:rPr>
        <w:t xml:space="preserve">W </w:t>
      </w:r>
      <w:r w:rsidR="00274FBA" w:rsidRPr="00341EEB">
        <w:t xml:space="preserve">sytuacjach, kiedy Zamawiający opisuje przedmiot zamówienia poprzez odniesienie się </w:t>
      </w:r>
      <w:r w:rsidR="00274FBA" w:rsidRPr="00341EEB">
        <w:br/>
        <w:t xml:space="preserve">do norm, ocen technicznych, specyfikacji technicznych i systemów referencji technicznych, o 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>
        <w:rPr>
          <w:lang w:val="pl-PL"/>
        </w:rPr>
        <w:t>W</w:t>
      </w:r>
      <w:r w:rsidR="00274FBA" w:rsidRPr="00341EEB">
        <w:t>ykonawca załączy do oferty wykaz zaproponowanych rozwiązań równoważnych wraz z ich opisem lub wskazaniem właściwych norm;</w:t>
      </w:r>
    </w:p>
    <w:p w14:paraId="799FAE95" w14:textId="75AB9E9B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>
        <w:rPr>
          <w:lang w:val="pl-PL"/>
        </w:rPr>
        <w:t>W</w:t>
      </w:r>
      <w:r w:rsidR="00274FBA" w:rsidRPr="00341EEB">
        <w:t xml:space="preserve"> przypadku, kiedy Zamawiający w opisie przedmiotu zamówienia określa dopuszczalny margines tolerancji lub minimalny zakres wymaganych parametrów technicznych – parametry oferowan</w:t>
      </w:r>
      <w:r w:rsidR="005F26F5">
        <w:rPr>
          <w:lang w:val="pl-PL"/>
        </w:rPr>
        <w:t xml:space="preserve">ego </w:t>
      </w:r>
      <w:r w:rsidR="001815C9">
        <w:rPr>
          <w:lang w:val="pl-PL"/>
        </w:rPr>
        <w:t>pojazdu</w:t>
      </w:r>
      <w:r w:rsidR="00274FBA" w:rsidRPr="00341EEB">
        <w:t xml:space="preserve"> </w:t>
      </w:r>
      <w:r w:rsidR="00A03E2C">
        <w:rPr>
          <w:lang w:val="pl-PL"/>
        </w:rPr>
        <w:t>po</w:t>
      </w:r>
      <w:r w:rsidR="00274FBA" w:rsidRPr="00341EEB">
        <w:t>winny mieścić się we wskazanych przez Zamawiającego w załączniku nr 2 do SWZ</w:t>
      </w:r>
      <w:r w:rsidR="00274FBA" w:rsidRPr="00341EEB">
        <w:rPr>
          <w:rFonts w:eastAsia="Calibri"/>
        </w:rPr>
        <w:t xml:space="preserve"> przedziałach i zakresach tolerancji pod rygorem odrzucenia oferty</w:t>
      </w:r>
      <w:r w:rsidR="00274FBA" w:rsidRPr="00341EEB">
        <w:rPr>
          <w:rFonts w:eastAsia="Calibri"/>
          <w:lang w:val="pl-PL"/>
        </w:rPr>
        <w:t>;</w:t>
      </w:r>
    </w:p>
    <w:p w14:paraId="24854E9F" w14:textId="6F5DF5BA" w:rsidR="00FB3F58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59E949D6" w14:textId="55B71834" w:rsidR="00E56DA1" w:rsidRPr="00DD019B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3F5E14">
        <w:rPr>
          <w:bCs/>
          <w:lang w:eastAsia="x-none"/>
        </w:rPr>
        <w:t xml:space="preserve"> nie </w:t>
      </w:r>
      <w:r w:rsidRPr="00E56DA1">
        <w:rPr>
          <w:bCs/>
          <w:lang w:eastAsia="x-none"/>
        </w:rPr>
        <w:t>dopuszcza możliwoś</w:t>
      </w:r>
      <w:r w:rsidR="003F5E14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</w:t>
      </w:r>
      <w:r w:rsidRPr="00DD019B">
        <w:rPr>
          <w:bCs/>
          <w:lang w:eastAsia="x-none"/>
        </w:rPr>
        <w:t xml:space="preserve">składania ofert częściowych, </w:t>
      </w:r>
      <w:bookmarkStart w:id="14" w:name="_Hlk122085643"/>
      <w:r w:rsidR="00DD019B" w:rsidRPr="00DD019B">
        <w:rPr>
          <w:bCs/>
          <w:lang w:eastAsia="x-none"/>
        </w:rPr>
        <w:t xml:space="preserve">ponieważ mamy do czynienia z zamówieniem jednorodnym i niepodzielnym. </w:t>
      </w:r>
    </w:p>
    <w:bookmarkEnd w:id="14"/>
    <w:p w14:paraId="1753AF65" w14:textId="5799B211" w:rsidR="00E56DA1" w:rsidRPr="00E4751B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E56DA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102AE2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102AE2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6449A0D2" w:rsidR="00AA08D1" w:rsidRPr="003F5E14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5B5BDF">
        <w:t xml:space="preserve">Termin realizacji : </w:t>
      </w:r>
      <w:r w:rsidR="003F5E14">
        <w:t xml:space="preserve"> </w:t>
      </w:r>
      <w:r w:rsidR="001E10B1" w:rsidRPr="003F5E14">
        <w:rPr>
          <w:rFonts w:eastAsia="Calibri"/>
        </w:rPr>
        <w:t xml:space="preserve"> </w:t>
      </w:r>
      <w:bookmarkStart w:id="15" w:name="_Hlk66189668"/>
      <w:r w:rsidR="00AA08D1" w:rsidRPr="003F5E14">
        <w:rPr>
          <w:rFonts w:eastAsia="Calibri"/>
        </w:rPr>
        <w:t xml:space="preserve">do </w:t>
      </w:r>
      <w:r w:rsidR="00EA754F">
        <w:rPr>
          <w:rFonts w:eastAsia="Calibri"/>
        </w:rPr>
        <w:t xml:space="preserve">7 miesięcy </w:t>
      </w:r>
      <w:r w:rsidR="00AA08D1" w:rsidRPr="003F5E14">
        <w:rPr>
          <w:rFonts w:eastAsia="Calibri"/>
        </w:rPr>
        <w:t>od daty zawarcia umowy</w:t>
      </w:r>
      <w:r w:rsidR="00AA08D1" w:rsidRPr="003F5E14">
        <w:rPr>
          <w:rFonts w:eastAsia="Calibri"/>
          <w:color w:val="00B050"/>
        </w:rPr>
        <w:t>.</w:t>
      </w:r>
    </w:p>
    <w:p w14:paraId="24A90DB3" w14:textId="532800E8" w:rsidR="004D222E" w:rsidRPr="004D222E" w:rsidRDefault="00654EE7" w:rsidP="00102AE2">
      <w:pPr>
        <w:widowControl w:val="0"/>
        <w:ind w:left="567" w:firstLine="0"/>
        <w:rPr>
          <w:rFonts w:eastAsia="Calibri" w:cs="Times New Roman"/>
          <w:bCs/>
          <w:szCs w:val="26"/>
          <w:lang w:eastAsia="x-none"/>
        </w:rPr>
      </w:pPr>
      <w:bookmarkStart w:id="16" w:name="_Hlk143633923"/>
      <w:r w:rsidRPr="00654EE7">
        <w:rPr>
          <w:rFonts w:eastAsia="Calibri" w:cs="Times New Roman"/>
          <w:bCs/>
          <w:szCs w:val="26"/>
          <w:lang w:eastAsia="x-none"/>
        </w:rPr>
        <w:t xml:space="preserve">Termin realizacji  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stanowi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Oferta Wykonawcy, który zaoferuje krótszy termin realizacji, otrzyma punkty w  ramach tego kryterium oceny.</w:t>
      </w:r>
      <w:r w:rsidR="006E7419">
        <w:rPr>
          <w:rFonts w:eastAsia="Calibri" w:cs="Times New Roman"/>
          <w:bCs/>
          <w:szCs w:val="26"/>
          <w:lang w:eastAsia="x-none"/>
        </w:rPr>
        <w:t xml:space="preserve"> </w:t>
      </w:r>
    </w:p>
    <w:bookmarkEnd w:id="15"/>
    <w:bookmarkEnd w:id="16"/>
    <w:p w14:paraId="21F074F7" w14:textId="74A32776" w:rsidR="00F0343C" w:rsidRPr="005B5BDF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4591446A" w14:textId="3A02FD9B" w:rsidR="000E09B6" w:rsidRPr="000E09B6" w:rsidRDefault="000E09B6" w:rsidP="000E09B6">
      <w:pPr>
        <w:pStyle w:val="Akapitzlist"/>
        <w:numPr>
          <w:ilvl w:val="0"/>
          <w:numId w:val="70"/>
        </w:numPr>
        <w:spacing w:before="40" w:after="40"/>
        <w:ind w:left="567" w:hanging="283"/>
        <w:rPr>
          <w:rFonts w:eastAsia="Arial" w:cs="Arial"/>
          <w:b/>
          <w:bCs/>
          <w:strike/>
          <w:color w:val="0000FF"/>
          <w:szCs w:val="20"/>
          <w:u w:val="single"/>
        </w:rPr>
      </w:pPr>
      <w:r w:rsidRPr="000E09B6">
        <w:rPr>
          <w:rFonts w:cs="Arial"/>
          <w:b/>
          <w:bCs/>
          <w:szCs w:val="20"/>
          <w:lang w:eastAsia="pl-PL"/>
        </w:rPr>
        <w:t>Miejsce odbioru samochodu:</w:t>
      </w:r>
      <w:r w:rsidRPr="000E09B6">
        <w:rPr>
          <w:rFonts w:cs="Arial"/>
          <w:b/>
          <w:bCs/>
          <w:color w:val="FF0000"/>
          <w:szCs w:val="20"/>
          <w:lang w:eastAsia="pl-PL"/>
        </w:rPr>
        <w:t xml:space="preserve"> </w:t>
      </w:r>
      <w:r w:rsidRPr="000E09B6">
        <w:rPr>
          <w:rFonts w:cs="Arial"/>
          <w:bCs/>
          <w:szCs w:val="20"/>
        </w:rPr>
        <w:t>Odbiór samochodu przez Zamawiającego nastąpi w miejscu wskazanym przez Wykonawcę</w:t>
      </w:r>
      <w:r w:rsidR="001815C9">
        <w:rPr>
          <w:rFonts w:cs="Arial"/>
          <w:bCs/>
          <w:szCs w:val="20"/>
        </w:rPr>
        <w:t xml:space="preserve"> na terenie Polski</w:t>
      </w:r>
      <w:r w:rsidRPr="000E09B6">
        <w:rPr>
          <w:rFonts w:cs="Arial"/>
          <w:bCs/>
          <w:szCs w:val="20"/>
        </w:rPr>
        <w:t xml:space="preserve">. </w:t>
      </w:r>
    </w:p>
    <w:p w14:paraId="20800597" w14:textId="2E482851" w:rsidR="00307793" w:rsidRDefault="00687243" w:rsidP="008126BD">
      <w:pPr>
        <w:pStyle w:val="Akapitzlist"/>
        <w:numPr>
          <w:ilvl w:val="0"/>
          <w:numId w:val="70"/>
        </w:numPr>
        <w:spacing w:before="40" w:after="40"/>
        <w:ind w:left="567" w:hanging="283"/>
      </w:pPr>
      <w:r w:rsidRPr="00572D77">
        <w:rPr>
          <w:b/>
        </w:rPr>
        <w:t>Wymagany minimalny termin gwarancji</w:t>
      </w:r>
      <w:r w:rsidR="00EE05AC">
        <w:t>:</w:t>
      </w:r>
      <w:r w:rsidR="001156FB">
        <w:t xml:space="preserve"> </w:t>
      </w:r>
      <w:r w:rsidR="008126BD">
        <w:t>Zamawiający wymaga, aby samochód objęty był gwarancją</w:t>
      </w:r>
      <w:r w:rsidR="00307793">
        <w:t>:</w:t>
      </w:r>
    </w:p>
    <w:p w14:paraId="04E7908D" w14:textId="7A3F96E6" w:rsidR="00307793" w:rsidRDefault="002D07BD" w:rsidP="00307793">
      <w:pPr>
        <w:pStyle w:val="Nagwek4"/>
        <w:widowControl w:val="0"/>
        <w:numPr>
          <w:ilvl w:val="0"/>
          <w:numId w:val="72"/>
        </w:numPr>
        <w:spacing w:before="0" w:after="0"/>
        <w:ind w:left="709" w:firstLine="0"/>
        <w:contextualSpacing w:val="0"/>
      </w:pPr>
      <w:r>
        <w:rPr>
          <w:lang w:val="pl-PL"/>
        </w:rPr>
        <w:lastRenderedPageBreak/>
        <w:t>p</w:t>
      </w:r>
      <w:proofErr w:type="spellStart"/>
      <w:r w:rsidR="008126BD">
        <w:t>odzespoły</w:t>
      </w:r>
      <w:proofErr w:type="spellEnd"/>
      <w:r w:rsidR="008126BD">
        <w:t xml:space="preserve"> mechaniczne, elektryczne, elektroniczne   - min. 24 miesi</w:t>
      </w:r>
      <w:r w:rsidR="00307793">
        <w:rPr>
          <w:lang w:val="pl-PL"/>
        </w:rPr>
        <w:t>ące</w:t>
      </w:r>
      <w:r w:rsidRPr="002D07BD">
        <w:t xml:space="preserve"> </w:t>
      </w:r>
      <w:bookmarkStart w:id="17" w:name="_Hlk167434502"/>
      <w:r w:rsidRPr="002D07BD">
        <w:rPr>
          <w:lang w:val="pl-PL"/>
        </w:rPr>
        <w:t>bez limitu przebiegu kilometrów</w:t>
      </w:r>
      <w:bookmarkEnd w:id="17"/>
      <w:r w:rsidR="00D26753">
        <w:rPr>
          <w:lang w:val="pl-PL"/>
        </w:rPr>
        <w:t>,</w:t>
      </w:r>
    </w:p>
    <w:p w14:paraId="64B6DF60" w14:textId="50130B71" w:rsidR="00307793" w:rsidRDefault="008126BD" w:rsidP="00307793">
      <w:pPr>
        <w:pStyle w:val="Nagwek4"/>
        <w:widowControl w:val="0"/>
        <w:numPr>
          <w:ilvl w:val="0"/>
          <w:numId w:val="72"/>
        </w:numPr>
        <w:spacing w:before="0" w:after="0"/>
        <w:ind w:left="709" w:firstLine="0"/>
        <w:contextualSpacing w:val="0"/>
      </w:pPr>
      <w:r>
        <w:t>perforacja blach nadwozia   - min. 60 miesię</w:t>
      </w:r>
      <w:r w:rsidR="00307793">
        <w:rPr>
          <w:lang w:val="pl-PL"/>
        </w:rPr>
        <w:t>cy</w:t>
      </w:r>
      <w:r w:rsidR="00D26753">
        <w:rPr>
          <w:lang w:val="pl-PL"/>
        </w:rPr>
        <w:t>,</w:t>
      </w:r>
    </w:p>
    <w:p w14:paraId="7BCE4D89" w14:textId="05AABD8E" w:rsidR="00307793" w:rsidRDefault="008126BD" w:rsidP="00307793">
      <w:pPr>
        <w:pStyle w:val="Nagwek4"/>
        <w:widowControl w:val="0"/>
        <w:numPr>
          <w:ilvl w:val="0"/>
          <w:numId w:val="72"/>
        </w:numPr>
        <w:spacing w:before="0" w:after="0"/>
        <w:ind w:left="709" w:firstLine="0"/>
        <w:contextualSpacing w:val="0"/>
      </w:pPr>
      <w:r>
        <w:t xml:space="preserve"> </w:t>
      </w:r>
      <w:bookmarkStart w:id="18" w:name="_Hlk167434958"/>
      <w:r w:rsidR="00307793" w:rsidRPr="00307793">
        <w:t xml:space="preserve">specjalistyczna  zabudowa </w:t>
      </w:r>
      <w:r w:rsidR="00307793">
        <w:rPr>
          <w:lang w:val="pl-PL"/>
        </w:rPr>
        <w:t xml:space="preserve">wraz z </w:t>
      </w:r>
      <w:r w:rsidR="00307793" w:rsidRPr="00307793">
        <w:t xml:space="preserve"> montaż</w:t>
      </w:r>
      <w:r w:rsidR="00307793">
        <w:rPr>
          <w:lang w:val="pl-PL"/>
        </w:rPr>
        <w:t>em</w:t>
      </w:r>
      <w:r w:rsidR="00307793" w:rsidRPr="00307793">
        <w:t xml:space="preserve"> </w:t>
      </w:r>
      <w:proofErr w:type="spellStart"/>
      <w:r w:rsidR="00307793" w:rsidRPr="00307793">
        <w:t>LIDARu</w:t>
      </w:r>
      <w:proofErr w:type="spellEnd"/>
      <w:r w:rsidR="00307793" w:rsidRPr="00307793">
        <w:t xml:space="preserve">  </w:t>
      </w:r>
      <w:bookmarkEnd w:id="18"/>
      <w:r w:rsidR="00307793" w:rsidRPr="00307793">
        <w:t>- min. 24 miesi</w:t>
      </w:r>
      <w:r w:rsidR="00307793">
        <w:rPr>
          <w:lang w:val="pl-PL"/>
        </w:rPr>
        <w:t>ące</w:t>
      </w:r>
      <w:r w:rsidR="00D26753">
        <w:rPr>
          <w:lang w:val="pl-PL"/>
        </w:rPr>
        <w:t>.</w:t>
      </w:r>
    </w:p>
    <w:p w14:paraId="1581F716" w14:textId="64571505" w:rsidR="00FD62F5" w:rsidRDefault="008126BD" w:rsidP="00D26753">
      <w:pPr>
        <w:pStyle w:val="Akapitzlist"/>
        <w:numPr>
          <w:ilvl w:val="0"/>
          <w:numId w:val="70"/>
        </w:numPr>
        <w:spacing w:before="40" w:after="40"/>
        <w:ind w:left="567" w:hanging="283"/>
      </w:pPr>
      <w:r w:rsidRPr="008126BD">
        <w:t>Bieg terminu gwarancji rozpoczyna się w dacie podpisania Protokołu Odbioru.</w:t>
      </w:r>
    </w:p>
    <w:p w14:paraId="440E065C" w14:textId="13FF59B2" w:rsidR="00F85C46" w:rsidRPr="005B5BDF" w:rsidRDefault="00F85C46" w:rsidP="000E09B6">
      <w:pPr>
        <w:pStyle w:val="Akapitzlist"/>
        <w:numPr>
          <w:ilvl w:val="0"/>
          <w:numId w:val="70"/>
        </w:numPr>
        <w:spacing w:before="40" w:after="40"/>
        <w:ind w:left="567" w:hanging="283"/>
        <w:rPr>
          <w:rFonts w:eastAsia="Calibri"/>
          <w:noProof/>
        </w:rPr>
      </w:pPr>
      <w:r w:rsidRPr="005B5BDF">
        <w:rPr>
          <w:rFonts w:eastAsia="Calibri"/>
          <w:noProof/>
        </w:rPr>
        <w:t>Szczegółowe warunki realizacji zamówienia oraz warunki płatności 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19" w:name="_Toc102113058"/>
      <w:r w:rsidRPr="005B5BDF">
        <w:t>Przedmiotowe środki dowodowe.</w:t>
      </w:r>
      <w:bookmarkEnd w:id="19"/>
    </w:p>
    <w:p w14:paraId="69D83601" w14:textId="77777777" w:rsidR="00E4751B" w:rsidRP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F9267B6" w14:textId="1C1BA6CA" w:rsidR="00E4751B" w:rsidRPr="00FA6B17" w:rsidRDefault="00E4751B" w:rsidP="000E09B6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lastRenderedPageBreak/>
              <w:t>Opis techniczny</w:t>
            </w:r>
            <w:r w:rsidR="000E09B6">
              <w:rPr>
                <w:sz w:val="18"/>
                <w:szCs w:val="18"/>
              </w:rPr>
              <w:t xml:space="preserve"> oferowanego p</w:t>
            </w:r>
            <w:r w:rsidR="004D3EDD">
              <w:rPr>
                <w:sz w:val="18"/>
                <w:szCs w:val="18"/>
              </w:rPr>
              <w:t>rzedmiotu zamówienia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="000E09B6">
              <w:rPr>
                <w:b w:val="0"/>
                <w:sz w:val="18"/>
                <w:szCs w:val="18"/>
              </w:rPr>
              <w:t xml:space="preserve"> samochodu</w:t>
            </w:r>
            <w:r w:rsidRPr="00FA6B17">
              <w:rPr>
                <w:b w:val="0"/>
                <w:sz w:val="18"/>
                <w:szCs w:val="18"/>
              </w:rPr>
              <w:t xml:space="preserve"> 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>w opisie przedmiotu zamówienia</w:t>
            </w:r>
            <w:r w:rsidR="000E09B6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 Załącznik nr 2</w:t>
            </w:r>
            <w:r w:rsidR="00B66970">
              <w:rPr>
                <w:b w:val="0"/>
                <w:sz w:val="18"/>
                <w:szCs w:val="18"/>
              </w:rPr>
              <w:t>A</w:t>
            </w:r>
            <w:r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Pzp,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20" w:name="_Toc375581634"/>
      <w:bookmarkStart w:id="21" w:name="_Toc375581816"/>
      <w:bookmarkStart w:id="22" w:name="_Toc375582133"/>
      <w:bookmarkStart w:id="23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20"/>
      <w:bookmarkEnd w:id="21"/>
      <w:bookmarkEnd w:id="22"/>
      <w:bookmarkEnd w:id="23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>ykonawca, 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>ustawy Pzp</w:t>
      </w:r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lastRenderedPageBreak/>
        <w:t>wstępnego, o którym mowa w art. 125 ust. 1 ustawy Pzp</w:t>
      </w:r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7DC8D536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Dz.U. </w:t>
      </w:r>
      <w:r w:rsidR="00D26753" w:rsidRPr="00D26753">
        <w:rPr>
          <w:rFonts w:ascii="Bahnschrift" w:hAnsi="Bahnschrift"/>
          <w:sz w:val="20"/>
          <w:lang w:val="pl-PL" w:eastAsia="x-none"/>
        </w:rPr>
        <w:t>2024 poz. 507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>o ile został wpisany 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4" w:name="_Toc102113060"/>
      <w:r w:rsidRPr="005B5BDF">
        <w:t>Kwalifikacja podmiotowa – warunki udziału w postępowaniu.</w:t>
      </w:r>
      <w:bookmarkEnd w:id="24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lastRenderedPageBreak/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5" w:name="_Toc102113061"/>
      <w:r w:rsidRPr="005B5BDF">
        <w:rPr>
          <w:noProof/>
        </w:rPr>
        <w:t>Oświadczenie wstępne, podmiotowe środki dowodowe oraz inne dokumenty.</w:t>
      </w:r>
      <w:bookmarkEnd w:id="25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 xml:space="preserve">W sprawach nieuregulowanych postanowieniami niniejszego rozdziału, zastosowanie znajdą przepisy </w:t>
      </w:r>
      <w:r w:rsidRPr="005B5BDF">
        <w:lastRenderedPageBreak/>
        <w:t>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6" w:name="_Toc102113062"/>
      <w:r w:rsidRPr="005B5BDF">
        <w:t>Wymagania dotyczące wadium.</w:t>
      </w:r>
      <w:bookmarkStart w:id="27" w:name="OLE_LINK1"/>
      <w:bookmarkEnd w:id="26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8" w:name="_Toc102113063"/>
      <w:bookmarkEnd w:id="27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8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 xml:space="preserve">ykonawców dodatkowego czasu na zapoznanie się ze zmianą SWZ i przygotowanie </w:t>
      </w:r>
      <w:r w:rsidRPr="00636F3B">
        <w:rPr>
          <w:rFonts w:eastAsia="Calibri"/>
        </w:rPr>
        <w:lastRenderedPageBreak/>
        <w:t>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0A8D4FBD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CB45CD" w:rsidRPr="00CB45CD">
        <w:rPr>
          <w:b/>
          <w:lang w:val="pl"/>
        </w:rPr>
        <w:t>mgr Małgorzata Wróblewska, m</w:t>
      </w:r>
      <w:r w:rsidR="00301EA8" w:rsidRPr="00CB45CD">
        <w:rPr>
          <w:b/>
          <w:color w:val="222A35" w:themeColor="text2" w:themeShade="80"/>
          <w:lang w:val="pl"/>
        </w:rPr>
        <w:t>gr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t>Justyna Rutkowska – Zawada</w:t>
      </w:r>
      <w:r w:rsidR="00301EA8" w:rsidRPr="00636F3B">
        <w:rPr>
          <w:b/>
          <w:color w:val="222A35" w:themeColor="text2" w:themeShade="80"/>
          <w:lang w:val="pl"/>
        </w:rPr>
        <w:t>, mgr Damian Ludwikowski</w:t>
      </w:r>
      <w:r w:rsidR="00E9373B" w:rsidRPr="00636F3B">
        <w:rPr>
          <w:b/>
          <w:color w:val="222A35" w:themeColor="text2" w:themeShade="80"/>
          <w:lang w:val="pl"/>
        </w:rPr>
        <w:t xml:space="preserve">, mgr </w:t>
      </w:r>
      <w:r w:rsidR="00BE6370" w:rsidRPr="00636F3B">
        <w:rPr>
          <w:b/>
          <w:color w:val="222A35" w:themeColor="text2" w:themeShade="80"/>
          <w:lang w:val="pl"/>
        </w:rPr>
        <w:t>Kalina Rożek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59772BD5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</w:t>
      </w:r>
      <w:r w:rsidR="007E77EF">
        <w:rPr>
          <w:rFonts w:eastAsia="Calibri"/>
          <w:lang w:val="pl-PL"/>
        </w:rPr>
        <w:t>.</w:t>
      </w:r>
      <w:r w:rsidRPr="005B5BDF">
        <w:rPr>
          <w:rFonts w:eastAsia="Calibri"/>
        </w:rPr>
        <w:t>0,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</w:t>
      </w:r>
      <w:r w:rsidRPr="005B5BDF">
        <w:lastRenderedPageBreak/>
        <w:t xml:space="preserve">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</w:t>
      </w:r>
      <w:r w:rsidRPr="005B5BDF">
        <w:rPr>
          <w:lang w:val="pl"/>
        </w:rPr>
        <w:lastRenderedPageBreak/>
        <w:t xml:space="preserve">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85B4D">
      <w:pPr>
        <w:pStyle w:val="Nagwek1"/>
      </w:pPr>
      <w:bookmarkStart w:id="29" w:name="_wp2umuqo1p7z" w:colFirst="0" w:colLast="0"/>
      <w:bookmarkStart w:id="30" w:name="_Toc102113064"/>
      <w:bookmarkEnd w:id="29"/>
      <w:r w:rsidRPr="005B5BDF">
        <w:t>Opis sposobu przygotowania ofert.</w:t>
      </w:r>
      <w:bookmarkEnd w:id="30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Ofertę oraz wszelkie dokumenty elektroniczne przekazuje się w postępowaniu przy użyciu środków </w:t>
      </w:r>
      <w:r w:rsidRPr="007B0947">
        <w:rPr>
          <w:rFonts w:eastAsia="Arial Unicode MS"/>
        </w:rPr>
        <w:lastRenderedPageBreak/>
        <w:t>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6B9E2E13" w14:textId="77777777" w:rsidR="000E09B6" w:rsidRDefault="00297EB3" w:rsidP="00A43714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0E09B6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 w:rsidRPr="000E09B6">
        <w:rPr>
          <w:lang w:val="pl-PL"/>
        </w:rPr>
        <w:t>W</w:t>
      </w:r>
      <w:r w:rsidRPr="005B5BDF">
        <w:t xml:space="preserve">ykonawca, </w:t>
      </w:r>
      <w:r w:rsidR="00B328AF" w:rsidRPr="000E09B6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13D66D1" w:rsidR="00297EB3" w:rsidRPr="005B5BDF" w:rsidRDefault="00297EB3" w:rsidP="00A43714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 w:rsidRPr="000E09B6">
        <w:rPr>
          <w:lang w:val="pl-PL"/>
        </w:rPr>
        <w:t>W</w:t>
      </w:r>
      <w:r w:rsidRPr="005B5BDF">
        <w:t xml:space="preserve">ykonawca lub </w:t>
      </w:r>
      <w:r w:rsidR="00B328AF" w:rsidRPr="000E09B6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lastRenderedPageBreak/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3B871C7F" w14:textId="19F992E2" w:rsidR="00AE0A2F" w:rsidRPr="00AE0A2F" w:rsidRDefault="00AE0A2F" w:rsidP="00AE0A2F">
      <w:pPr>
        <w:pStyle w:val="Akapitzlist"/>
        <w:numPr>
          <w:ilvl w:val="0"/>
          <w:numId w:val="19"/>
        </w:numPr>
        <w:rPr>
          <w:rFonts w:eastAsia="Arial Unicode MS" w:cs="Times New Roman"/>
          <w:bCs/>
          <w:szCs w:val="26"/>
          <w:lang w:eastAsia="x-none"/>
        </w:rPr>
      </w:pPr>
      <w:r w:rsidRPr="00AE0A2F">
        <w:rPr>
          <w:rFonts w:eastAsia="Arial Unicode MS" w:cs="Times New Roman"/>
          <w:bCs/>
          <w:szCs w:val="26"/>
          <w:lang w:eastAsia="x-none"/>
        </w:rPr>
        <w:t>Wykonawca winien podać w formularzu oferty (załącznik nr 1A do SWZ) nazwę producenta samochodu  wraz z podaniem modelu/typu lub – w przypadku braku takich oznaczeń - innych, przypisanych wyłącznie temu pojazdowi cech, jednoznacznie identyfikujących zaoferowany pojazd.</w:t>
      </w:r>
    </w:p>
    <w:p w14:paraId="1D73CE36" w14:textId="0D801C7D" w:rsidR="00C540B8" w:rsidRDefault="00915A9C" w:rsidP="00AE0A2F">
      <w:pPr>
        <w:pStyle w:val="Akapitzlist"/>
        <w:numPr>
          <w:ilvl w:val="0"/>
          <w:numId w:val="19"/>
        </w:numPr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60B45B26" w14:textId="6E861FB8" w:rsidR="00AE0A2F" w:rsidRPr="00991FE6" w:rsidRDefault="00B9277E" w:rsidP="00AE0A2F">
      <w:pPr>
        <w:pStyle w:val="Akapitzlist"/>
        <w:numPr>
          <w:ilvl w:val="0"/>
          <w:numId w:val="51"/>
        </w:numPr>
        <w:rPr>
          <w:rFonts w:eastAsia="Times New Roman" w:cs="Times New Roman"/>
          <w:bCs/>
          <w:szCs w:val="26"/>
          <w:lang w:eastAsia="x-none"/>
        </w:rPr>
      </w:pPr>
      <w:r w:rsidRPr="00AE0A2F">
        <w:rPr>
          <w:rFonts w:eastAsia="Times New Roman" w:cs="Times New Roman"/>
          <w:bCs/>
          <w:szCs w:val="26"/>
          <w:lang w:eastAsia="x-none"/>
        </w:rPr>
        <w:t>Cena podana w ofercie powinna zawierać wszelkie koszty poniesione w celu należytego i pełnego wykonania zamówienia, zgodnie z wymaganiami opisanymi w dokumentach zamówienia,                                w szczególności:</w:t>
      </w:r>
      <w:r w:rsidR="00AE0A2F" w:rsidRPr="00AE0A2F">
        <w:t xml:space="preserve"> </w:t>
      </w:r>
      <w:r w:rsidR="00AE0A2F" w:rsidRPr="00991FE6">
        <w:rPr>
          <w:rFonts w:eastAsia="Times New Roman" w:cs="Times New Roman"/>
          <w:bCs/>
          <w:szCs w:val="26"/>
          <w:lang w:eastAsia="x-none"/>
        </w:rPr>
        <w:t xml:space="preserve">koszt zakupu pojazdu </w:t>
      </w:r>
      <w:r w:rsidR="00AE0A2F" w:rsidRPr="00B66970">
        <w:rPr>
          <w:rFonts w:eastAsia="Times New Roman" w:cs="Times New Roman"/>
          <w:bCs/>
          <w:szCs w:val="26"/>
          <w:lang w:eastAsia="x-none"/>
        </w:rPr>
        <w:t xml:space="preserve">wraz z wyposażeniem (zgodnie z załącznikiem nr 2 do SWZ), </w:t>
      </w:r>
      <w:r w:rsidR="00E73907" w:rsidRPr="00B66970">
        <w:t>koszt wykonania specjalistycznej  zabudowy</w:t>
      </w:r>
      <w:r w:rsidR="00F97183" w:rsidRPr="00B66970">
        <w:rPr>
          <w:rFonts w:eastAsia="Times New Roman" w:cs="Times New Roman"/>
          <w:bCs/>
          <w:szCs w:val="26"/>
          <w:lang w:eastAsia="x-none"/>
        </w:rPr>
        <w:t xml:space="preserve">, </w:t>
      </w:r>
      <w:r w:rsidR="00055002" w:rsidRPr="00B66970">
        <w:rPr>
          <w:rFonts w:eastAsia="Times New Roman" w:cs="Times New Roman"/>
          <w:bCs/>
          <w:szCs w:val="26"/>
          <w:lang w:eastAsia="x-none"/>
        </w:rPr>
        <w:t xml:space="preserve">koszt </w:t>
      </w:r>
      <w:r w:rsidR="00991FE6" w:rsidRPr="00991FE6">
        <w:rPr>
          <w:rFonts w:eastAsia="Times New Roman" w:cs="Times New Roman"/>
          <w:bCs/>
          <w:szCs w:val="26"/>
          <w:lang w:eastAsia="x-none"/>
        </w:rPr>
        <w:t xml:space="preserve">montażu </w:t>
      </w:r>
      <w:proofErr w:type="spellStart"/>
      <w:r w:rsidR="00991FE6" w:rsidRPr="00991FE6">
        <w:rPr>
          <w:rFonts w:eastAsia="Times New Roman" w:cs="Times New Roman"/>
          <w:bCs/>
          <w:szCs w:val="26"/>
          <w:lang w:eastAsia="pl-PL"/>
        </w:rPr>
        <w:t>LIDARu</w:t>
      </w:r>
      <w:proofErr w:type="spellEnd"/>
      <w:r w:rsidR="00991FE6" w:rsidRPr="00991FE6">
        <w:rPr>
          <w:rFonts w:eastAsia="Times New Roman" w:cs="Times New Roman"/>
          <w:bCs/>
          <w:szCs w:val="26"/>
          <w:lang w:eastAsia="x-none"/>
        </w:rPr>
        <w:t xml:space="preserve">, </w:t>
      </w:r>
      <w:r w:rsidR="00AE0A2F" w:rsidRPr="00991FE6">
        <w:rPr>
          <w:rFonts w:eastAsia="Times New Roman" w:cs="Times New Roman"/>
          <w:bCs/>
          <w:szCs w:val="26"/>
          <w:lang w:eastAsia="x-none"/>
        </w:rPr>
        <w:t>koszt zapewnienia bezpłatnej gwarancji bez limitu kilometrów, koszt materiałów niezbędnych do wykonania postanowień gwarancyjnych i serwisowych, koszt wykonywania obsług i napraw gwarancyjnych w autoryzowanej stacji obsługi oferowanej marki (przeglądy gwarancyjne nie wchodzą w zakres przedmiotowego zamówienia, nie należy ich wliczać w cenę oferty), koszt uzyskania niezbędnych dokumentów, w tym dokumentów niezbędnych do zarejestrowania i ubezpieczenia pojazdu</w:t>
      </w:r>
      <w:r w:rsidR="00D26753">
        <w:rPr>
          <w:rFonts w:eastAsia="Times New Roman" w:cs="Times New Roman"/>
          <w:bCs/>
          <w:szCs w:val="26"/>
          <w:lang w:eastAsia="x-none"/>
        </w:rPr>
        <w:t>. C</w:t>
      </w:r>
      <w:r w:rsidR="00AE0A2F" w:rsidRPr="00991FE6">
        <w:rPr>
          <w:rFonts w:eastAsia="Times New Roman" w:cs="Times New Roman"/>
          <w:bCs/>
          <w:szCs w:val="26"/>
          <w:lang w:eastAsia="x-none"/>
        </w:rPr>
        <w:t>ena powinna również uwzględniać podatki, opłaty i  inne należności płatne przez Wykonawcę (w tym koszt ewentualnego cła) oraz wszelkie elementy ryzyka związane z realizacją zamówienia;</w:t>
      </w:r>
    </w:p>
    <w:p w14:paraId="196BA439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991FE6">
        <w:t>C</w:t>
      </w:r>
      <w:r w:rsidR="00A57F79" w:rsidRPr="00991FE6">
        <w:t xml:space="preserve">ena </w:t>
      </w:r>
      <w:r w:rsidR="00942EA5" w:rsidRPr="00991FE6">
        <w:t>po</w:t>
      </w:r>
      <w:r w:rsidR="00A57F79" w:rsidRPr="00991FE6">
        <w:t>winna być wyrażona w złotych polskich. Rozli</w:t>
      </w:r>
      <w:r w:rsidR="00066CCC" w:rsidRPr="00991FE6">
        <w:t xml:space="preserve">czenia pomiędzy </w:t>
      </w:r>
      <w:r w:rsidR="00066CCC" w:rsidRPr="005B5BDF">
        <w:t xml:space="preserve">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lastRenderedPageBreak/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31" w:name="_Toc102113065"/>
      <w:r w:rsidRPr="005B5BDF">
        <w:t>Sposób oraz termin składania ofert.</w:t>
      </w:r>
      <w:bookmarkEnd w:id="31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3B905926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6D359B" w:rsidRPr="006D359B">
        <w:rPr>
          <w:b/>
          <w:lang w:eastAsia="x-none"/>
        </w:rPr>
        <w:t>3.06.2024</w:t>
      </w:r>
      <w:r w:rsidR="00120932" w:rsidRPr="006D359B">
        <w:rPr>
          <w:b/>
          <w:lang w:eastAsia="x-none"/>
        </w:rPr>
        <w:t>r.</w:t>
      </w:r>
      <w:r w:rsidR="00120932">
        <w:rPr>
          <w:b/>
          <w:lang w:eastAsia="x-none"/>
        </w:rPr>
        <w:t xml:space="preserve"> </w:t>
      </w:r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2" w:name="_Toc102113066"/>
      <w:r w:rsidRPr="005B5BDF">
        <w:t>Termin i tryb otwarcia ofert.</w:t>
      </w:r>
      <w:bookmarkEnd w:id="32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4843DCA4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6D359B" w:rsidRPr="006D359B">
        <w:rPr>
          <w:b/>
        </w:rPr>
        <w:t>3.06.2024r.</w:t>
      </w:r>
      <w:r w:rsidR="006D359B">
        <w:rPr>
          <w:b/>
        </w:rPr>
        <w:t xml:space="preserve"> </w:t>
      </w:r>
      <w:r w:rsidR="00C13AFF" w:rsidRPr="00C13AFF">
        <w:rPr>
          <w:b/>
        </w:rPr>
        <w:t xml:space="preserve"> </w:t>
      </w:r>
      <w:r w:rsidR="009A7AB0" w:rsidRPr="00C13AFF">
        <w:rPr>
          <w:rFonts w:eastAsia="Calibri"/>
          <w:b/>
        </w:rPr>
        <w:t xml:space="preserve">o godz. </w:t>
      </w:r>
      <w:r w:rsidR="00961A75" w:rsidRPr="00C13AFF">
        <w:rPr>
          <w:rFonts w:eastAsia="Calibri"/>
          <w:b/>
        </w:rPr>
        <w:t>10:</w:t>
      </w:r>
      <w:r w:rsidR="003C660F">
        <w:rPr>
          <w:rFonts w:eastAsia="Calibri"/>
          <w:b/>
        </w:rPr>
        <w:t>3</w:t>
      </w:r>
      <w:r w:rsidR="00961A75" w:rsidRPr="00C13AFF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</w:t>
      </w:r>
      <w:r w:rsidRPr="005B5BDF">
        <w:rPr>
          <w:rFonts w:eastAsia="Calibri"/>
        </w:rPr>
        <w:lastRenderedPageBreak/>
        <w:t xml:space="preserve">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3" w:name="_Toc102113067"/>
      <w:r w:rsidRPr="005B5BDF">
        <w:t>Termin związania ofertą.</w:t>
      </w:r>
      <w:bookmarkEnd w:id="33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7320FD09" w:rsidR="00D06776" w:rsidRDefault="00D06776" w:rsidP="007E06DA">
      <w:pPr>
        <w:pStyle w:val="Nagwek3"/>
        <w:widowControl w:val="0"/>
        <w:ind w:left="284"/>
        <w:contextualSpacing w:val="0"/>
        <w:rPr>
          <w:b/>
        </w:rPr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r w:rsidR="006D359B">
        <w:t>2</w:t>
      </w:r>
      <w:r w:rsidR="006D359B" w:rsidRPr="006D359B">
        <w:t>.0</w:t>
      </w:r>
      <w:r w:rsidR="006D359B">
        <w:t>7</w:t>
      </w:r>
      <w:r w:rsidR="006D359B" w:rsidRPr="006D359B">
        <w:t>.2024r.</w:t>
      </w:r>
      <w:bookmarkStart w:id="34" w:name="_GoBack"/>
      <w:bookmarkEnd w:id="34"/>
    </w:p>
    <w:p w14:paraId="3A4DD69D" w14:textId="77777777" w:rsidR="00383F19" w:rsidRPr="00383F19" w:rsidRDefault="00383F19" w:rsidP="00383F19">
      <w:pPr>
        <w:pStyle w:val="Tekstpodstawowy"/>
        <w:rPr>
          <w:lang w:val="pl-PL" w:eastAsia="x-none"/>
        </w:rPr>
      </w:pPr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5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5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420258F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DD6D55">
        <w:t xml:space="preserve"> </w:t>
      </w:r>
      <w:r w:rsidR="007F09C2">
        <w:t xml:space="preserve">w </w:t>
      </w:r>
      <w:r w:rsidR="00F85C46" w:rsidRPr="005B5BDF">
        <w:t>postępowani</w:t>
      </w:r>
      <w:r w:rsidR="00DD6D55">
        <w:t>u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6AC157F5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Termin realizacji  </w:t>
            </w:r>
            <w:r w:rsidR="00DD6D55">
              <w:rPr>
                <w:rFonts w:eastAsia="Palatino Linotype" w:cs="Arial"/>
                <w:color w:val="222A35"/>
                <w:szCs w:val="20"/>
                <w:lang w:eastAsia="pl-PL"/>
              </w:rPr>
              <w:t>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0C848B85" w:rsidR="00BF5EFD" w:rsidRPr="00D10246" w:rsidRDefault="00AE0A2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4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32D52F53" w:rsidR="00BF5EFD" w:rsidRPr="00D10246" w:rsidRDefault="00AE0A2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4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5414535D" w14:textId="77777777" w:rsidR="00BF5EFD" w:rsidRDefault="00BF5EFD" w:rsidP="00BF5EFD">
      <w:pPr>
        <w:keepNext/>
        <w:ind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r w:rsidR="00D10246" w:rsidRPr="00D10246">
        <w:t>asady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lastRenderedPageBreak/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32CAFC1D" w:rsidR="00D10246" w:rsidRPr="00D1024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r w:rsidR="00D10246"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asady przyznawania punktów w kryterium 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="000A51A5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r w:rsidR="00E24475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realizacji zamówienia”:</w:t>
      </w:r>
    </w:p>
    <w:p w14:paraId="09F35A78" w14:textId="0E289DAB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="00AE0A2F">
        <w:rPr>
          <w:rFonts w:eastAsia="Times New Roman" w:cs="Arial"/>
          <w:szCs w:val="20"/>
        </w:rPr>
        <w:t>4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632151E0" w14:textId="10FFCD3F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maksymalny wymagany termin realizacji zamówienia wynosi</w:t>
      </w:r>
      <w:r w:rsidR="00383F19">
        <w:rPr>
          <w:rFonts w:eastAsia="Times New Roman" w:cs="Arial"/>
          <w:szCs w:val="20"/>
        </w:rPr>
        <w:t>:</w:t>
      </w:r>
      <w:r w:rsidR="003C660F">
        <w:rPr>
          <w:rFonts w:eastAsia="Times New Roman" w:cs="Arial"/>
          <w:szCs w:val="20"/>
        </w:rPr>
        <w:t xml:space="preserve"> </w:t>
      </w:r>
      <w:r w:rsidR="00383F19">
        <w:rPr>
          <w:rFonts w:eastAsia="Times New Roman" w:cs="Arial"/>
          <w:szCs w:val="20"/>
        </w:rPr>
        <w:t xml:space="preserve"> </w:t>
      </w:r>
      <w:r w:rsidR="00383F19" w:rsidRPr="00383F19">
        <w:rPr>
          <w:rFonts w:eastAsia="Times New Roman" w:cs="Arial"/>
          <w:b/>
          <w:szCs w:val="20"/>
        </w:rPr>
        <w:t xml:space="preserve">do </w:t>
      </w:r>
      <w:r w:rsidR="00AE0A2F">
        <w:rPr>
          <w:rFonts w:eastAsia="Times New Roman" w:cs="Arial"/>
          <w:b/>
          <w:bCs/>
          <w:szCs w:val="20"/>
        </w:rPr>
        <w:t xml:space="preserve">7 miesięcy </w:t>
      </w:r>
      <w:r w:rsidR="00383F19" w:rsidRPr="00383F19">
        <w:rPr>
          <w:rFonts w:eastAsia="Times New Roman" w:cs="Arial"/>
          <w:b/>
          <w:bCs/>
          <w:szCs w:val="20"/>
          <w:lang w:val="x-none"/>
        </w:rPr>
        <w:t xml:space="preserve"> od daty </w:t>
      </w:r>
      <w:r w:rsidR="00383F19" w:rsidRPr="00383F19">
        <w:rPr>
          <w:rFonts w:eastAsia="Times New Roman" w:cs="Arial"/>
          <w:b/>
          <w:bCs/>
          <w:szCs w:val="20"/>
        </w:rPr>
        <w:t>zawarcia umowy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5B470409" w14:textId="48A0FD46" w:rsidR="003E18B9" w:rsidRDefault="003E18B9" w:rsidP="00383F19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4E72C348" w14:textId="7EFF2AE7" w:rsidR="003E18B9" w:rsidRDefault="003E18B9" w:rsidP="00CB2376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t>Punkty za kryterium „</w:t>
      </w:r>
      <w:r w:rsidRPr="005B5A8E">
        <w:rPr>
          <w:rFonts w:eastAsia="Palatino Linotype" w:cs="Arial"/>
          <w:szCs w:val="20"/>
        </w:rPr>
        <w:t>T</w:t>
      </w:r>
      <w:r w:rsidRPr="005B5A8E">
        <w:rPr>
          <w:rFonts w:eastAsia="Palatino Linotype" w:cs="Arial"/>
          <w:szCs w:val="20"/>
          <w:lang w:val="x-none"/>
        </w:rPr>
        <w:t>ermin realizacji zamówienia”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realizacji zamówienia:</w:t>
      </w:r>
    </w:p>
    <w:p w14:paraId="4488F4BF" w14:textId="31B0641A" w:rsidR="003E18B9" w:rsidRDefault="00AE0A2F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6" w:name="_Hlk143635124"/>
      <w:r>
        <w:rPr>
          <w:rFonts w:eastAsia="Palatino Linotype" w:cs="Times New Roman"/>
        </w:rPr>
        <w:t>7 miesięcy</w:t>
      </w:r>
      <w:r w:rsidR="00383F19" w:rsidRPr="00383F19">
        <w:rPr>
          <w:rFonts w:eastAsia="Palatino Linotype" w:cs="Times New Roman"/>
        </w:rPr>
        <w:t xml:space="preserve"> </w:t>
      </w:r>
      <w:bookmarkEnd w:id="36"/>
      <w:r w:rsidR="003E18B9" w:rsidRPr="005B5A8E">
        <w:rPr>
          <w:rFonts w:eastAsia="Palatino Linotype" w:cs="Times New Roman"/>
        </w:rPr>
        <w:t xml:space="preserve">– otrzyma </w:t>
      </w:r>
      <w:r w:rsidR="00B61404">
        <w:rPr>
          <w:rFonts w:eastAsia="Palatino Linotype" w:cs="Times New Roman"/>
        </w:rPr>
        <w:t>0</w:t>
      </w:r>
      <w:r w:rsidR="003E18B9" w:rsidRPr="005B5A8E">
        <w:rPr>
          <w:rFonts w:eastAsia="Palatino Linotype" w:cs="Times New Roman"/>
        </w:rPr>
        <w:t xml:space="preserve"> pkt.</w:t>
      </w:r>
    </w:p>
    <w:p w14:paraId="35FBC835" w14:textId="2E652684" w:rsidR="00BE6370" w:rsidRPr="00BE6370" w:rsidRDefault="00AE0A2F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7" w:name="_Hlk164845735"/>
      <w:r>
        <w:rPr>
          <w:rFonts w:eastAsia="Palatino Linotype" w:cs="Times New Roman"/>
        </w:rPr>
        <w:t>6</w:t>
      </w:r>
      <w:r w:rsidR="00BE6370" w:rsidRPr="00BE6370">
        <w:rPr>
          <w:rFonts w:eastAsia="Palatino Linotype" w:cs="Times New Roman"/>
        </w:rPr>
        <w:t xml:space="preserve"> </w:t>
      </w:r>
      <w:r>
        <w:rPr>
          <w:rFonts w:eastAsia="Palatino Linotype" w:cs="Times New Roman"/>
        </w:rPr>
        <w:t>miesięcy</w:t>
      </w:r>
      <w:r w:rsidR="00BE6370" w:rsidRPr="00BE6370">
        <w:rPr>
          <w:rFonts w:eastAsia="Palatino Linotype" w:cs="Times New Roman"/>
        </w:rPr>
        <w:t xml:space="preserve"> </w:t>
      </w:r>
      <w:bookmarkEnd w:id="37"/>
      <w:r w:rsidR="00BE6370" w:rsidRPr="00BE6370">
        <w:rPr>
          <w:rFonts w:eastAsia="Palatino Linotype" w:cs="Times New Roman"/>
        </w:rPr>
        <w:t xml:space="preserve">– otrzyma </w:t>
      </w:r>
      <w:r>
        <w:rPr>
          <w:rFonts w:eastAsia="Palatino Linotype" w:cs="Times New Roman"/>
        </w:rPr>
        <w:t>10</w:t>
      </w:r>
      <w:r w:rsidR="00BE6370" w:rsidRPr="00BE6370">
        <w:rPr>
          <w:rFonts w:eastAsia="Palatino Linotype" w:cs="Times New Roman"/>
        </w:rPr>
        <w:t xml:space="preserve"> pkt.</w:t>
      </w:r>
    </w:p>
    <w:p w14:paraId="55222B63" w14:textId="4CB02E53" w:rsidR="003E18B9" w:rsidRDefault="00AE0A2F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5</w:t>
      </w:r>
      <w:r w:rsidRPr="00AE0A2F">
        <w:rPr>
          <w:rFonts w:eastAsia="Palatino Linotype" w:cs="Times New Roman"/>
        </w:rPr>
        <w:t xml:space="preserve"> miesięcy </w:t>
      </w:r>
      <w:r w:rsidR="0074380F" w:rsidRPr="0074380F">
        <w:rPr>
          <w:rFonts w:eastAsia="Palatino Linotype" w:cs="Times New Roman"/>
        </w:rPr>
        <w:t xml:space="preserve"> </w:t>
      </w:r>
      <w:r w:rsidR="00383F19" w:rsidRPr="00383F19">
        <w:rPr>
          <w:rFonts w:eastAsia="Palatino Linotype" w:cs="Times New Roman"/>
        </w:rPr>
        <w:t xml:space="preserve"> </w:t>
      </w:r>
      <w:bookmarkStart w:id="38" w:name="_Hlk164845836"/>
      <w:r w:rsidR="003E18B9" w:rsidRPr="005B5A8E">
        <w:rPr>
          <w:rFonts w:eastAsia="Palatino Linotype" w:cs="Times New Roman"/>
        </w:rPr>
        <w:t xml:space="preserve">– otrzyma </w:t>
      </w:r>
      <w:r>
        <w:rPr>
          <w:rFonts w:eastAsia="Palatino Linotype" w:cs="Times New Roman"/>
        </w:rPr>
        <w:t>20</w:t>
      </w:r>
      <w:r w:rsidR="003E18B9" w:rsidRPr="005B5A8E">
        <w:rPr>
          <w:rFonts w:eastAsia="Palatino Linotype" w:cs="Times New Roman"/>
        </w:rPr>
        <w:t xml:space="preserve"> pkt.</w:t>
      </w:r>
      <w:bookmarkEnd w:id="38"/>
    </w:p>
    <w:p w14:paraId="1DEE0BD5" w14:textId="0E42ABA9" w:rsidR="00AE0A2F" w:rsidRDefault="00B24590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</w:t>
      </w:r>
      <w:r w:rsidRPr="00B24590">
        <w:rPr>
          <w:rFonts w:eastAsia="Palatino Linotype" w:cs="Times New Roman"/>
        </w:rPr>
        <w:t xml:space="preserve"> miesiąc</w:t>
      </w:r>
      <w:r>
        <w:rPr>
          <w:rFonts w:eastAsia="Palatino Linotype" w:cs="Times New Roman"/>
        </w:rPr>
        <w:t>e</w:t>
      </w:r>
      <w:r w:rsidRPr="005B5A8E">
        <w:rPr>
          <w:rFonts w:eastAsia="Palatino Linotype" w:cs="Times New Roman"/>
        </w:rPr>
        <w:t xml:space="preserve">– otrzyma </w:t>
      </w:r>
      <w:r>
        <w:rPr>
          <w:rFonts w:eastAsia="Palatino Linotype" w:cs="Times New Roman"/>
        </w:rPr>
        <w:t>30</w:t>
      </w:r>
      <w:r w:rsidRPr="005B5A8E">
        <w:rPr>
          <w:rFonts w:eastAsia="Palatino Linotype" w:cs="Times New Roman"/>
        </w:rPr>
        <w:t xml:space="preserve"> pkt.</w:t>
      </w:r>
    </w:p>
    <w:p w14:paraId="2EC023B3" w14:textId="4D6441F9" w:rsidR="00B24590" w:rsidRPr="00B24590" w:rsidRDefault="00B24590" w:rsidP="00B2459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3</w:t>
      </w:r>
      <w:r w:rsidRPr="00B24590">
        <w:rPr>
          <w:rFonts w:eastAsia="Palatino Linotype" w:cs="Times New Roman"/>
        </w:rPr>
        <w:t xml:space="preserve"> miesiące– otrzyma </w:t>
      </w:r>
      <w:r>
        <w:rPr>
          <w:rFonts w:eastAsia="Palatino Linotype" w:cs="Times New Roman"/>
        </w:rPr>
        <w:t>4</w:t>
      </w:r>
      <w:r w:rsidRPr="00B24590">
        <w:rPr>
          <w:rFonts w:eastAsia="Palatino Linotype" w:cs="Times New Roman"/>
        </w:rPr>
        <w:t>0 pkt.</w:t>
      </w:r>
    </w:p>
    <w:p w14:paraId="795AE02C" w14:textId="020EC958" w:rsidR="003E18B9" w:rsidRDefault="003E18B9" w:rsidP="00B24590">
      <w:pPr>
        <w:pStyle w:val="Akapitzlist"/>
        <w:widowControl w:val="0"/>
        <w:numPr>
          <w:ilvl w:val="0"/>
          <w:numId w:val="59"/>
        </w:numPr>
        <w:spacing w:after="100" w:afterAutospacing="1"/>
        <w:ind w:left="1418" w:hanging="284"/>
        <w:contextualSpacing w:val="0"/>
        <w:rPr>
          <w:rFonts w:eastAsia="Palatino Linotype" w:cs="Times New Roman"/>
        </w:rPr>
      </w:pPr>
      <w:r w:rsidRPr="005B5A8E">
        <w:rPr>
          <w:rFonts w:eastAsia="Palatino Linotype" w:cs="Times New Roman"/>
          <w:b/>
        </w:rPr>
        <w:t>brak oświadczenia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lub dłuższy termin realizacji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zamówienia</w:t>
      </w:r>
      <w:r w:rsidRPr="005B5A8E">
        <w:rPr>
          <w:rFonts w:eastAsia="Palatino Linotype" w:cs="Times New Roman"/>
        </w:rPr>
        <w:t xml:space="preserve"> (tj. &gt;</w:t>
      </w:r>
      <w:r w:rsidR="00B24590">
        <w:rPr>
          <w:rFonts w:eastAsia="Palatino Linotype" w:cs="Times New Roman"/>
        </w:rPr>
        <w:t>7 miesięcy</w:t>
      </w:r>
      <w:r w:rsidRPr="005B5A8E">
        <w:rPr>
          <w:rFonts w:eastAsia="Palatino Linotype" w:cs="Times New Roman"/>
        </w:rPr>
        <w:t xml:space="preserve">) </w:t>
      </w:r>
      <w:r w:rsidRPr="005B5A8E">
        <w:rPr>
          <w:rFonts w:eastAsia="Palatino Linotype" w:cs="Times New Roman"/>
          <w:b/>
        </w:rPr>
        <w:t>– oferta zostanie odrzucona</w:t>
      </w:r>
      <w:r w:rsidRPr="005B5A8E">
        <w:rPr>
          <w:rFonts w:eastAsia="Palatino Linotype" w:cs="Times New Roman"/>
        </w:rPr>
        <w:t xml:space="preserve">, jako niezgodna z warunkami zamówienia na podstawie art. 226 ust. 1 pkt 5 ustawy </w:t>
      </w:r>
      <w:proofErr w:type="spellStart"/>
      <w:r w:rsidRPr="005B5A8E">
        <w:rPr>
          <w:rFonts w:eastAsia="Palatino Linotype" w:cs="Times New Roman"/>
        </w:rPr>
        <w:t>Pzp</w:t>
      </w:r>
      <w:proofErr w:type="spellEnd"/>
      <w:r w:rsidRPr="005B5A8E">
        <w:rPr>
          <w:rFonts w:eastAsia="Palatino Linotype" w:cs="Times New Roman"/>
        </w:rPr>
        <w:t>.</w:t>
      </w:r>
      <w:r w:rsidR="00DD6D55" w:rsidRPr="00DD6D55">
        <w:t xml:space="preserve"> </w:t>
      </w:r>
      <w:r w:rsidR="00DD6D55">
        <w:rPr>
          <w:rFonts w:eastAsia="Palatino Linotype" w:cs="Times New Roman"/>
        </w:rPr>
        <w:t>Z</w:t>
      </w:r>
      <w:r w:rsidR="00DD6D55" w:rsidRPr="00DD6D55">
        <w:rPr>
          <w:rFonts w:eastAsia="Palatino Linotype" w:cs="Times New Roman"/>
        </w:rPr>
        <w:t>aproponowanie terminu krótszego niż 3 m-ce nie spowoduje przyznania większej ilości punktów niż 40</w:t>
      </w:r>
      <w:r w:rsidR="00DD6D55">
        <w:rPr>
          <w:rFonts w:eastAsia="Palatino Linotype" w:cs="Times New Roman"/>
        </w:rPr>
        <w:t>.</w:t>
      </w:r>
    </w:p>
    <w:p w14:paraId="4EBD55E5" w14:textId="6235152B" w:rsidR="005F26F5" w:rsidRP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9" w:name="_Hlk161906828"/>
      <w:r w:rsidRPr="005F26F5">
        <w:rPr>
          <w:rFonts w:eastAsia="Palatino Linotype" w:cs="Times New Roman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bookmarkEnd w:id="39"/>
    <w:p w14:paraId="50951F83" w14:textId="6A295293" w:rsidR="005F26F5" w:rsidRP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 xml:space="preserve">Wykonawca podając termin realizacji  powinien określić pełne </w:t>
      </w:r>
      <w:r w:rsidR="00B24590">
        <w:rPr>
          <w:rFonts w:eastAsia="Palatino Linotype" w:cs="Times New Roman"/>
        </w:rPr>
        <w:t xml:space="preserve">miesiące </w:t>
      </w:r>
      <w:r w:rsidRPr="005F26F5">
        <w:rPr>
          <w:rFonts w:eastAsia="Palatino Linotype" w:cs="Times New Roman"/>
        </w:rPr>
        <w:t xml:space="preserve"> potrzebne na zrealizowanie zamówienia, licząc od daty zawarcia umowy</w:t>
      </w:r>
      <w:r>
        <w:rPr>
          <w:rFonts w:eastAsia="Palatino Linotype" w:cs="Times New Roman"/>
        </w:rPr>
        <w:t>;</w:t>
      </w:r>
    </w:p>
    <w:p w14:paraId="37A4D978" w14:textId="4C63213E" w:rsidR="005F26F5" w:rsidRPr="00B24590" w:rsidRDefault="005F26F5" w:rsidP="00A43714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B24590">
        <w:rPr>
          <w:rFonts w:eastAsia="Palatino Linotype" w:cs="Times New Roman"/>
        </w:rPr>
        <w:t xml:space="preserve">W przypadku podania terminu realizacji  w niepełnych </w:t>
      </w:r>
      <w:r w:rsidR="00B24590" w:rsidRPr="00B24590">
        <w:rPr>
          <w:rFonts w:eastAsia="Palatino Linotype" w:cs="Times New Roman"/>
        </w:rPr>
        <w:t>miesiącach</w:t>
      </w:r>
      <w:r w:rsidRPr="00B24590">
        <w:rPr>
          <w:rFonts w:eastAsia="Palatino Linotype" w:cs="Times New Roman"/>
        </w:rPr>
        <w:t xml:space="preserve">, w celu oceny tego kryterium Zamawiający zaokrągli  podane okresy w górę do pełnych </w:t>
      </w:r>
      <w:r w:rsidR="00B24590" w:rsidRPr="00B24590">
        <w:rPr>
          <w:rFonts w:eastAsia="Palatino Linotype" w:cs="Times New Roman"/>
        </w:rPr>
        <w:t>miesięcy</w:t>
      </w:r>
      <w:r w:rsidR="00B24590">
        <w:rPr>
          <w:rFonts w:eastAsia="Palatino Linotype" w:cs="Times New Roman"/>
        </w:rPr>
        <w:t xml:space="preserve"> </w:t>
      </w:r>
      <w:r w:rsidRPr="00B24590">
        <w:rPr>
          <w:rFonts w:eastAsia="Palatino Linotype" w:cs="Times New Roman"/>
        </w:rPr>
        <w:t xml:space="preserve"> (np. </w:t>
      </w:r>
      <w:r w:rsidR="00B24590">
        <w:rPr>
          <w:rFonts w:eastAsia="Palatino Linotype" w:cs="Times New Roman"/>
        </w:rPr>
        <w:t>5</w:t>
      </w:r>
      <w:r w:rsidRPr="00B24590">
        <w:rPr>
          <w:rFonts w:eastAsia="Palatino Linotype" w:cs="Times New Roman"/>
        </w:rPr>
        <w:t>,5 m-ca</w:t>
      </w:r>
      <w:r w:rsidR="00B24590">
        <w:rPr>
          <w:rFonts w:eastAsia="Palatino Linotype" w:cs="Times New Roman"/>
        </w:rPr>
        <w:t xml:space="preserve"> do 6 m-cy</w:t>
      </w:r>
      <w:r w:rsidRPr="00B24590">
        <w:rPr>
          <w:rFonts w:eastAsia="Palatino Linotype" w:cs="Times New Roman"/>
        </w:rPr>
        <w:t>)</w:t>
      </w:r>
      <w:r w:rsidR="00F60664">
        <w:rPr>
          <w:rFonts w:eastAsia="Palatino Linotype" w:cs="Times New Roman"/>
        </w:rPr>
        <w:t>;</w:t>
      </w:r>
    </w:p>
    <w:p w14:paraId="31CFC1C5" w14:textId="19C3468F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>cena brutto + termin realizacji</w:t>
      </w:r>
      <w:r w:rsidR="00DD6D55">
        <w:t xml:space="preserve"> zamówienia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lastRenderedPageBreak/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r w:rsidRPr="005B5BDF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5B5BDF">
        <w:t xml:space="preserve">ykonawcach,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40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40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41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41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lastRenderedPageBreak/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42" w:name="_Toc102113071"/>
      <w:r w:rsidRPr="005B5BDF">
        <w:t>Informacje dodatkowe.</w:t>
      </w:r>
      <w:bookmarkEnd w:id="42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lastRenderedPageBreak/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535174B4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F60664">
        <w:rPr>
          <w:b/>
          <w:lang w:val="pl-PL"/>
        </w:rPr>
        <w:t>23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F60664" w:rsidRPr="00F60664">
        <w:t xml:space="preserve"> </w:t>
      </w:r>
      <w:r w:rsidR="00F60664" w:rsidRPr="00F60664">
        <w:rPr>
          <w:b/>
        </w:rPr>
        <w:t>samochodu z mobilną platformą</w:t>
      </w:r>
      <w:r w:rsidR="00AE4CD2" w:rsidRPr="007873D8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>Obowiązek podania przez Panią/Pana danych osobowych bezpośrednio Pani/Pana dotyczących jest wymogiem ustawowym określonym w przepisach ustawy Pzp, związanym z udziałem w</w:t>
      </w:r>
      <w:r w:rsidR="00BA4B90" w:rsidRPr="007873D8">
        <w:t> </w:t>
      </w:r>
      <w:r w:rsidRPr="007873D8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56C2344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2023 poz. 1605 ze zm.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>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 xml:space="preserve">przechowywane, </w:t>
      </w:r>
      <w:r w:rsidR="0061008C" w:rsidRPr="007873D8">
        <w:lastRenderedPageBreak/>
        <w:t>zgodnie z art. 78</w:t>
      </w:r>
      <w:r w:rsidRPr="007873D8">
        <w:t xml:space="preserve"> ust. 1 ustawy Pzp,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 xml:space="preserve">szczególności </w:t>
      </w:r>
      <w:r w:rsidRPr="007873D8">
        <w:rPr>
          <w:rFonts w:cs="Arial"/>
          <w:szCs w:val="20"/>
          <w:lang w:eastAsia="ar-SA"/>
        </w:rPr>
        <w:lastRenderedPageBreak/>
        <w:t>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C0411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244" w:right="1134" w:bottom="567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C63AC" w:rsidRDefault="00CC63A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C63AC" w:rsidRDefault="00CC63A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9EE53" w14:textId="77777777" w:rsidR="00CC63AC" w:rsidRDefault="00CC6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36544424" w14:textId="0A14053F" w:rsidR="00CC63AC" w:rsidRPr="0028799E" w:rsidRDefault="00CC63AC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str.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>
          <w:rPr>
            <w:rFonts w:eastAsiaTheme="majorEastAsia" w:cstheme="majorBidi"/>
            <w:sz w:val="18"/>
            <w:szCs w:val="18"/>
          </w:rPr>
          <w:t>3</w:t>
        </w:r>
      </w:p>
    </w:sdtContent>
  </w:sdt>
  <w:p w14:paraId="693816F1" w14:textId="77777777" w:rsidR="00CC63AC" w:rsidRPr="006B318B" w:rsidRDefault="00CC63AC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5" w:name="_Hlk136601009" w:displacedByCustomXml="next"/>
  <w:bookmarkStart w:id="56" w:name="_Hlk136333179" w:displacedByCustomXml="next"/>
  <w:sdt>
    <w:sdtPr>
      <w:rPr>
        <w:rFonts w:ascii="Calibri" w:eastAsia="Calibri" w:hAnsi="Calibri" w:cs="Times New Roman"/>
        <w:szCs w:val="20"/>
      </w:rPr>
      <w:id w:val="-25551689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21BD04F" w14:textId="6348C8C4" w:rsidR="00CC63AC" w:rsidRPr="0098672B" w:rsidRDefault="006D359B" w:rsidP="0098672B">
        <w:pPr>
          <w:tabs>
            <w:tab w:val="center" w:pos="4536"/>
            <w:tab w:val="right" w:pos="9072"/>
          </w:tabs>
          <w:spacing w:line="276" w:lineRule="auto"/>
          <w:ind w:left="0" w:firstLine="0"/>
          <w:rPr>
            <w:rFonts w:ascii="Calibri" w:eastAsia="Calibri" w:hAnsi="Calibri" w:cs="Times New Roman"/>
            <w:szCs w:val="20"/>
          </w:rPr>
        </w:pPr>
      </w:p>
    </w:sdtContent>
  </w:sdt>
  <w:bookmarkEnd w:id="55" w:displacedByCustomXml="prev"/>
  <w:p w14:paraId="1AEDD393" w14:textId="3569BCCD" w:rsidR="00CC63AC" w:rsidRPr="00F84EF3" w:rsidRDefault="00CC63AC" w:rsidP="0098672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039F3E32" wp14:editId="48751E6C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396CDC2E" wp14:editId="501D03C1">
          <wp:simplePos x="0" y="0"/>
          <wp:positionH relativeFrom="page">
            <wp:posOffset>79375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A5C42" w14:textId="70A913D6" w:rsidR="00CC63AC" w:rsidRPr="00602A59" w:rsidRDefault="00CC63AC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CC63AC" w:rsidRPr="00602A59" w:rsidRDefault="00CC63AC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77777777" w:rsidR="00CC63AC" w:rsidRPr="00602A59" w:rsidRDefault="00CC63AC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F6FAA1" wp14:editId="0425D9E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4C625" w14:textId="77777777" w:rsidR="00CC63AC" w:rsidRPr="00AF7FE4" w:rsidRDefault="00CC63AC" w:rsidP="00C0411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F6FAA1" id="Prostokąt 2" o:spid="_x0000_s1026" style="position:absolute;left:0;text-align:left;margin-left:20.9pt;margin-top:694.4pt;width:23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E24C625" w14:textId="77777777" w:rsidR="00CC63AC" w:rsidRPr="00AF7FE4" w:rsidRDefault="00CC63AC" w:rsidP="00C0411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CC63AC" w:rsidRPr="00602A59" w:rsidRDefault="00CC63AC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CC63AC" w:rsidRDefault="006D359B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CC63AC" w:rsidRPr="00E517F1">
        <w:rPr>
          <w:rStyle w:val="Hipercze"/>
          <w:sz w:val="16"/>
          <w:szCs w:val="16"/>
        </w:rPr>
        <w:t>www.</w:t>
      </w:r>
      <w:r w:rsidR="00CC63AC" w:rsidRPr="00E517F1">
        <w:rPr>
          <w:rStyle w:val="Hipercze"/>
          <w:b/>
          <w:bCs/>
          <w:sz w:val="16"/>
          <w:szCs w:val="16"/>
        </w:rPr>
        <w:t>us.</w:t>
      </w:r>
      <w:r w:rsidR="00CC63AC" w:rsidRPr="00E517F1">
        <w:rPr>
          <w:rStyle w:val="Hipercze"/>
          <w:sz w:val="16"/>
          <w:szCs w:val="16"/>
        </w:rPr>
        <w:t>edu.pl</w:t>
      </w:r>
    </w:hyperlink>
  </w:p>
  <w:bookmarkEnd w:id="56"/>
  <w:p w14:paraId="72289625" w14:textId="77777777" w:rsidR="00CC63AC" w:rsidRDefault="00CC63AC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C63AC" w:rsidRDefault="00CC63A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C63AC" w:rsidRDefault="00CC63A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52A3D" w14:textId="77777777" w:rsidR="00CC63AC" w:rsidRDefault="00CC6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CC63AC" w:rsidRPr="00CE60FA" w:rsidRDefault="00CC63AC" w:rsidP="00CE60FA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CC63AC" w:rsidRDefault="00CC63AC">
    <w:pPr>
      <w:pStyle w:val="Nagwek"/>
    </w:pPr>
    <w:bookmarkStart w:id="43" w:name="_Hlk136333150"/>
    <w:bookmarkStart w:id="44" w:name="_Hlk136333151"/>
    <w:bookmarkStart w:id="45" w:name="_Hlk136333159"/>
    <w:bookmarkStart w:id="46" w:name="_Hlk136333160"/>
  </w:p>
  <w:p w14:paraId="7DAAA9E7" w14:textId="47C7DC0E" w:rsidR="00CC63AC" w:rsidRDefault="00CC63AC">
    <w:pPr>
      <w:pStyle w:val="Nagwek"/>
    </w:pPr>
    <w:bookmarkStart w:id="47" w:name="_Hlk138251184"/>
    <w:bookmarkStart w:id="48" w:name="_Hlk138251185"/>
  </w:p>
  <w:p w14:paraId="2FFBDA13" w14:textId="188365F2" w:rsidR="00CC63AC" w:rsidRPr="00CF0359" w:rsidRDefault="00CC63AC" w:rsidP="00CE60FA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bookmarkStart w:id="49" w:name="_Hlk138250247"/>
    <w:bookmarkStart w:id="50" w:name="_Hlk138250248"/>
    <w:bookmarkStart w:id="51" w:name="_Hlk138250737"/>
    <w:bookmarkStart w:id="52" w:name="_Hlk138250738"/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8240" behindDoc="1" locked="1" layoutInCell="1" allowOverlap="1" wp14:anchorId="70C87444" wp14:editId="1B95C804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3" w:name="_Hlk127951159"/>
    <w:bookmarkStart w:id="54" w:name="_Hlk127951160"/>
  </w:p>
  <w:bookmarkEnd w:id="53"/>
  <w:bookmarkEnd w:id="54"/>
  <w:bookmarkEnd w:id="43"/>
  <w:bookmarkEnd w:id="44"/>
  <w:bookmarkEnd w:id="45"/>
  <w:bookmarkEnd w:id="46"/>
  <w:bookmarkEnd w:id="49"/>
  <w:bookmarkEnd w:id="50"/>
  <w:bookmarkEnd w:id="51"/>
  <w:bookmarkEnd w:id="52"/>
  <w:bookmarkEnd w:id="47"/>
  <w:bookmarkEnd w:id="48"/>
  <w:p w14:paraId="6059B8D5" w14:textId="7FF2D972" w:rsidR="00CC63AC" w:rsidRPr="0098672B" w:rsidRDefault="00CC63AC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EAE"/>
    <w:multiLevelType w:val="hybridMultilevel"/>
    <w:tmpl w:val="7C543416"/>
    <w:lvl w:ilvl="0" w:tplc="D70226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47116"/>
    <w:multiLevelType w:val="hybridMultilevel"/>
    <w:tmpl w:val="F30A8A9C"/>
    <w:lvl w:ilvl="0" w:tplc="F5A6A10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17619"/>
    <w:multiLevelType w:val="hybridMultilevel"/>
    <w:tmpl w:val="60480DA8"/>
    <w:lvl w:ilvl="0" w:tplc="37F4F002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1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7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8"/>
  </w:num>
  <w:num w:numId="4">
    <w:abstractNumId w:val="24"/>
  </w:num>
  <w:num w:numId="5">
    <w:abstractNumId w:val="23"/>
  </w:num>
  <w:num w:numId="6">
    <w:abstractNumId w:val="30"/>
  </w:num>
  <w:num w:numId="7">
    <w:abstractNumId w:val="13"/>
    <w:lvlOverride w:ilvl="0">
      <w:startOverride w:val="1"/>
    </w:lvlOverride>
  </w:num>
  <w:num w:numId="8">
    <w:abstractNumId w:val="26"/>
  </w:num>
  <w:num w:numId="9">
    <w:abstractNumId w:val="13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26"/>
    <w:lvlOverride w:ilvl="0">
      <w:startOverride w:val="1"/>
    </w:lvlOverride>
  </w:num>
  <w:num w:numId="17">
    <w:abstractNumId w:val="26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4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2"/>
  </w:num>
  <w:num w:numId="35">
    <w:abstractNumId w:val="4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26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3"/>
    <w:lvlOverride w:ilvl="0">
      <w:startOverride w:val="1"/>
    </w:lvlOverride>
  </w:num>
  <w:num w:numId="43">
    <w:abstractNumId w:val="0"/>
  </w:num>
  <w:num w:numId="44">
    <w:abstractNumId w:val="20"/>
  </w:num>
  <w:num w:numId="45">
    <w:abstractNumId w:val="7"/>
  </w:num>
  <w:num w:numId="46">
    <w:abstractNumId w:val="13"/>
    <w:lvlOverride w:ilvl="0">
      <w:startOverride w:val="1"/>
    </w:lvlOverride>
  </w:num>
  <w:num w:numId="47">
    <w:abstractNumId w:val="9"/>
  </w:num>
  <w:num w:numId="48">
    <w:abstractNumId w:val="27"/>
  </w:num>
  <w:num w:numId="49">
    <w:abstractNumId w:val="10"/>
  </w:num>
  <w:num w:numId="50">
    <w:abstractNumId w:val="3"/>
  </w:num>
  <w:num w:numId="51">
    <w:abstractNumId w:val="5"/>
  </w:num>
  <w:num w:numId="52">
    <w:abstractNumId w:val="26"/>
    <w:lvlOverride w:ilvl="0">
      <w:startOverride w:val="1"/>
    </w:lvlOverride>
  </w:num>
  <w:num w:numId="53">
    <w:abstractNumId w:val="32"/>
  </w:num>
  <w:num w:numId="54">
    <w:abstractNumId w:val="33"/>
  </w:num>
  <w:num w:numId="55">
    <w:abstractNumId w:val="17"/>
  </w:num>
  <w:num w:numId="56">
    <w:abstractNumId w:val="25"/>
  </w:num>
  <w:num w:numId="57">
    <w:abstractNumId w:val="29"/>
  </w:num>
  <w:num w:numId="58">
    <w:abstractNumId w:val="1"/>
  </w:num>
  <w:num w:numId="59">
    <w:abstractNumId w:val="8"/>
  </w:num>
  <w:num w:numId="60">
    <w:abstractNumId w:val="19"/>
  </w:num>
  <w:num w:numId="61">
    <w:abstractNumId w:val="6"/>
  </w:num>
  <w:num w:numId="62">
    <w:abstractNumId w:val="28"/>
  </w:num>
  <w:num w:numId="63">
    <w:abstractNumId w:val="34"/>
  </w:num>
  <w:num w:numId="64">
    <w:abstractNumId w:val="11"/>
  </w:num>
  <w:num w:numId="65">
    <w:abstractNumId w:val="4"/>
  </w:num>
  <w:num w:numId="66">
    <w:abstractNumId w:val="15"/>
  </w:num>
  <w:num w:numId="67">
    <w:abstractNumId w:val="31"/>
  </w:num>
  <w:num w:numId="68">
    <w:abstractNumId w:val="2"/>
  </w:num>
  <w:num w:numId="69">
    <w:abstractNumId w:val="13"/>
    <w:lvlOverride w:ilvl="0">
      <w:startOverride w:val="1"/>
    </w:lvlOverride>
  </w:num>
  <w:num w:numId="70">
    <w:abstractNumId w:val="16"/>
  </w:num>
  <w:num w:numId="71">
    <w:abstractNumId w:val="26"/>
  </w:num>
  <w:num w:numId="72">
    <w:abstractNumId w:val="26"/>
    <w:lvlOverride w:ilvl="0">
      <w:startOverride w:val="1"/>
    </w:lvlOverride>
  </w:num>
  <w:num w:numId="73">
    <w:abstractNumId w:val="2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8C"/>
    <w:rsid w:val="00000E81"/>
    <w:rsid w:val="00002F1C"/>
    <w:rsid w:val="000055C6"/>
    <w:rsid w:val="00005828"/>
    <w:rsid w:val="0001285D"/>
    <w:rsid w:val="00015B4D"/>
    <w:rsid w:val="00017990"/>
    <w:rsid w:val="00020555"/>
    <w:rsid w:val="00021C6F"/>
    <w:rsid w:val="000222D2"/>
    <w:rsid w:val="00023CE7"/>
    <w:rsid w:val="00026795"/>
    <w:rsid w:val="000270EA"/>
    <w:rsid w:val="00033867"/>
    <w:rsid w:val="00034894"/>
    <w:rsid w:val="0003593D"/>
    <w:rsid w:val="000431C2"/>
    <w:rsid w:val="0004321E"/>
    <w:rsid w:val="00043C80"/>
    <w:rsid w:val="00043FCA"/>
    <w:rsid w:val="00047065"/>
    <w:rsid w:val="000470BA"/>
    <w:rsid w:val="000479C6"/>
    <w:rsid w:val="00047AB6"/>
    <w:rsid w:val="00047C3B"/>
    <w:rsid w:val="000518A0"/>
    <w:rsid w:val="00052289"/>
    <w:rsid w:val="00052EF6"/>
    <w:rsid w:val="00055002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D782A"/>
    <w:rsid w:val="000E09B6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10217"/>
    <w:rsid w:val="00111FD4"/>
    <w:rsid w:val="00113823"/>
    <w:rsid w:val="001156FB"/>
    <w:rsid w:val="00115A66"/>
    <w:rsid w:val="00120932"/>
    <w:rsid w:val="00120996"/>
    <w:rsid w:val="00120AC8"/>
    <w:rsid w:val="00125FCF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67E4"/>
    <w:rsid w:val="00170642"/>
    <w:rsid w:val="001748E8"/>
    <w:rsid w:val="001800D5"/>
    <w:rsid w:val="001814C5"/>
    <w:rsid w:val="001815C9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DF8"/>
    <w:rsid w:val="001B1AC0"/>
    <w:rsid w:val="001B6A6B"/>
    <w:rsid w:val="001C43D0"/>
    <w:rsid w:val="001C759F"/>
    <w:rsid w:val="001D05CD"/>
    <w:rsid w:val="001E10B1"/>
    <w:rsid w:val="001E4214"/>
    <w:rsid w:val="001E5A79"/>
    <w:rsid w:val="001E767A"/>
    <w:rsid w:val="001F359D"/>
    <w:rsid w:val="001F3AFE"/>
    <w:rsid w:val="001F79EB"/>
    <w:rsid w:val="00200A27"/>
    <w:rsid w:val="0020155F"/>
    <w:rsid w:val="00206287"/>
    <w:rsid w:val="00213D90"/>
    <w:rsid w:val="00221638"/>
    <w:rsid w:val="00226310"/>
    <w:rsid w:val="0022633D"/>
    <w:rsid w:val="002278D2"/>
    <w:rsid w:val="00230413"/>
    <w:rsid w:val="00230DAC"/>
    <w:rsid w:val="00230DE9"/>
    <w:rsid w:val="00231029"/>
    <w:rsid w:val="002318AB"/>
    <w:rsid w:val="00241D9C"/>
    <w:rsid w:val="00242762"/>
    <w:rsid w:val="00244022"/>
    <w:rsid w:val="002537B1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3A96"/>
    <w:rsid w:val="002B3B39"/>
    <w:rsid w:val="002B5872"/>
    <w:rsid w:val="002B6782"/>
    <w:rsid w:val="002C1741"/>
    <w:rsid w:val="002C27DE"/>
    <w:rsid w:val="002C76A7"/>
    <w:rsid w:val="002D07BD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93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B1A5A"/>
    <w:rsid w:val="003B3416"/>
    <w:rsid w:val="003B36A0"/>
    <w:rsid w:val="003B678D"/>
    <w:rsid w:val="003C094D"/>
    <w:rsid w:val="003C0C2B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987"/>
    <w:rsid w:val="003E6CB0"/>
    <w:rsid w:val="003F5E14"/>
    <w:rsid w:val="003F7581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B4CE9"/>
    <w:rsid w:val="004C0350"/>
    <w:rsid w:val="004C0E1D"/>
    <w:rsid w:val="004C1290"/>
    <w:rsid w:val="004C1B2D"/>
    <w:rsid w:val="004C4C93"/>
    <w:rsid w:val="004C7C8B"/>
    <w:rsid w:val="004D0716"/>
    <w:rsid w:val="004D149F"/>
    <w:rsid w:val="004D222E"/>
    <w:rsid w:val="004D22E3"/>
    <w:rsid w:val="004D2D43"/>
    <w:rsid w:val="004D3896"/>
    <w:rsid w:val="004D3EDD"/>
    <w:rsid w:val="004E0BD8"/>
    <w:rsid w:val="004E12A5"/>
    <w:rsid w:val="004E6212"/>
    <w:rsid w:val="004F088D"/>
    <w:rsid w:val="004F19BB"/>
    <w:rsid w:val="004F683C"/>
    <w:rsid w:val="004F6ADD"/>
    <w:rsid w:val="004F6D35"/>
    <w:rsid w:val="004F6E0A"/>
    <w:rsid w:val="004F77CC"/>
    <w:rsid w:val="005149DB"/>
    <w:rsid w:val="00515101"/>
    <w:rsid w:val="005170E3"/>
    <w:rsid w:val="00517FBE"/>
    <w:rsid w:val="00525471"/>
    <w:rsid w:val="00530597"/>
    <w:rsid w:val="00530CAA"/>
    <w:rsid w:val="00535B71"/>
    <w:rsid w:val="00535F27"/>
    <w:rsid w:val="0053656A"/>
    <w:rsid w:val="005425C4"/>
    <w:rsid w:val="0055027A"/>
    <w:rsid w:val="0055317F"/>
    <w:rsid w:val="00553D74"/>
    <w:rsid w:val="00557CB8"/>
    <w:rsid w:val="00560038"/>
    <w:rsid w:val="005625C2"/>
    <w:rsid w:val="00572D77"/>
    <w:rsid w:val="005741C5"/>
    <w:rsid w:val="00581FED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FA6"/>
    <w:rsid w:val="005B0012"/>
    <w:rsid w:val="005B0A66"/>
    <w:rsid w:val="005B34FE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6613"/>
    <w:rsid w:val="00600EF5"/>
    <w:rsid w:val="006013D3"/>
    <w:rsid w:val="00602A59"/>
    <w:rsid w:val="00603445"/>
    <w:rsid w:val="00604E32"/>
    <w:rsid w:val="0061008C"/>
    <w:rsid w:val="0061033C"/>
    <w:rsid w:val="00610A45"/>
    <w:rsid w:val="00611B18"/>
    <w:rsid w:val="00614792"/>
    <w:rsid w:val="0061721E"/>
    <w:rsid w:val="00622624"/>
    <w:rsid w:val="00627500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B43AC"/>
    <w:rsid w:val="006C13CB"/>
    <w:rsid w:val="006C251D"/>
    <w:rsid w:val="006C4A57"/>
    <w:rsid w:val="006C5845"/>
    <w:rsid w:val="006C75AE"/>
    <w:rsid w:val="006C76A2"/>
    <w:rsid w:val="006D3219"/>
    <w:rsid w:val="006D359B"/>
    <w:rsid w:val="006D3FAD"/>
    <w:rsid w:val="006D4E1B"/>
    <w:rsid w:val="006D58EC"/>
    <w:rsid w:val="006D6009"/>
    <w:rsid w:val="006D7344"/>
    <w:rsid w:val="006E1313"/>
    <w:rsid w:val="006E2700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73D8"/>
    <w:rsid w:val="007905BE"/>
    <w:rsid w:val="00791BE2"/>
    <w:rsid w:val="0079207F"/>
    <w:rsid w:val="00794699"/>
    <w:rsid w:val="00794879"/>
    <w:rsid w:val="00794FEA"/>
    <w:rsid w:val="00795C2A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64F8"/>
    <w:rsid w:val="007B66D6"/>
    <w:rsid w:val="007B6BDE"/>
    <w:rsid w:val="007C52C3"/>
    <w:rsid w:val="007C7952"/>
    <w:rsid w:val="007D58D4"/>
    <w:rsid w:val="007D5B85"/>
    <w:rsid w:val="007D67F0"/>
    <w:rsid w:val="007E06DA"/>
    <w:rsid w:val="007E1600"/>
    <w:rsid w:val="007E1CA4"/>
    <w:rsid w:val="007E1EB6"/>
    <w:rsid w:val="007E77EF"/>
    <w:rsid w:val="007F09C2"/>
    <w:rsid w:val="007F153F"/>
    <w:rsid w:val="007F1CC6"/>
    <w:rsid w:val="007F3155"/>
    <w:rsid w:val="007F728E"/>
    <w:rsid w:val="00801A5D"/>
    <w:rsid w:val="00802322"/>
    <w:rsid w:val="00803842"/>
    <w:rsid w:val="0080582A"/>
    <w:rsid w:val="0081100D"/>
    <w:rsid w:val="008126BD"/>
    <w:rsid w:val="00815FE8"/>
    <w:rsid w:val="00821D84"/>
    <w:rsid w:val="0082259F"/>
    <w:rsid w:val="008267E1"/>
    <w:rsid w:val="008278FB"/>
    <w:rsid w:val="008310CE"/>
    <w:rsid w:val="00831746"/>
    <w:rsid w:val="008325FA"/>
    <w:rsid w:val="00836AE7"/>
    <w:rsid w:val="008416F6"/>
    <w:rsid w:val="008422DF"/>
    <w:rsid w:val="00842750"/>
    <w:rsid w:val="00845B0F"/>
    <w:rsid w:val="00847562"/>
    <w:rsid w:val="008521BF"/>
    <w:rsid w:val="00853907"/>
    <w:rsid w:val="008614DC"/>
    <w:rsid w:val="00863236"/>
    <w:rsid w:val="008657DF"/>
    <w:rsid w:val="00867947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7133"/>
    <w:rsid w:val="00927660"/>
    <w:rsid w:val="0093164C"/>
    <w:rsid w:val="00931A98"/>
    <w:rsid w:val="00931AA6"/>
    <w:rsid w:val="0093436C"/>
    <w:rsid w:val="0093511F"/>
    <w:rsid w:val="0093760E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1FE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2BF0"/>
    <w:rsid w:val="009B3BE1"/>
    <w:rsid w:val="009B5DBA"/>
    <w:rsid w:val="009B63A4"/>
    <w:rsid w:val="009B64C5"/>
    <w:rsid w:val="009C0358"/>
    <w:rsid w:val="009C1A3B"/>
    <w:rsid w:val="009C40E6"/>
    <w:rsid w:val="009C4387"/>
    <w:rsid w:val="009D1C37"/>
    <w:rsid w:val="009D33A0"/>
    <w:rsid w:val="009D650B"/>
    <w:rsid w:val="009D7BC2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3714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04C7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B0A74"/>
    <w:rsid w:val="00AB29F6"/>
    <w:rsid w:val="00AB3591"/>
    <w:rsid w:val="00AB5387"/>
    <w:rsid w:val="00AB5F93"/>
    <w:rsid w:val="00AB7508"/>
    <w:rsid w:val="00AC2977"/>
    <w:rsid w:val="00AC39C7"/>
    <w:rsid w:val="00AC50A7"/>
    <w:rsid w:val="00AC55CA"/>
    <w:rsid w:val="00AD15BF"/>
    <w:rsid w:val="00AD1DEF"/>
    <w:rsid w:val="00AD3EF7"/>
    <w:rsid w:val="00AD7B52"/>
    <w:rsid w:val="00AE0A2F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4590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2402"/>
    <w:rsid w:val="00B53EEB"/>
    <w:rsid w:val="00B55757"/>
    <w:rsid w:val="00B61404"/>
    <w:rsid w:val="00B61F3A"/>
    <w:rsid w:val="00B66970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EDE"/>
    <w:rsid w:val="00BA4B90"/>
    <w:rsid w:val="00BA4C2B"/>
    <w:rsid w:val="00BA4FE0"/>
    <w:rsid w:val="00BA7816"/>
    <w:rsid w:val="00BA7E0B"/>
    <w:rsid w:val="00BB1F6F"/>
    <w:rsid w:val="00BB2931"/>
    <w:rsid w:val="00BB2E53"/>
    <w:rsid w:val="00BB33A4"/>
    <w:rsid w:val="00BB4D7A"/>
    <w:rsid w:val="00BB50C1"/>
    <w:rsid w:val="00BC07E0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09E1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053A"/>
    <w:rsid w:val="00C812CA"/>
    <w:rsid w:val="00C858E8"/>
    <w:rsid w:val="00C8603B"/>
    <w:rsid w:val="00C915C9"/>
    <w:rsid w:val="00CA318B"/>
    <w:rsid w:val="00CA3460"/>
    <w:rsid w:val="00CA6E77"/>
    <w:rsid w:val="00CA7078"/>
    <w:rsid w:val="00CB2376"/>
    <w:rsid w:val="00CB338B"/>
    <w:rsid w:val="00CB38DE"/>
    <w:rsid w:val="00CB45CD"/>
    <w:rsid w:val="00CC1292"/>
    <w:rsid w:val="00CC3EF8"/>
    <w:rsid w:val="00CC63AC"/>
    <w:rsid w:val="00CD00D3"/>
    <w:rsid w:val="00CD1C73"/>
    <w:rsid w:val="00CD1DBE"/>
    <w:rsid w:val="00CD2A5D"/>
    <w:rsid w:val="00CD2E49"/>
    <w:rsid w:val="00CD6350"/>
    <w:rsid w:val="00CE3060"/>
    <w:rsid w:val="00CE4765"/>
    <w:rsid w:val="00CE4834"/>
    <w:rsid w:val="00CE60FA"/>
    <w:rsid w:val="00CE6139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6317"/>
    <w:rsid w:val="00D21D49"/>
    <w:rsid w:val="00D2293F"/>
    <w:rsid w:val="00D26753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3443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EC5"/>
    <w:rsid w:val="00DD019B"/>
    <w:rsid w:val="00DD03B1"/>
    <w:rsid w:val="00DD1CDA"/>
    <w:rsid w:val="00DD537C"/>
    <w:rsid w:val="00DD6D55"/>
    <w:rsid w:val="00DD7960"/>
    <w:rsid w:val="00DE1639"/>
    <w:rsid w:val="00DE720A"/>
    <w:rsid w:val="00DF1BF1"/>
    <w:rsid w:val="00DF46C7"/>
    <w:rsid w:val="00E054BA"/>
    <w:rsid w:val="00E06489"/>
    <w:rsid w:val="00E10BD4"/>
    <w:rsid w:val="00E118B6"/>
    <w:rsid w:val="00E1454C"/>
    <w:rsid w:val="00E1641F"/>
    <w:rsid w:val="00E22B0C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3907"/>
    <w:rsid w:val="00E7441E"/>
    <w:rsid w:val="00E74E14"/>
    <w:rsid w:val="00E75684"/>
    <w:rsid w:val="00E8014A"/>
    <w:rsid w:val="00E81D74"/>
    <w:rsid w:val="00E83039"/>
    <w:rsid w:val="00E85B4D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A754F"/>
    <w:rsid w:val="00EB2564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444D"/>
    <w:rsid w:val="00EE50C7"/>
    <w:rsid w:val="00EE6932"/>
    <w:rsid w:val="00EE75D0"/>
    <w:rsid w:val="00EF135A"/>
    <w:rsid w:val="00EF2A49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0EAF"/>
    <w:rsid w:val="00F22F1D"/>
    <w:rsid w:val="00F23144"/>
    <w:rsid w:val="00F325A8"/>
    <w:rsid w:val="00F375F5"/>
    <w:rsid w:val="00F4088D"/>
    <w:rsid w:val="00F43774"/>
    <w:rsid w:val="00F466E1"/>
    <w:rsid w:val="00F47A89"/>
    <w:rsid w:val="00F47E48"/>
    <w:rsid w:val="00F52FC2"/>
    <w:rsid w:val="00F54060"/>
    <w:rsid w:val="00F555B5"/>
    <w:rsid w:val="00F60664"/>
    <w:rsid w:val="00F634DF"/>
    <w:rsid w:val="00F63CAF"/>
    <w:rsid w:val="00F65A36"/>
    <w:rsid w:val="00F70C4D"/>
    <w:rsid w:val="00F7264E"/>
    <w:rsid w:val="00F81CA1"/>
    <w:rsid w:val="00F8247C"/>
    <w:rsid w:val="00F83B5D"/>
    <w:rsid w:val="00F83B8A"/>
    <w:rsid w:val="00F8496A"/>
    <w:rsid w:val="00F84EF3"/>
    <w:rsid w:val="00F85C46"/>
    <w:rsid w:val="00F86650"/>
    <w:rsid w:val="00F87349"/>
    <w:rsid w:val="00F96B4C"/>
    <w:rsid w:val="00F97183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59A"/>
    <w:rsid w:val="00FC24AE"/>
    <w:rsid w:val="00FC3A95"/>
    <w:rsid w:val="00FC40E1"/>
    <w:rsid w:val="00FC74E9"/>
    <w:rsid w:val="00FD474A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1E6A0-0C47-4F81-A466-206E83E2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23</Pages>
  <Words>9160</Words>
  <Characters>54964</Characters>
  <Application>Microsoft Office Word</Application>
  <DocSecurity>0</DocSecurity>
  <Lines>458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632</cp:revision>
  <cp:lastPrinted>2024-03-21T08:53:00Z</cp:lastPrinted>
  <dcterms:created xsi:type="dcterms:W3CDTF">2021-02-03T06:43:00Z</dcterms:created>
  <dcterms:modified xsi:type="dcterms:W3CDTF">2024-05-24T19:14:00Z</dcterms:modified>
</cp:coreProperties>
</file>