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95776" w:rsidRPr="009C0C7D" w:rsidTr="0042761C">
        <w:trPr>
          <w:trHeight w:val="614"/>
        </w:trPr>
        <w:tc>
          <w:tcPr>
            <w:tcW w:w="4050" w:type="dxa"/>
          </w:tcPr>
          <w:p w:rsidR="00995776" w:rsidRPr="009C0C7D" w:rsidRDefault="00995776" w:rsidP="0042761C">
            <w:pPr>
              <w:rPr>
                <w:rFonts w:cs="Verdana"/>
                <w:color w:val="auto"/>
                <w:spacing w:val="0"/>
                <w:szCs w:val="20"/>
              </w:rPr>
            </w:pPr>
          </w:p>
        </w:tc>
        <w:tc>
          <w:tcPr>
            <w:tcW w:w="4051" w:type="dxa"/>
          </w:tcPr>
          <w:p w:rsidR="00995776" w:rsidRPr="009C0C7D" w:rsidRDefault="00995776" w:rsidP="0042761C">
            <w:pPr>
              <w:jc w:val="right"/>
              <w:rPr>
                <w:rFonts w:cs="Verdana"/>
                <w:color w:val="auto"/>
                <w:spacing w:val="0"/>
                <w:szCs w:val="20"/>
              </w:rPr>
            </w:pPr>
            <w:r>
              <w:rPr>
                <w:rFonts w:cs="Verdana"/>
                <w:color w:val="auto"/>
                <w:spacing w:val="0"/>
                <w:szCs w:val="20"/>
              </w:rPr>
              <w:t>Kraków, dn. 07.08.2023  r.</w:t>
            </w:r>
          </w:p>
        </w:tc>
      </w:tr>
    </w:tbl>
    <w:p w:rsidR="00995776" w:rsidRPr="00251BEF" w:rsidRDefault="00995776" w:rsidP="00251BEF">
      <w:pPr>
        <w:pStyle w:val="Heading3"/>
        <w:rPr>
          <w:szCs w:val="20"/>
        </w:rPr>
      </w:pPr>
      <w:bookmarkStart w:id="0" w:name="_GoBack"/>
      <w:bookmarkEnd w:id="0"/>
      <w:r w:rsidRPr="00251BEF">
        <w:rPr>
          <w:szCs w:val="20"/>
        </w:rPr>
        <w:t>.</w:t>
      </w:r>
    </w:p>
    <w:p w:rsidR="00995776" w:rsidRPr="00251BEF" w:rsidRDefault="00995776" w:rsidP="00251BEF">
      <w:pPr>
        <w:pStyle w:val="Heading3"/>
        <w:rPr>
          <w:b w:val="0"/>
          <w:sz w:val="22"/>
          <w:szCs w:val="22"/>
        </w:rPr>
      </w:pPr>
      <w:r w:rsidRPr="00251BEF">
        <w:rPr>
          <w:b w:val="0"/>
          <w:sz w:val="22"/>
          <w:szCs w:val="22"/>
        </w:rPr>
        <w:t>Numer sprawy:    ZP/7/23</w:t>
      </w:r>
    </w:p>
    <w:p w:rsidR="00995776" w:rsidRPr="00251BEF" w:rsidRDefault="00995776" w:rsidP="00251BEF">
      <w:pPr>
        <w:pStyle w:val="Heading3"/>
        <w:rPr>
          <w:b w:val="0"/>
          <w:sz w:val="22"/>
          <w:szCs w:val="22"/>
        </w:rPr>
      </w:pPr>
    </w:p>
    <w:p w:rsidR="00995776" w:rsidRPr="00EA063D" w:rsidRDefault="00995776" w:rsidP="00251BEF">
      <w:pPr>
        <w:pStyle w:val="Heading3"/>
        <w:ind w:left="3540" w:firstLine="708"/>
        <w:rPr>
          <w:b w:val="0"/>
          <w:sz w:val="20"/>
          <w:szCs w:val="20"/>
        </w:rPr>
      </w:pPr>
      <w:r w:rsidRPr="00EA063D">
        <w:rPr>
          <w:b w:val="0"/>
          <w:sz w:val="20"/>
          <w:szCs w:val="20"/>
        </w:rPr>
        <w:t>Do:</w:t>
      </w:r>
    </w:p>
    <w:p w:rsidR="00995776" w:rsidRPr="00EA063D" w:rsidRDefault="00995776" w:rsidP="00251BEF">
      <w:pPr>
        <w:pStyle w:val="Heading3"/>
        <w:ind w:left="3540" w:firstLine="708"/>
        <w:rPr>
          <w:b w:val="0"/>
          <w:sz w:val="20"/>
          <w:szCs w:val="20"/>
        </w:rPr>
      </w:pPr>
      <w:r w:rsidRPr="00EA063D">
        <w:rPr>
          <w:b w:val="0"/>
          <w:sz w:val="20"/>
          <w:szCs w:val="20"/>
        </w:rPr>
        <w:t>Wszyscy zainteresowani</w:t>
      </w:r>
    </w:p>
    <w:p w:rsidR="00995776" w:rsidRPr="00EA063D" w:rsidRDefault="00995776" w:rsidP="00251BEF">
      <w:pPr>
        <w:pStyle w:val="Heading3"/>
        <w:rPr>
          <w:b w:val="0"/>
          <w:sz w:val="20"/>
          <w:szCs w:val="20"/>
        </w:rPr>
      </w:pPr>
    </w:p>
    <w:p w:rsidR="00995776" w:rsidRPr="00EA063D" w:rsidRDefault="00995776" w:rsidP="00251BEF">
      <w:pPr>
        <w:pStyle w:val="Heading3"/>
        <w:rPr>
          <w:b w:val="0"/>
          <w:sz w:val="20"/>
          <w:szCs w:val="20"/>
        </w:rPr>
      </w:pPr>
      <w:r w:rsidRPr="00EA063D">
        <w:rPr>
          <w:b w:val="0"/>
          <w:sz w:val="20"/>
          <w:szCs w:val="20"/>
        </w:rPr>
        <w:t>dotyczy:</w:t>
      </w:r>
      <w:r w:rsidRPr="00EA063D">
        <w:rPr>
          <w:b w:val="0"/>
          <w:sz w:val="20"/>
          <w:szCs w:val="20"/>
        </w:rPr>
        <w:tab/>
        <w:t>postępowania o zamówienie publiczne w trybie podstawowym pn.: „Obsługa prawna, doradztwo prawne, konsultacje wraz z zastępstwem procesowym” (dalej jako „Postępowanie”);</w:t>
      </w:r>
    </w:p>
    <w:p w:rsidR="00995776" w:rsidRPr="00EA063D" w:rsidRDefault="00995776" w:rsidP="00251BEF">
      <w:pPr>
        <w:pStyle w:val="Heading3"/>
        <w:rPr>
          <w:sz w:val="20"/>
          <w:szCs w:val="20"/>
        </w:rPr>
      </w:pPr>
      <w:r w:rsidRPr="00EA063D">
        <w:rPr>
          <w:sz w:val="20"/>
          <w:szCs w:val="20"/>
        </w:rPr>
        <w:t>WYJAŚNIENIA TREŚCI SWZ NR2</w:t>
      </w:r>
    </w:p>
    <w:p w:rsidR="00995776" w:rsidRPr="00EA063D" w:rsidRDefault="00995776" w:rsidP="00251BEF">
      <w:pPr>
        <w:pStyle w:val="Heading3"/>
        <w:rPr>
          <w:b w:val="0"/>
          <w:sz w:val="20"/>
          <w:szCs w:val="20"/>
        </w:rPr>
      </w:pPr>
      <w:bookmarkStart w:id="1" w:name="_Hlk63186200"/>
      <w:r w:rsidRPr="00EA063D">
        <w:rPr>
          <w:b w:val="0"/>
          <w:sz w:val="20"/>
          <w:szCs w:val="20"/>
        </w:rPr>
        <w:t>Na podstawie art. 284 ust. 2 ustawy z dnia 11 września 2019 r. – Prawo zamówień publicznych (tj. Dz. U. z 2022 r., poz. 1710 ze zm.), dalej zwanej „ustawą”, Zamawiający udziela poniżej wyjaśnień treści Specyfikacji Warunków Zamówienia odpowiadając na pytania, które wpłynęły do Zamawiającego:</w:t>
      </w:r>
    </w:p>
    <w:p w:rsidR="00995776" w:rsidRPr="00EA063D" w:rsidRDefault="00995776" w:rsidP="00251BEF">
      <w:pPr>
        <w:pStyle w:val="Heading3"/>
        <w:rPr>
          <w:b w:val="0"/>
          <w:sz w:val="20"/>
          <w:szCs w:val="20"/>
        </w:rPr>
      </w:pPr>
      <w:r w:rsidRPr="00EA063D">
        <w:rPr>
          <w:b w:val="0"/>
          <w:sz w:val="20"/>
          <w:szCs w:val="20"/>
        </w:rPr>
        <w:t>Pytanie 1</w:t>
      </w:r>
    </w:p>
    <w:bookmarkEnd w:id="1"/>
    <w:p w:rsidR="00995776" w:rsidRPr="00EA063D" w:rsidRDefault="00995776" w:rsidP="00251BEF">
      <w:pPr>
        <w:pStyle w:val="Heading3"/>
        <w:rPr>
          <w:b w:val="0"/>
          <w:sz w:val="20"/>
          <w:szCs w:val="20"/>
        </w:rPr>
      </w:pPr>
      <w:r w:rsidRPr="00EA063D">
        <w:rPr>
          <w:b w:val="0"/>
          <w:sz w:val="20"/>
          <w:szCs w:val="20"/>
        </w:rPr>
        <w:t>W treści III.6 Opisu Przedmiotu Zamówienia wskazano, że: „Dyżur prawny będzie pełniony przez co najmniej 1 osobę z personelu, o którym mowa powyżej w tym obligatoryjny dyżur prawnika kluczowego, który nie może być krótszy niż 1 dzień tygodniowo. Pełnienie dyżuru prawnego polega na stałej obecności personelu w siedzibie Zamawiającego w powyższych terminach zapewniając dostępność personelu w godzinach pracy Zamawiającego.”</w:t>
      </w:r>
    </w:p>
    <w:p w:rsidR="00995776" w:rsidRDefault="00995776" w:rsidP="00251BEF">
      <w:pPr>
        <w:pStyle w:val="Heading3"/>
        <w:rPr>
          <w:b w:val="0"/>
          <w:sz w:val="20"/>
          <w:szCs w:val="20"/>
        </w:rPr>
      </w:pPr>
      <w:r w:rsidRPr="00EA063D">
        <w:rPr>
          <w:b w:val="0"/>
          <w:sz w:val="20"/>
          <w:szCs w:val="20"/>
        </w:rPr>
        <w:br/>
        <w:t>Z kolei zgodnie z § 2 ust. 6 Wzoru Umowy: „Wykonawca zobowiązany jest do zapewnienia dyżuru w siedzibie Zamawiającego (w budynku, w którym znajduje się biuro Dyrekcji Zamawiającego) co najmniej 4 razy w tygodniu przez 6 godzin dziennie. Dokładne terminy i godziny dyżurów zostaną uzgodnione przez Zamawiającego i Wykonawcę. Czas wykonywania czynności określonych w § 1 ust. 2 lit. e) i f) Umowy będz</w:t>
      </w:r>
      <w:r>
        <w:rPr>
          <w:b w:val="0"/>
          <w:sz w:val="20"/>
          <w:szCs w:val="20"/>
        </w:rPr>
        <w:t>ie zaliczany do Dyżuru.”</w:t>
      </w:r>
    </w:p>
    <w:p w:rsidR="00995776" w:rsidRPr="00EA063D" w:rsidRDefault="00995776" w:rsidP="00251BEF">
      <w:pPr>
        <w:pStyle w:val="Heading3"/>
        <w:rPr>
          <w:b w:val="0"/>
          <w:sz w:val="20"/>
          <w:szCs w:val="20"/>
        </w:rPr>
      </w:pPr>
      <w:r w:rsidRPr="00EA063D">
        <w:rPr>
          <w:b w:val="0"/>
          <w:sz w:val="20"/>
          <w:szCs w:val="20"/>
        </w:rPr>
        <w:t>W związku z powyższym proszę o doprecyzowanie, czy przewidywany nakład pracy, która ma podlegać wycenie wynosi średnio 96 godzin miesięcznie (4 dni w tygodniu po 6 godzin, 4 tygodnie) oraz jak kształtuje się wynagrodzenie w przypadku, gdy w ciągu jednego miesiąca zapotrzebowanie na usługi prawne przekroczy czas dyżuru.</w:t>
      </w:r>
    </w:p>
    <w:p w:rsidR="00995776" w:rsidRPr="00EA063D" w:rsidRDefault="00995776" w:rsidP="00251BEF">
      <w:pPr>
        <w:pStyle w:val="Heading3"/>
        <w:rPr>
          <w:b w:val="0"/>
          <w:sz w:val="20"/>
          <w:szCs w:val="20"/>
        </w:rPr>
      </w:pPr>
      <w:r w:rsidRPr="00EA063D">
        <w:rPr>
          <w:b w:val="0"/>
          <w:sz w:val="20"/>
          <w:szCs w:val="20"/>
        </w:rPr>
        <w:t>Równocześnie proszę o wskazanie, kogo należy traktować jako kluczowego prawnika, gdyż pojęcie to nie zostało zdefiniowane w dokumentacji przetargowej.</w:t>
      </w:r>
    </w:p>
    <w:p w:rsidR="00995776" w:rsidRPr="00EA063D" w:rsidRDefault="00995776" w:rsidP="00251BEF">
      <w:pPr>
        <w:pStyle w:val="Heading3"/>
        <w:rPr>
          <w:b w:val="0"/>
          <w:sz w:val="20"/>
          <w:szCs w:val="20"/>
        </w:rPr>
      </w:pPr>
      <w:r w:rsidRPr="00EA063D">
        <w:rPr>
          <w:b w:val="0"/>
          <w:sz w:val="20"/>
          <w:szCs w:val="20"/>
        </w:rPr>
        <w:t>Odpowiedź: Zamawiający wyjaśnia, że godziny dyżurów nie wyczerpują całkowitego nakładu pracy, który powinien wynikać z realizowania wszelkich obowiązków opisanych w Opisie Przedmiotu Zamówienia. Wynagrodzenie ma charakter ryczałtowy i w wynagrodzeniu Wykonawca powinien uwzględnić zakres realizowania zamówienia opisany w OPZ.</w:t>
      </w:r>
    </w:p>
    <w:p w:rsidR="00995776" w:rsidRPr="00EA063D" w:rsidRDefault="00995776" w:rsidP="00251BEF">
      <w:pPr>
        <w:pStyle w:val="Heading3"/>
        <w:rPr>
          <w:b w:val="0"/>
          <w:sz w:val="20"/>
          <w:szCs w:val="20"/>
        </w:rPr>
      </w:pPr>
      <w:r w:rsidRPr="00EA063D">
        <w:rPr>
          <w:b w:val="0"/>
          <w:sz w:val="20"/>
          <w:szCs w:val="20"/>
        </w:rPr>
        <w:t xml:space="preserve">Zamawiający wyjaśnia, że stacjonarny dyżur prawny powinien być pełniony przez co najmniej 1 osobę z personelu wskazanego w wykazie osób składanym na potwierdzenie spełniania warunków udziału w postępowaniu oraz kryteriów oceny ofert. </w:t>
      </w:r>
    </w:p>
    <w:p w:rsidR="00995776" w:rsidRPr="00EA063D" w:rsidRDefault="00995776" w:rsidP="00251BEF">
      <w:pPr>
        <w:pStyle w:val="Heading3"/>
        <w:rPr>
          <w:b w:val="0"/>
          <w:sz w:val="20"/>
          <w:szCs w:val="20"/>
        </w:rPr>
      </w:pPr>
      <w:r w:rsidRPr="00EA063D">
        <w:rPr>
          <w:b w:val="0"/>
          <w:sz w:val="20"/>
          <w:szCs w:val="20"/>
        </w:rPr>
        <w:t>Zamawiający zmienia treść punktu III.6 Opisu Przedmiotu Zamówienia nadając mu brzmienie:</w:t>
      </w:r>
    </w:p>
    <w:p w:rsidR="00995776" w:rsidRPr="00EA063D" w:rsidRDefault="00995776" w:rsidP="00251BEF">
      <w:pPr>
        <w:pStyle w:val="Heading3"/>
        <w:rPr>
          <w:b w:val="0"/>
          <w:sz w:val="20"/>
          <w:szCs w:val="20"/>
        </w:rPr>
      </w:pPr>
      <w:r w:rsidRPr="00EA063D">
        <w:rPr>
          <w:b w:val="0"/>
          <w:sz w:val="20"/>
          <w:szCs w:val="20"/>
        </w:rPr>
        <w:t>„Dyżur prawny będzie pełniony przez co najmniej 1 osobę z personelu wskazanego w wykazie osób składanym na potwierdzenie spełniania warunków udziału w postępowaniu oraz kryteriów oceny ofert. Pełnienie dyżuru prawnego polega na stałej obecności ww. osoby w siedzibie Zamawiającego w powyższych terminach, zapewniając dostępność tejże osoby w godzinach pracy Zamawiającego.”</w:t>
      </w:r>
    </w:p>
    <w:p w:rsidR="00995776" w:rsidRPr="00EA063D" w:rsidRDefault="00995776" w:rsidP="00251BEF">
      <w:pPr>
        <w:pStyle w:val="Heading3"/>
        <w:rPr>
          <w:b w:val="0"/>
          <w:sz w:val="20"/>
          <w:szCs w:val="20"/>
        </w:rPr>
      </w:pPr>
    </w:p>
    <w:p w:rsidR="00995776" w:rsidRPr="00EA063D" w:rsidRDefault="00995776" w:rsidP="00251BEF">
      <w:pPr>
        <w:pStyle w:val="Heading3"/>
        <w:rPr>
          <w:b w:val="0"/>
          <w:sz w:val="20"/>
          <w:szCs w:val="20"/>
        </w:rPr>
      </w:pPr>
      <w:r w:rsidRPr="00EA063D">
        <w:rPr>
          <w:b w:val="0"/>
          <w:sz w:val="20"/>
          <w:szCs w:val="20"/>
        </w:rPr>
        <w:t>PYTANIE 2</w:t>
      </w:r>
    </w:p>
    <w:p w:rsidR="00995776" w:rsidRPr="00EA063D" w:rsidRDefault="00995776" w:rsidP="00251BEF">
      <w:pPr>
        <w:pStyle w:val="Heading3"/>
        <w:rPr>
          <w:b w:val="0"/>
          <w:sz w:val="20"/>
          <w:szCs w:val="20"/>
        </w:rPr>
      </w:pPr>
      <w:r w:rsidRPr="00EA063D">
        <w:rPr>
          <w:b w:val="0"/>
          <w:sz w:val="20"/>
          <w:szCs w:val="20"/>
        </w:rPr>
        <w:t>Zgodnie z ust. 20 pkt 3) Specyfikacji Warunków Zamówienia:</w:t>
      </w:r>
      <w:r w:rsidRPr="00EA063D">
        <w:rPr>
          <w:b w:val="0"/>
          <w:sz w:val="20"/>
          <w:szCs w:val="20"/>
        </w:rPr>
        <w:br/>
        <w:t>„W zakresie kryterium „Forma zatrudnienia” Zamawiający będzie oceniał liczbę osób (maks. 4) skierowanych przez wykonawcę do realizacji zamówienia (o których mowa w warunkach udziału w rozdz. 18.II.B lit. a - e SWZ) zatrudnionych na umowę o pracę na czas nieokreślony na pełny etat w ten sposób, że za każdą taką osobę przyzna 5 punktów (punkty zostaną przyznane również za samego wykonawcę lub wspólników jeśli wskażą siebie osobiście do realizacji zamówienia).”</w:t>
      </w:r>
    </w:p>
    <w:p w:rsidR="00995776" w:rsidRPr="00EA063D" w:rsidRDefault="00995776" w:rsidP="00251BEF">
      <w:pPr>
        <w:pStyle w:val="Heading3"/>
        <w:rPr>
          <w:b w:val="0"/>
          <w:sz w:val="20"/>
          <w:szCs w:val="20"/>
        </w:rPr>
      </w:pPr>
      <w:r w:rsidRPr="00EA063D">
        <w:rPr>
          <w:b w:val="0"/>
          <w:sz w:val="20"/>
          <w:szCs w:val="20"/>
        </w:rPr>
        <w:br/>
        <w:t>Zwracamy uwagę, że adwokaci, ze względu na obowiązujące ich przepisy, nie mogą wykonywać zawodu w oparciu o umowę o pracę. Jako że przedmiot zamówienia nie uzasadnia różnicowania sytuacji adwokatów względem radców prawnych i prawników zagranicznych rekomendujemy zmianę kryterium „Formy zatrudnienia” poprzez przyznanie 5 punktów także prawnikom wykonującym pracę w ramach jednoosobowej działalności gospodarczej na wyłączność z oferentem.</w:t>
      </w:r>
    </w:p>
    <w:p w:rsidR="00995776" w:rsidRPr="00EA063D" w:rsidRDefault="00995776" w:rsidP="00251BEF">
      <w:pPr>
        <w:pStyle w:val="Heading3"/>
        <w:rPr>
          <w:b w:val="0"/>
          <w:sz w:val="20"/>
          <w:szCs w:val="20"/>
        </w:rPr>
      </w:pPr>
      <w:r w:rsidRPr="00EA063D">
        <w:rPr>
          <w:b w:val="0"/>
          <w:sz w:val="20"/>
          <w:szCs w:val="20"/>
        </w:rPr>
        <w:t xml:space="preserve">Odpowiedź: </w:t>
      </w:r>
    </w:p>
    <w:p w:rsidR="00995776" w:rsidRPr="00EA063D" w:rsidRDefault="00995776" w:rsidP="00251BEF">
      <w:pPr>
        <w:pStyle w:val="Heading3"/>
        <w:rPr>
          <w:b w:val="0"/>
          <w:sz w:val="20"/>
          <w:szCs w:val="20"/>
        </w:rPr>
      </w:pPr>
      <w:r w:rsidRPr="00EA063D">
        <w:rPr>
          <w:b w:val="0"/>
          <w:sz w:val="20"/>
          <w:szCs w:val="20"/>
        </w:rPr>
        <w:t>Zamawiający podtrzymuje postanowienia SWZ.</w:t>
      </w:r>
    </w:p>
    <w:p w:rsidR="00995776" w:rsidRPr="00EA063D" w:rsidRDefault="00995776" w:rsidP="00251BEF">
      <w:pPr>
        <w:pStyle w:val="Heading3"/>
        <w:rPr>
          <w:b w:val="0"/>
          <w:sz w:val="20"/>
          <w:szCs w:val="20"/>
        </w:rPr>
      </w:pPr>
      <w:r w:rsidRPr="00EA063D">
        <w:rPr>
          <w:b w:val="0"/>
          <w:sz w:val="20"/>
          <w:szCs w:val="20"/>
        </w:rPr>
        <w:t xml:space="preserve">Opis sposobu oceny ofert we wskazanym kryterium przewiduje punktowanie oferty zakładającej skierowanie do realizacji zamówienia osób zatrudnionych na umowę o pracę, jednakże w liczbie nie większej niż cztery. Przy czym zastrzeżono, iż za taką osobę będzie również uznany sam wykonawca lub wspólnik, jeśli wskażą siebie osobiście do realizacji zamówienia. Powyższe nie wyklucza adwokatów, także w zakresie możliwości uzyskania dodatkowej punktacji. Jest to zgodne z PZP i wytycznymi, aby ustanawiać możliwie prospołeczne warunki wykonywania zamówień publicznych [por. R. Szostak, </w:t>
      </w:r>
      <w:r w:rsidRPr="00EA063D">
        <w:rPr>
          <w:b w:val="0"/>
          <w:i/>
          <w:sz w:val="20"/>
          <w:szCs w:val="20"/>
        </w:rPr>
        <w:t>Zagadnienia społeczne w zamówieniach publicznych</w:t>
      </w:r>
      <w:r w:rsidRPr="00EA063D">
        <w:rPr>
          <w:b w:val="0"/>
          <w:sz w:val="20"/>
          <w:szCs w:val="20"/>
        </w:rPr>
        <w:t>, Gdańskie Studia Prawnicze, tom XXXVII, 2017, str. 355 i nast.: „</w:t>
      </w:r>
      <w:r w:rsidRPr="00EA063D">
        <w:rPr>
          <w:b w:val="0"/>
          <w:i/>
          <w:sz w:val="20"/>
          <w:szCs w:val="20"/>
        </w:rPr>
        <w:t>(…)Obowiązek zatrudnienia socjalnego można też dopuścić do rangi jednego z pozacenowych kryteriów oceny ofert przetargowych, zwiększając elastyczność jego oddziaływania”</w:t>
      </w:r>
      <w:r w:rsidRPr="00EA063D">
        <w:rPr>
          <w:b w:val="0"/>
          <w:sz w:val="20"/>
          <w:szCs w:val="20"/>
        </w:rPr>
        <w:t xml:space="preserve">].. Natomiast brak możliwości zatrudnienia adwokata na umowę o pracę jest wynikiem obowiązujących ich zasad korporacyjnych i nie może ograniczać zamawiających w doborze kryteriów oceny ofert.  </w:t>
      </w:r>
    </w:p>
    <w:p w:rsidR="00995776" w:rsidRPr="00EA063D" w:rsidRDefault="00995776" w:rsidP="00251BEF">
      <w:pPr>
        <w:pStyle w:val="Heading3"/>
        <w:rPr>
          <w:b w:val="0"/>
          <w:sz w:val="20"/>
          <w:szCs w:val="20"/>
        </w:rPr>
      </w:pPr>
    </w:p>
    <w:p w:rsidR="00995776" w:rsidRPr="00EA063D" w:rsidRDefault="00995776" w:rsidP="00251BEF">
      <w:pPr>
        <w:pStyle w:val="Heading3"/>
        <w:rPr>
          <w:b w:val="0"/>
          <w:sz w:val="20"/>
          <w:szCs w:val="20"/>
        </w:rPr>
      </w:pPr>
      <w:r w:rsidRPr="00EA063D">
        <w:rPr>
          <w:b w:val="0"/>
          <w:sz w:val="20"/>
          <w:szCs w:val="20"/>
        </w:rPr>
        <w:t>Zamawiający zmienia termin składania i otwarcia ofert oraz termin związania ofertą na następujące:</w:t>
      </w:r>
    </w:p>
    <w:p w:rsidR="00995776" w:rsidRPr="00EA063D" w:rsidRDefault="00995776" w:rsidP="00251BEF">
      <w:pPr>
        <w:pStyle w:val="Heading3"/>
        <w:rPr>
          <w:b w:val="0"/>
          <w:sz w:val="20"/>
          <w:szCs w:val="20"/>
        </w:rPr>
      </w:pPr>
      <w:r w:rsidRPr="00EA063D">
        <w:rPr>
          <w:b w:val="0"/>
          <w:sz w:val="20"/>
          <w:szCs w:val="20"/>
        </w:rPr>
        <w:t>Termin składania ofert: 11.08.2023 r. godz.: 9:00</w:t>
      </w:r>
    </w:p>
    <w:p w:rsidR="00995776" w:rsidRPr="00EA063D" w:rsidRDefault="00995776" w:rsidP="00251BEF">
      <w:pPr>
        <w:pStyle w:val="Heading3"/>
        <w:rPr>
          <w:b w:val="0"/>
          <w:sz w:val="20"/>
          <w:szCs w:val="20"/>
        </w:rPr>
      </w:pPr>
      <w:r w:rsidRPr="00EA063D">
        <w:rPr>
          <w:b w:val="0"/>
          <w:sz w:val="20"/>
          <w:szCs w:val="20"/>
        </w:rPr>
        <w:t>Termin otwarcia ofert: 11.08.2023 r. godz.: 9:10</w:t>
      </w:r>
    </w:p>
    <w:p w:rsidR="00995776" w:rsidRPr="00EA063D" w:rsidRDefault="00995776" w:rsidP="00251BEF">
      <w:pPr>
        <w:pStyle w:val="Heading3"/>
        <w:rPr>
          <w:b w:val="0"/>
          <w:sz w:val="20"/>
          <w:szCs w:val="20"/>
        </w:rPr>
      </w:pPr>
      <w:r w:rsidRPr="00EA063D">
        <w:rPr>
          <w:b w:val="0"/>
          <w:sz w:val="20"/>
          <w:szCs w:val="20"/>
        </w:rPr>
        <w:t>Termin związania ofertą: 9.09.2023 r.</w:t>
      </w:r>
    </w:p>
    <w:p w:rsidR="00995776" w:rsidRPr="00EA063D" w:rsidRDefault="00995776" w:rsidP="00251BEF">
      <w:pPr>
        <w:pStyle w:val="Heading3"/>
        <w:rPr>
          <w:b w:val="0"/>
          <w:sz w:val="20"/>
          <w:szCs w:val="20"/>
        </w:rPr>
      </w:pPr>
      <w:r w:rsidRPr="00EA063D">
        <w:rPr>
          <w:b w:val="0"/>
          <w:sz w:val="20"/>
          <w:szCs w:val="20"/>
        </w:rPr>
        <w:t>Powyższe zmiany i wyjaśnienia treści SWZ są wiążące dla wykonawców i należy je traktować jako integralną część SWZ.</w:t>
      </w:r>
    </w:p>
    <w:p w:rsidR="00995776" w:rsidRDefault="00995776" w:rsidP="002D53FB">
      <w:pPr>
        <w:pStyle w:val="Heading3"/>
        <w:rPr>
          <w:b w:val="0"/>
          <w:sz w:val="20"/>
          <w:szCs w:val="20"/>
        </w:rPr>
      </w:pPr>
      <w:r>
        <w:rPr>
          <w:b w:val="0"/>
          <w:sz w:val="20"/>
          <w:szCs w:val="20"/>
        </w:rPr>
        <w:tab/>
      </w:r>
      <w:r>
        <w:rPr>
          <w:b w:val="0"/>
          <w:sz w:val="20"/>
          <w:szCs w:val="20"/>
        </w:rPr>
        <w:tab/>
      </w:r>
      <w:r>
        <w:rPr>
          <w:b w:val="0"/>
          <w:sz w:val="20"/>
          <w:szCs w:val="20"/>
        </w:rPr>
        <w:tab/>
      </w:r>
      <w:r>
        <w:rPr>
          <w:b w:val="0"/>
          <w:sz w:val="20"/>
          <w:szCs w:val="20"/>
        </w:rPr>
        <w:tab/>
      </w:r>
    </w:p>
    <w:p w:rsidR="00995776" w:rsidRPr="002D53FB" w:rsidRDefault="00995776" w:rsidP="002D53FB">
      <w:pPr>
        <w:pStyle w:val="Heading3"/>
        <w:ind w:left="2124" w:firstLine="708"/>
        <w:rPr>
          <w:b w:val="0"/>
          <w:sz w:val="20"/>
          <w:szCs w:val="20"/>
        </w:rPr>
      </w:pPr>
      <w:r w:rsidRPr="002D53FB">
        <w:rPr>
          <w:b w:val="0"/>
          <w:sz w:val="20"/>
          <w:szCs w:val="20"/>
        </w:rPr>
        <w:t>P. O. Dyrektora Sieć Badawcza Łukasiewicz</w:t>
      </w:r>
    </w:p>
    <w:p w:rsidR="00995776" w:rsidRPr="002D53FB" w:rsidRDefault="00995776" w:rsidP="002D53FB">
      <w:pPr>
        <w:pStyle w:val="Heading3"/>
        <w:ind w:left="2124" w:firstLine="708"/>
        <w:rPr>
          <w:b w:val="0"/>
          <w:sz w:val="20"/>
          <w:szCs w:val="20"/>
        </w:rPr>
      </w:pPr>
      <w:r w:rsidRPr="002D53FB">
        <w:rPr>
          <w:b w:val="0"/>
          <w:sz w:val="20"/>
          <w:szCs w:val="20"/>
        </w:rPr>
        <w:t xml:space="preserve"> – Krakowskiego Instytutu Technologicznego</w:t>
      </w:r>
    </w:p>
    <w:p w:rsidR="00995776" w:rsidRPr="002D53FB" w:rsidRDefault="00995776" w:rsidP="002D53FB">
      <w:pPr>
        <w:pStyle w:val="Heading3"/>
        <w:ind w:left="2832" w:firstLine="708"/>
        <w:rPr>
          <w:b w:val="0"/>
          <w:sz w:val="20"/>
          <w:szCs w:val="20"/>
        </w:rPr>
      </w:pPr>
      <w:r w:rsidRPr="002D53FB">
        <w:rPr>
          <w:b w:val="0"/>
          <w:sz w:val="20"/>
          <w:szCs w:val="20"/>
        </w:rPr>
        <w:t>dr hab. Katarzyna M. Marzec</w:t>
      </w:r>
    </w:p>
    <w:p w:rsidR="00995776" w:rsidRPr="00EA063D" w:rsidRDefault="00995776" w:rsidP="00B060C1">
      <w:pPr>
        <w:pStyle w:val="Heading3"/>
        <w:rPr>
          <w:rFonts w:ascii="Verdana" w:hAnsi="Verdana"/>
          <w:b w:val="0"/>
          <w:sz w:val="20"/>
          <w:szCs w:val="20"/>
        </w:rPr>
      </w:pPr>
    </w:p>
    <w:p w:rsidR="00995776" w:rsidRPr="00EA063D" w:rsidRDefault="00995776" w:rsidP="004807C1">
      <w:pPr>
        <w:ind w:left="3540" w:firstLine="708"/>
        <w:rPr>
          <w:szCs w:val="20"/>
        </w:rPr>
      </w:pPr>
    </w:p>
    <w:sectPr w:rsidR="00995776" w:rsidRPr="00EA063D"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76" w:rsidRDefault="00995776" w:rsidP="006747BD">
      <w:pPr>
        <w:spacing w:after="0" w:line="240" w:lineRule="auto"/>
      </w:pPr>
      <w:r>
        <w:separator/>
      </w:r>
    </w:p>
  </w:endnote>
  <w:endnote w:type="continuationSeparator" w:id="0">
    <w:p w:rsidR="00995776" w:rsidRDefault="0099577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76" w:rsidRPr="00116150" w:rsidRDefault="0099577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995776" w:rsidRDefault="0099577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95776" w:rsidRPr="004228BE" w:rsidRDefault="00995776" w:rsidP="004228BE">
                <w:pPr>
                  <w:pStyle w:val="LukStopka-adres"/>
                </w:pPr>
                <w:r w:rsidRPr="004228BE">
                  <w:t xml:space="preserve">Sieć Badawcza Łukasiewicz </w:t>
                </w:r>
                <w:r w:rsidRPr="004228BE">
                  <w:sym w:font="Symbol" w:char="F02D"/>
                </w:r>
                <w:r w:rsidRPr="004228BE">
                  <w:t xml:space="preserve"> Krakowski Instytut Technologiczny</w:t>
                </w:r>
              </w:p>
              <w:p w:rsidR="00995776" w:rsidRPr="004228BE" w:rsidRDefault="00995776" w:rsidP="004228BE">
                <w:pPr>
                  <w:pStyle w:val="LukStopka-adres"/>
                </w:pPr>
                <w:r w:rsidRPr="004228BE">
                  <w:t>30-418 Kraków, ul. Zakopiańska 73, Tel.: +48 12 26 18 324,</w:t>
                </w:r>
              </w:p>
              <w:p w:rsidR="00995776" w:rsidRPr="004228BE" w:rsidRDefault="00995776"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95776" w:rsidRPr="004228BE" w:rsidRDefault="00995776" w:rsidP="004228BE">
                <w:pPr>
                  <w:pStyle w:val="LukStopka-adres"/>
                </w:pPr>
                <w:r w:rsidRPr="004228BE">
                  <w:t>Sąd Rejonowy w Krakowie, XI Wydz. Gospodarczy KRS nr 0000861401</w:t>
                </w:r>
              </w:p>
              <w:p w:rsidR="00995776" w:rsidRDefault="00995776" w:rsidP="00DA52A1">
                <w:pPr>
                  <w:pStyle w:val="LukStopka-adres"/>
                </w:pPr>
              </w:p>
              <w:p w:rsidR="00995776" w:rsidRPr="004F5805" w:rsidRDefault="00995776"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95776" w:rsidRPr="00DA52A1" w:rsidRDefault="00995776"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76" w:rsidRPr="00116150" w:rsidRDefault="0099577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995776" w:rsidRPr="00D06D36" w:rsidRDefault="0099577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995776" w:rsidRPr="00DA52A1" w:rsidRDefault="00995776"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995776" w:rsidRDefault="00995776" w:rsidP="00302E45">
                <w:pPr>
                  <w:pStyle w:val="LukStopka-adres"/>
                  <w:jc w:val="both"/>
                </w:pPr>
                <w:r>
                  <w:t xml:space="preserve">Sieć Badawcza Łukasiewicz </w:t>
                </w:r>
                <w:r>
                  <w:sym w:font="Symbol" w:char="F02D"/>
                </w:r>
                <w:r>
                  <w:t xml:space="preserve"> Krakowski Instytut Technologiczny</w:t>
                </w:r>
              </w:p>
              <w:p w:rsidR="00995776" w:rsidRDefault="0099577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95776" w:rsidRPr="006F6504" w:rsidRDefault="0099577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95776" w:rsidRDefault="00995776" w:rsidP="00302E45">
                <w:pPr>
                  <w:pStyle w:val="LukStopka-adres"/>
                  <w:jc w:val="both"/>
                </w:pPr>
                <w:r>
                  <w:t xml:space="preserve">Sąd Rejonowy w Krakowie, XI Wydz. Gospodarczy KRS nr </w:t>
                </w:r>
                <w:r w:rsidRPr="0056264F">
                  <w:t>0000861401</w:t>
                </w:r>
              </w:p>
              <w:p w:rsidR="00995776" w:rsidRPr="004F5805" w:rsidRDefault="0099577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76" w:rsidRDefault="00995776" w:rsidP="006747BD">
      <w:pPr>
        <w:spacing w:after="0" w:line="240" w:lineRule="auto"/>
      </w:pPr>
      <w:r>
        <w:separator/>
      </w:r>
    </w:p>
  </w:footnote>
  <w:footnote w:type="continuationSeparator" w:id="0">
    <w:p w:rsidR="00995776" w:rsidRDefault="0099577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76" w:rsidRPr="00DA52A1" w:rsidRDefault="0099577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45357"/>
    <w:rsid w:val="00050E6D"/>
    <w:rsid w:val="00054E08"/>
    <w:rsid w:val="00060352"/>
    <w:rsid w:val="000623F5"/>
    <w:rsid w:val="00070438"/>
    <w:rsid w:val="00070AF6"/>
    <w:rsid w:val="00070F40"/>
    <w:rsid w:val="00071E1D"/>
    <w:rsid w:val="00077647"/>
    <w:rsid w:val="000804FC"/>
    <w:rsid w:val="000845FF"/>
    <w:rsid w:val="00086AA7"/>
    <w:rsid w:val="000906A6"/>
    <w:rsid w:val="000A126A"/>
    <w:rsid w:val="000A3166"/>
    <w:rsid w:val="000B1B58"/>
    <w:rsid w:val="000B237C"/>
    <w:rsid w:val="000B6247"/>
    <w:rsid w:val="000C4245"/>
    <w:rsid w:val="000D472B"/>
    <w:rsid w:val="000D4B95"/>
    <w:rsid w:val="000E1369"/>
    <w:rsid w:val="000E4380"/>
    <w:rsid w:val="000F1649"/>
    <w:rsid w:val="000F4895"/>
    <w:rsid w:val="0010143C"/>
    <w:rsid w:val="00103714"/>
    <w:rsid w:val="00103BB5"/>
    <w:rsid w:val="00116150"/>
    <w:rsid w:val="00120352"/>
    <w:rsid w:val="00122935"/>
    <w:rsid w:val="00130759"/>
    <w:rsid w:val="00131974"/>
    <w:rsid w:val="001322E8"/>
    <w:rsid w:val="00132619"/>
    <w:rsid w:val="00132CFE"/>
    <w:rsid w:val="00136E80"/>
    <w:rsid w:val="0016543D"/>
    <w:rsid w:val="00166355"/>
    <w:rsid w:val="001666FC"/>
    <w:rsid w:val="00173A98"/>
    <w:rsid w:val="00184E85"/>
    <w:rsid w:val="0019794A"/>
    <w:rsid w:val="001B1841"/>
    <w:rsid w:val="001B3817"/>
    <w:rsid w:val="001B5D54"/>
    <w:rsid w:val="001C112C"/>
    <w:rsid w:val="001C793B"/>
    <w:rsid w:val="001D51B4"/>
    <w:rsid w:val="001D73D8"/>
    <w:rsid w:val="001F766F"/>
    <w:rsid w:val="0021554B"/>
    <w:rsid w:val="00223B66"/>
    <w:rsid w:val="00231524"/>
    <w:rsid w:val="002334C9"/>
    <w:rsid w:val="00251BEF"/>
    <w:rsid w:val="002601AC"/>
    <w:rsid w:val="002667F4"/>
    <w:rsid w:val="00284141"/>
    <w:rsid w:val="00292618"/>
    <w:rsid w:val="0029400A"/>
    <w:rsid w:val="002A1040"/>
    <w:rsid w:val="002A4CDB"/>
    <w:rsid w:val="002B3E06"/>
    <w:rsid w:val="002B69F3"/>
    <w:rsid w:val="002C2CFD"/>
    <w:rsid w:val="002C5258"/>
    <w:rsid w:val="002C5719"/>
    <w:rsid w:val="002D290E"/>
    <w:rsid w:val="002D2CB2"/>
    <w:rsid w:val="002D36D4"/>
    <w:rsid w:val="002D48BE"/>
    <w:rsid w:val="002D53FB"/>
    <w:rsid w:val="002F03E3"/>
    <w:rsid w:val="002F188A"/>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72EFD"/>
    <w:rsid w:val="00380A63"/>
    <w:rsid w:val="00384C19"/>
    <w:rsid w:val="003923AA"/>
    <w:rsid w:val="003C6A1B"/>
    <w:rsid w:val="003D4EDB"/>
    <w:rsid w:val="003D5593"/>
    <w:rsid w:val="003E6647"/>
    <w:rsid w:val="003F071F"/>
    <w:rsid w:val="003F4BA3"/>
    <w:rsid w:val="00405BBD"/>
    <w:rsid w:val="004066FB"/>
    <w:rsid w:val="0042053A"/>
    <w:rsid w:val="004228BE"/>
    <w:rsid w:val="0042761C"/>
    <w:rsid w:val="00447AA3"/>
    <w:rsid w:val="00456180"/>
    <w:rsid w:val="004567D8"/>
    <w:rsid w:val="004807C1"/>
    <w:rsid w:val="004840D0"/>
    <w:rsid w:val="00486779"/>
    <w:rsid w:val="00491FB8"/>
    <w:rsid w:val="004F2E56"/>
    <w:rsid w:val="004F5805"/>
    <w:rsid w:val="00500D4E"/>
    <w:rsid w:val="0050770A"/>
    <w:rsid w:val="00513E74"/>
    <w:rsid w:val="005154A3"/>
    <w:rsid w:val="00526CDD"/>
    <w:rsid w:val="00533E1B"/>
    <w:rsid w:val="00542992"/>
    <w:rsid w:val="00554674"/>
    <w:rsid w:val="0056264F"/>
    <w:rsid w:val="0056545A"/>
    <w:rsid w:val="005748AE"/>
    <w:rsid w:val="00581293"/>
    <w:rsid w:val="005A2C47"/>
    <w:rsid w:val="005B393A"/>
    <w:rsid w:val="005B6AF5"/>
    <w:rsid w:val="005C16E4"/>
    <w:rsid w:val="005C51FF"/>
    <w:rsid w:val="005D1495"/>
    <w:rsid w:val="005E4DC7"/>
    <w:rsid w:val="005E7191"/>
    <w:rsid w:val="005F2A5E"/>
    <w:rsid w:val="0060638F"/>
    <w:rsid w:val="00615756"/>
    <w:rsid w:val="0061678C"/>
    <w:rsid w:val="0062583F"/>
    <w:rsid w:val="0063232E"/>
    <w:rsid w:val="006345AA"/>
    <w:rsid w:val="00647D17"/>
    <w:rsid w:val="006506D5"/>
    <w:rsid w:val="006565F7"/>
    <w:rsid w:val="006747BD"/>
    <w:rsid w:val="00675DBF"/>
    <w:rsid w:val="00681FC7"/>
    <w:rsid w:val="00694332"/>
    <w:rsid w:val="006A3813"/>
    <w:rsid w:val="006B28B0"/>
    <w:rsid w:val="006D6DE5"/>
    <w:rsid w:val="006E0D96"/>
    <w:rsid w:val="006E5990"/>
    <w:rsid w:val="006F22C2"/>
    <w:rsid w:val="006F6504"/>
    <w:rsid w:val="00716619"/>
    <w:rsid w:val="00723C0C"/>
    <w:rsid w:val="00727272"/>
    <w:rsid w:val="00743EAB"/>
    <w:rsid w:val="007471C8"/>
    <w:rsid w:val="007654F4"/>
    <w:rsid w:val="00765C93"/>
    <w:rsid w:val="00771CA8"/>
    <w:rsid w:val="00781FB9"/>
    <w:rsid w:val="00783AA3"/>
    <w:rsid w:val="00790000"/>
    <w:rsid w:val="007A0BDB"/>
    <w:rsid w:val="007A66E2"/>
    <w:rsid w:val="007A7095"/>
    <w:rsid w:val="007B7BFC"/>
    <w:rsid w:val="007C183C"/>
    <w:rsid w:val="007C7CCD"/>
    <w:rsid w:val="007D6CE3"/>
    <w:rsid w:val="007E6C72"/>
    <w:rsid w:val="00805143"/>
    <w:rsid w:val="00805DF6"/>
    <w:rsid w:val="0081697B"/>
    <w:rsid w:val="0082136E"/>
    <w:rsid w:val="00821F16"/>
    <w:rsid w:val="00823164"/>
    <w:rsid w:val="00824728"/>
    <w:rsid w:val="00824EAB"/>
    <w:rsid w:val="00827E99"/>
    <w:rsid w:val="008368C0"/>
    <w:rsid w:val="0084066F"/>
    <w:rsid w:val="0084396A"/>
    <w:rsid w:val="00850AF4"/>
    <w:rsid w:val="00854B7B"/>
    <w:rsid w:val="0086764B"/>
    <w:rsid w:val="00877210"/>
    <w:rsid w:val="008861AF"/>
    <w:rsid w:val="008B2987"/>
    <w:rsid w:val="008B6296"/>
    <w:rsid w:val="008C1729"/>
    <w:rsid w:val="008C625F"/>
    <w:rsid w:val="008C75DD"/>
    <w:rsid w:val="008D1AA3"/>
    <w:rsid w:val="008E4B35"/>
    <w:rsid w:val="008E6355"/>
    <w:rsid w:val="008F209D"/>
    <w:rsid w:val="0092158F"/>
    <w:rsid w:val="00933FDD"/>
    <w:rsid w:val="009571E2"/>
    <w:rsid w:val="009743FE"/>
    <w:rsid w:val="00995776"/>
    <w:rsid w:val="009A01E2"/>
    <w:rsid w:val="009A159F"/>
    <w:rsid w:val="009A1910"/>
    <w:rsid w:val="009A618E"/>
    <w:rsid w:val="009B2BE3"/>
    <w:rsid w:val="009C0C7D"/>
    <w:rsid w:val="009C3F6E"/>
    <w:rsid w:val="009D4C4D"/>
    <w:rsid w:val="009E02ED"/>
    <w:rsid w:val="009E1CF7"/>
    <w:rsid w:val="00A01A55"/>
    <w:rsid w:val="00A24163"/>
    <w:rsid w:val="00A31E40"/>
    <w:rsid w:val="00A36B7D"/>
    <w:rsid w:val="00A36F46"/>
    <w:rsid w:val="00A4396C"/>
    <w:rsid w:val="00A43BE9"/>
    <w:rsid w:val="00A52C29"/>
    <w:rsid w:val="00A646C3"/>
    <w:rsid w:val="00A744C7"/>
    <w:rsid w:val="00A772EC"/>
    <w:rsid w:val="00A87B03"/>
    <w:rsid w:val="00A90291"/>
    <w:rsid w:val="00AA7A39"/>
    <w:rsid w:val="00AB2D84"/>
    <w:rsid w:val="00AC0436"/>
    <w:rsid w:val="00AC6280"/>
    <w:rsid w:val="00AD68BC"/>
    <w:rsid w:val="00AE01BE"/>
    <w:rsid w:val="00AE7616"/>
    <w:rsid w:val="00AF135A"/>
    <w:rsid w:val="00B060C1"/>
    <w:rsid w:val="00B075B5"/>
    <w:rsid w:val="00B127B9"/>
    <w:rsid w:val="00B17A0C"/>
    <w:rsid w:val="00B23FC5"/>
    <w:rsid w:val="00B32828"/>
    <w:rsid w:val="00B33339"/>
    <w:rsid w:val="00B33584"/>
    <w:rsid w:val="00B43205"/>
    <w:rsid w:val="00B45644"/>
    <w:rsid w:val="00B5136C"/>
    <w:rsid w:val="00B5576E"/>
    <w:rsid w:val="00B569A6"/>
    <w:rsid w:val="00B61F8A"/>
    <w:rsid w:val="00B6244D"/>
    <w:rsid w:val="00B66B6C"/>
    <w:rsid w:val="00B66B74"/>
    <w:rsid w:val="00B83217"/>
    <w:rsid w:val="00BA692A"/>
    <w:rsid w:val="00BB5BA0"/>
    <w:rsid w:val="00BB67AE"/>
    <w:rsid w:val="00BC0B4C"/>
    <w:rsid w:val="00BC430D"/>
    <w:rsid w:val="00BC5BC1"/>
    <w:rsid w:val="00BC736A"/>
    <w:rsid w:val="00C172B5"/>
    <w:rsid w:val="00C2276F"/>
    <w:rsid w:val="00C22B4F"/>
    <w:rsid w:val="00C237DF"/>
    <w:rsid w:val="00C25B63"/>
    <w:rsid w:val="00C41ED0"/>
    <w:rsid w:val="00C5479B"/>
    <w:rsid w:val="00C61D2A"/>
    <w:rsid w:val="00C62CC6"/>
    <w:rsid w:val="00C736D5"/>
    <w:rsid w:val="00C869AB"/>
    <w:rsid w:val="00C92262"/>
    <w:rsid w:val="00C96D7D"/>
    <w:rsid w:val="00CC0EB1"/>
    <w:rsid w:val="00CC3F90"/>
    <w:rsid w:val="00CD12DC"/>
    <w:rsid w:val="00CE0E13"/>
    <w:rsid w:val="00CE181B"/>
    <w:rsid w:val="00D005B3"/>
    <w:rsid w:val="00D06D36"/>
    <w:rsid w:val="00D15564"/>
    <w:rsid w:val="00D229C6"/>
    <w:rsid w:val="00D40690"/>
    <w:rsid w:val="00D607E9"/>
    <w:rsid w:val="00D65158"/>
    <w:rsid w:val="00D77B77"/>
    <w:rsid w:val="00D80C86"/>
    <w:rsid w:val="00D87A1B"/>
    <w:rsid w:val="00DA35EF"/>
    <w:rsid w:val="00DA52A1"/>
    <w:rsid w:val="00DB3B34"/>
    <w:rsid w:val="00DB442A"/>
    <w:rsid w:val="00DD0DFD"/>
    <w:rsid w:val="00DD32F5"/>
    <w:rsid w:val="00DD576B"/>
    <w:rsid w:val="00DF2480"/>
    <w:rsid w:val="00DF74FC"/>
    <w:rsid w:val="00E14103"/>
    <w:rsid w:val="00E2237D"/>
    <w:rsid w:val="00E2774E"/>
    <w:rsid w:val="00E37C7D"/>
    <w:rsid w:val="00E43A45"/>
    <w:rsid w:val="00E50A03"/>
    <w:rsid w:val="00E7026E"/>
    <w:rsid w:val="00E719F1"/>
    <w:rsid w:val="00E72002"/>
    <w:rsid w:val="00E73CCA"/>
    <w:rsid w:val="00E7660E"/>
    <w:rsid w:val="00E80343"/>
    <w:rsid w:val="00E813E0"/>
    <w:rsid w:val="00E82821"/>
    <w:rsid w:val="00EA063D"/>
    <w:rsid w:val="00EA082A"/>
    <w:rsid w:val="00EA3AE2"/>
    <w:rsid w:val="00EA4D34"/>
    <w:rsid w:val="00EB14A8"/>
    <w:rsid w:val="00EB4329"/>
    <w:rsid w:val="00ED1485"/>
    <w:rsid w:val="00EE1E11"/>
    <w:rsid w:val="00EE493C"/>
    <w:rsid w:val="00EF1EA3"/>
    <w:rsid w:val="00EF68CE"/>
    <w:rsid w:val="00F00B41"/>
    <w:rsid w:val="00F026E0"/>
    <w:rsid w:val="00F14942"/>
    <w:rsid w:val="00F25697"/>
    <w:rsid w:val="00F27386"/>
    <w:rsid w:val="00F277C1"/>
    <w:rsid w:val="00F27EB8"/>
    <w:rsid w:val="00F35292"/>
    <w:rsid w:val="00F35629"/>
    <w:rsid w:val="00F37A1E"/>
    <w:rsid w:val="00F45496"/>
    <w:rsid w:val="00F47714"/>
    <w:rsid w:val="00F5418A"/>
    <w:rsid w:val="00F67D23"/>
    <w:rsid w:val="00F7644E"/>
    <w:rsid w:val="00F9051E"/>
    <w:rsid w:val="00FA73D8"/>
    <w:rsid w:val="00FB7773"/>
    <w:rsid w:val="00FB7B12"/>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25800682">
      <w:marLeft w:val="0"/>
      <w:marRight w:val="0"/>
      <w:marTop w:val="0"/>
      <w:marBottom w:val="0"/>
      <w:divBdr>
        <w:top w:val="none" w:sz="0" w:space="0" w:color="auto"/>
        <w:left w:val="none" w:sz="0" w:space="0" w:color="auto"/>
        <w:bottom w:val="none" w:sz="0" w:space="0" w:color="auto"/>
        <w:right w:val="none" w:sz="0" w:space="0" w:color="auto"/>
      </w:divBdr>
    </w:div>
    <w:div w:id="225800683">
      <w:marLeft w:val="0"/>
      <w:marRight w:val="0"/>
      <w:marTop w:val="0"/>
      <w:marBottom w:val="0"/>
      <w:divBdr>
        <w:top w:val="none" w:sz="0" w:space="0" w:color="auto"/>
        <w:left w:val="none" w:sz="0" w:space="0" w:color="auto"/>
        <w:bottom w:val="none" w:sz="0" w:space="0" w:color="auto"/>
        <w:right w:val="none" w:sz="0" w:space="0" w:color="auto"/>
      </w:divBdr>
    </w:div>
    <w:div w:id="225800684">
      <w:marLeft w:val="0"/>
      <w:marRight w:val="0"/>
      <w:marTop w:val="0"/>
      <w:marBottom w:val="0"/>
      <w:divBdr>
        <w:top w:val="none" w:sz="0" w:space="0" w:color="auto"/>
        <w:left w:val="none" w:sz="0" w:space="0" w:color="auto"/>
        <w:bottom w:val="none" w:sz="0" w:space="0" w:color="auto"/>
        <w:right w:val="none" w:sz="0" w:space="0" w:color="auto"/>
      </w:divBdr>
    </w:div>
    <w:div w:id="225800685">
      <w:marLeft w:val="0"/>
      <w:marRight w:val="0"/>
      <w:marTop w:val="0"/>
      <w:marBottom w:val="0"/>
      <w:divBdr>
        <w:top w:val="none" w:sz="0" w:space="0" w:color="auto"/>
        <w:left w:val="none" w:sz="0" w:space="0" w:color="auto"/>
        <w:bottom w:val="none" w:sz="0" w:space="0" w:color="auto"/>
        <w:right w:val="none" w:sz="0" w:space="0" w:color="auto"/>
      </w:divBdr>
    </w:div>
    <w:div w:id="225800686">
      <w:marLeft w:val="0"/>
      <w:marRight w:val="0"/>
      <w:marTop w:val="0"/>
      <w:marBottom w:val="0"/>
      <w:divBdr>
        <w:top w:val="none" w:sz="0" w:space="0" w:color="auto"/>
        <w:left w:val="none" w:sz="0" w:space="0" w:color="auto"/>
        <w:bottom w:val="none" w:sz="0" w:space="0" w:color="auto"/>
        <w:right w:val="none" w:sz="0" w:space="0" w:color="auto"/>
      </w:divBdr>
    </w:div>
    <w:div w:id="225800687">
      <w:marLeft w:val="0"/>
      <w:marRight w:val="0"/>
      <w:marTop w:val="0"/>
      <w:marBottom w:val="0"/>
      <w:divBdr>
        <w:top w:val="none" w:sz="0" w:space="0" w:color="auto"/>
        <w:left w:val="none" w:sz="0" w:space="0" w:color="auto"/>
        <w:bottom w:val="none" w:sz="0" w:space="0" w:color="auto"/>
        <w:right w:val="none" w:sz="0" w:space="0" w:color="auto"/>
      </w:divBdr>
    </w:div>
    <w:div w:id="225800690">
      <w:marLeft w:val="0"/>
      <w:marRight w:val="0"/>
      <w:marTop w:val="0"/>
      <w:marBottom w:val="0"/>
      <w:divBdr>
        <w:top w:val="none" w:sz="0" w:space="0" w:color="auto"/>
        <w:left w:val="none" w:sz="0" w:space="0" w:color="auto"/>
        <w:bottom w:val="none" w:sz="0" w:space="0" w:color="auto"/>
        <w:right w:val="none" w:sz="0" w:space="0" w:color="auto"/>
      </w:divBdr>
      <w:divsChild>
        <w:div w:id="225800692">
          <w:marLeft w:val="0"/>
          <w:marRight w:val="0"/>
          <w:marTop w:val="0"/>
          <w:marBottom w:val="0"/>
          <w:divBdr>
            <w:top w:val="none" w:sz="0" w:space="0" w:color="auto"/>
            <w:left w:val="none" w:sz="0" w:space="0" w:color="auto"/>
            <w:bottom w:val="none" w:sz="0" w:space="0" w:color="auto"/>
            <w:right w:val="none" w:sz="0" w:space="0" w:color="auto"/>
          </w:divBdr>
        </w:div>
      </w:divsChild>
    </w:div>
    <w:div w:id="225800691">
      <w:marLeft w:val="0"/>
      <w:marRight w:val="0"/>
      <w:marTop w:val="0"/>
      <w:marBottom w:val="0"/>
      <w:divBdr>
        <w:top w:val="none" w:sz="0" w:space="0" w:color="auto"/>
        <w:left w:val="none" w:sz="0" w:space="0" w:color="auto"/>
        <w:bottom w:val="none" w:sz="0" w:space="0" w:color="auto"/>
        <w:right w:val="none" w:sz="0" w:space="0" w:color="auto"/>
      </w:divBdr>
      <w:divsChild>
        <w:div w:id="225800689">
          <w:marLeft w:val="0"/>
          <w:marRight w:val="0"/>
          <w:marTop w:val="0"/>
          <w:marBottom w:val="0"/>
          <w:divBdr>
            <w:top w:val="none" w:sz="0" w:space="0" w:color="auto"/>
            <w:left w:val="none" w:sz="0" w:space="0" w:color="auto"/>
            <w:bottom w:val="none" w:sz="0" w:space="0" w:color="auto"/>
            <w:right w:val="none" w:sz="0" w:space="0" w:color="auto"/>
          </w:divBdr>
        </w:div>
      </w:divsChild>
    </w:div>
    <w:div w:id="225800694">
      <w:marLeft w:val="0"/>
      <w:marRight w:val="0"/>
      <w:marTop w:val="0"/>
      <w:marBottom w:val="0"/>
      <w:divBdr>
        <w:top w:val="none" w:sz="0" w:space="0" w:color="auto"/>
        <w:left w:val="none" w:sz="0" w:space="0" w:color="auto"/>
        <w:bottom w:val="none" w:sz="0" w:space="0" w:color="auto"/>
        <w:right w:val="none" w:sz="0" w:space="0" w:color="auto"/>
      </w:divBdr>
      <w:divsChild>
        <w:div w:id="225800688">
          <w:marLeft w:val="0"/>
          <w:marRight w:val="0"/>
          <w:marTop w:val="0"/>
          <w:marBottom w:val="0"/>
          <w:divBdr>
            <w:top w:val="none" w:sz="0" w:space="0" w:color="auto"/>
            <w:left w:val="none" w:sz="0" w:space="0" w:color="auto"/>
            <w:bottom w:val="none" w:sz="0" w:space="0" w:color="auto"/>
            <w:right w:val="none" w:sz="0" w:space="0" w:color="auto"/>
          </w:divBdr>
        </w:div>
      </w:divsChild>
    </w:div>
    <w:div w:id="225800695">
      <w:marLeft w:val="0"/>
      <w:marRight w:val="0"/>
      <w:marTop w:val="0"/>
      <w:marBottom w:val="0"/>
      <w:divBdr>
        <w:top w:val="none" w:sz="0" w:space="0" w:color="auto"/>
        <w:left w:val="none" w:sz="0" w:space="0" w:color="auto"/>
        <w:bottom w:val="none" w:sz="0" w:space="0" w:color="auto"/>
        <w:right w:val="none" w:sz="0" w:space="0" w:color="auto"/>
      </w:divBdr>
      <w:divsChild>
        <w:div w:id="225800693">
          <w:marLeft w:val="0"/>
          <w:marRight w:val="0"/>
          <w:marTop w:val="0"/>
          <w:marBottom w:val="0"/>
          <w:divBdr>
            <w:top w:val="none" w:sz="0" w:space="0" w:color="auto"/>
            <w:left w:val="none" w:sz="0" w:space="0" w:color="auto"/>
            <w:bottom w:val="none" w:sz="0" w:space="0" w:color="auto"/>
            <w:right w:val="none" w:sz="0" w:space="0" w:color="auto"/>
          </w:divBdr>
        </w:div>
      </w:divsChild>
    </w:div>
    <w:div w:id="225800696">
      <w:marLeft w:val="0"/>
      <w:marRight w:val="0"/>
      <w:marTop w:val="0"/>
      <w:marBottom w:val="0"/>
      <w:divBdr>
        <w:top w:val="none" w:sz="0" w:space="0" w:color="auto"/>
        <w:left w:val="none" w:sz="0" w:space="0" w:color="auto"/>
        <w:bottom w:val="none" w:sz="0" w:space="0" w:color="auto"/>
        <w:right w:val="none" w:sz="0" w:space="0" w:color="auto"/>
      </w:divBdr>
    </w:div>
    <w:div w:id="225800697">
      <w:marLeft w:val="0"/>
      <w:marRight w:val="0"/>
      <w:marTop w:val="0"/>
      <w:marBottom w:val="0"/>
      <w:divBdr>
        <w:top w:val="none" w:sz="0" w:space="0" w:color="auto"/>
        <w:left w:val="none" w:sz="0" w:space="0" w:color="auto"/>
        <w:bottom w:val="none" w:sz="0" w:space="0" w:color="auto"/>
        <w:right w:val="none" w:sz="0" w:space="0" w:color="auto"/>
      </w:divBdr>
    </w:div>
    <w:div w:id="225800698">
      <w:marLeft w:val="0"/>
      <w:marRight w:val="0"/>
      <w:marTop w:val="0"/>
      <w:marBottom w:val="0"/>
      <w:divBdr>
        <w:top w:val="none" w:sz="0" w:space="0" w:color="auto"/>
        <w:left w:val="none" w:sz="0" w:space="0" w:color="auto"/>
        <w:bottom w:val="none" w:sz="0" w:space="0" w:color="auto"/>
        <w:right w:val="none" w:sz="0" w:space="0" w:color="auto"/>
      </w:divBdr>
    </w:div>
    <w:div w:id="225800699">
      <w:marLeft w:val="0"/>
      <w:marRight w:val="0"/>
      <w:marTop w:val="0"/>
      <w:marBottom w:val="0"/>
      <w:divBdr>
        <w:top w:val="none" w:sz="0" w:space="0" w:color="auto"/>
        <w:left w:val="none" w:sz="0" w:space="0" w:color="auto"/>
        <w:bottom w:val="none" w:sz="0" w:space="0" w:color="auto"/>
        <w:right w:val="none" w:sz="0" w:space="0" w:color="auto"/>
      </w:divBdr>
    </w:div>
    <w:div w:id="225800700">
      <w:marLeft w:val="0"/>
      <w:marRight w:val="0"/>
      <w:marTop w:val="0"/>
      <w:marBottom w:val="0"/>
      <w:divBdr>
        <w:top w:val="none" w:sz="0" w:space="0" w:color="auto"/>
        <w:left w:val="none" w:sz="0" w:space="0" w:color="auto"/>
        <w:bottom w:val="none" w:sz="0" w:space="0" w:color="auto"/>
        <w:right w:val="none" w:sz="0" w:space="0" w:color="auto"/>
      </w:divBdr>
    </w:div>
    <w:div w:id="225800701">
      <w:marLeft w:val="0"/>
      <w:marRight w:val="0"/>
      <w:marTop w:val="0"/>
      <w:marBottom w:val="0"/>
      <w:divBdr>
        <w:top w:val="none" w:sz="0" w:space="0" w:color="auto"/>
        <w:left w:val="none" w:sz="0" w:space="0" w:color="auto"/>
        <w:bottom w:val="none" w:sz="0" w:space="0" w:color="auto"/>
        <w:right w:val="none" w:sz="0" w:space="0" w:color="auto"/>
      </w:divBdr>
    </w:div>
    <w:div w:id="225800702">
      <w:marLeft w:val="0"/>
      <w:marRight w:val="0"/>
      <w:marTop w:val="0"/>
      <w:marBottom w:val="0"/>
      <w:divBdr>
        <w:top w:val="none" w:sz="0" w:space="0" w:color="auto"/>
        <w:left w:val="none" w:sz="0" w:space="0" w:color="auto"/>
        <w:bottom w:val="none" w:sz="0" w:space="0" w:color="auto"/>
        <w:right w:val="none" w:sz="0" w:space="0" w:color="auto"/>
      </w:divBdr>
    </w:div>
    <w:div w:id="225800705">
      <w:marLeft w:val="0"/>
      <w:marRight w:val="0"/>
      <w:marTop w:val="0"/>
      <w:marBottom w:val="0"/>
      <w:divBdr>
        <w:top w:val="none" w:sz="0" w:space="0" w:color="auto"/>
        <w:left w:val="none" w:sz="0" w:space="0" w:color="auto"/>
        <w:bottom w:val="none" w:sz="0" w:space="0" w:color="auto"/>
        <w:right w:val="none" w:sz="0" w:space="0" w:color="auto"/>
      </w:divBdr>
      <w:divsChild>
        <w:div w:id="225800703">
          <w:marLeft w:val="0"/>
          <w:marRight w:val="0"/>
          <w:marTop w:val="0"/>
          <w:marBottom w:val="0"/>
          <w:divBdr>
            <w:top w:val="none" w:sz="0" w:space="0" w:color="auto"/>
            <w:left w:val="none" w:sz="0" w:space="0" w:color="auto"/>
            <w:bottom w:val="none" w:sz="0" w:space="0" w:color="auto"/>
            <w:right w:val="none" w:sz="0" w:space="0" w:color="auto"/>
          </w:divBdr>
          <w:divsChild>
            <w:div w:id="225800704">
              <w:marLeft w:val="0"/>
              <w:marRight w:val="0"/>
              <w:marTop w:val="0"/>
              <w:marBottom w:val="0"/>
              <w:divBdr>
                <w:top w:val="none" w:sz="0" w:space="0" w:color="auto"/>
                <w:left w:val="none" w:sz="0" w:space="0" w:color="auto"/>
                <w:bottom w:val="none" w:sz="0" w:space="0" w:color="auto"/>
                <w:right w:val="none" w:sz="0" w:space="0" w:color="auto"/>
              </w:divBdr>
            </w:div>
            <w:div w:id="225800706">
              <w:marLeft w:val="0"/>
              <w:marRight w:val="0"/>
              <w:marTop w:val="0"/>
              <w:marBottom w:val="0"/>
              <w:divBdr>
                <w:top w:val="none" w:sz="0" w:space="0" w:color="auto"/>
                <w:left w:val="none" w:sz="0" w:space="0" w:color="auto"/>
                <w:bottom w:val="none" w:sz="0" w:space="0" w:color="auto"/>
                <w:right w:val="none" w:sz="0" w:space="0" w:color="auto"/>
              </w:divBdr>
              <w:divsChild>
                <w:div w:id="2258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0712">
          <w:marLeft w:val="0"/>
          <w:marRight w:val="0"/>
          <w:marTop w:val="0"/>
          <w:marBottom w:val="0"/>
          <w:divBdr>
            <w:top w:val="none" w:sz="0" w:space="0" w:color="auto"/>
            <w:left w:val="none" w:sz="0" w:space="0" w:color="auto"/>
            <w:bottom w:val="none" w:sz="0" w:space="0" w:color="auto"/>
            <w:right w:val="none" w:sz="0" w:space="0" w:color="auto"/>
          </w:divBdr>
          <w:divsChild>
            <w:div w:id="225800710">
              <w:marLeft w:val="0"/>
              <w:marRight w:val="0"/>
              <w:marTop w:val="0"/>
              <w:marBottom w:val="0"/>
              <w:divBdr>
                <w:top w:val="none" w:sz="0" w:space="0" w:color="auto"/>
                <w:left w:val="none" w:sz="0" w:space="0" w:color="auto"/>
                <w:bottom w:val="none" w:sz="0" w:space="0" w:color="auto"/>
                <w:right w:val="none" w:sz="0" w:space="0" w:color="auto"/>
              </w:divBdr>
              <w:divsChild>
                <w:div w:id="225800713">
                  <w:marLeft w:val="0"/>
                  <w:marRight w:val="0"/>
                  <w:marTop w:val="0"/>
                  <w:marBottom w:val="0"/>
                  <w:divBdr>
                    <w:top w:val="none" w:sz="0" w:space="0" w:color="auto"/>
                    <w:left w:val="none" w:sz="0" w:space="0" w:color="auto"/>
                    <w:bottom w:val="none" w:sz="0" w:space="0" w:color="auto"/>
                    <w:right w:val="none" w:sz="0" w:space="0" w:color="auto"/>
                  </w:divBdr>
                  <w:divsChild>
                    <w:div w:id="225800707">
                      <w:marLeft w:val="0"/>
                      <w:marRight w:val="0"/>
                      <w:marTop w:val="0"/>
                      <w:marBottom w:val="0"/>
                      <w:divBdr>
                        <w:top w:val="none" w:sz="0" w:space="0" w:color="auto"/>
                        <w:left w:val="none" w:sz="0" w:space="0" w:color="auto"/>
                        <w:bottom w:val="none" w:sz="0" w:space="0" w:color="auto"/>
                        <w:right w:val="none" w:sz="0" w:space="0" w:color="auto"/>
                      </w:divBdr>
                      <w:divsChild>
                        <w:div w:id="225800711">
                          <w:marLeft w:val="0"/>
                          <w:marRight w:val="0"/>
                          <w:marTop w:val="0"/>
                          <w:marBottom w:val="0"/>
                          <w:divBdr>
                            <w:top w:val="none" w:sz="0" w:space="0" w:color="auto"/>
                            <w:left w:val="none" w:sz="0" w:space="0" w:color="auto"/>
                            <w:bottom w:val="none" w:sz="0" w:space="0" w:color="auto"/>
                            <w:right w:val="none" w:sz="0" w:space="0" w:color="auto"/>
                          </w:divBdr>
                          <w:divsChild>
                            <w:div w:id="225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800714">
      <w:marLeft w:val="0"/>
      <w:marRight w:val="0"/>
      <w:marTop w:val="0"/>
      <w:marBottom w:val="0"/>
      <w:divBdr>
        <w:top w:val="none" w:sz="0" w:space="0" w:color="auto"/>
        <w:left w:val="none" w:sz="0" w:space="0" w:color="auto"/>
        <w:bottom w:val="none" w:sz="0" w:space="0" w:color="auto"/>
        <w:right w:val="none" w:sz="0" w:space="0" w:color="auto"/>
      </w:divBdr>
    </w:div>
    <w:div w:id="225800718">
      <w:marLeft w:val="0"/>
      <w:marRight w:val="0"/>
      <w:marTop w:val="0"/>
      <w:marBottom w:val="0"/>
      <w:divBdr>
        <w:top w:val="none" w:sz="0" w:space="0" w:color="auto"/>
        <w:left w:val="none" w:sz="0" w:space="0" w:color="auto"/>
        <w:bottom w:val="none" w:sz="0" w:space="0" w:color="auto"/>
        <w:right w:val="none" w:sz="0" w:space="0" w:color="auto"/>
      </w:divBdr>
      <w:divsChild>
        <w:div w:id="225800716">
          <w:marLeft w:val="0"/>
          <w:marRight w:val="0"/>
          <w:marTop w:val="0"/>
          <w:marBottom w:val="0"/>
          <w:divBdr>
            <w:top w:val="none" w:sz="0" w:space="0" w:color="auto"/>
            <w:left w:val="none" w:sz="0" w:space="0" w:color="auto"/>
            <w:bottom w:val="none" w:sz="0" w:space="0" w:color="auto"/>
            <w:right w:val="none" w:sz="0" w:space="0" w:color="auto"/>
          </w:divBdr>
          <w:divsChild>
            <w:div w:id="225800717">
              <w:marLeft w:val="0"/>
              <w:marRight w:val="0"/>
              <w:marTop w:val="0"/>
              <w:marBottom w:val="0"/>
              <w:divBdr>
                <w:top w:val="none" w:sz="0" w:space="0" w:color="auto"/>
                <w:left w:val="none" w:sz="0" w:space="0" w:color="auto"/>
                <w:bottom w:val="none" w:sz="0" w:space="0" w:color="auto"/>
                <w:right w:val="none" w:sz="0" w:space="0" w:color="auto"/>
              </w:divBdr>
              <w:divsChild>
                <w:div w:id="2258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0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3</Pages>
  <Words>785</Words>
  <Characters>4713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2023-07-21T08:47:00Z</cp:lastPrinted>
  <dcterms:created xsi:type="dcterms:W3CDTF">2023-08-08T10:20:00Z</dcterms:created>
  <dcterms:modified xsi:type="dcterms:W3CDTF">2023-08-08T10:20:00Z</dcterms:modified>
</cp:coreProperties>
</file>