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068F76CF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RI.271.2.1</w:t>
      </w:r>
      <w:r w:rsidR="00CB04EE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3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.2021  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FF4045A" w14:textId="77777777" w:rsidR="00CB04EE" w:rsidRPr="00CB04EE" w:rsidRDefault="00CB04EE" w:rsidP="00CB04EE">
      <w:pPr>
        <w:rPr>
          <w:rStyle w:val="FontStyle19"/>
          <w:rFonts w:asciiTheme="minorHAnsi" w:eastAsiaTheme="minorEastAsia" w:hAnsiTheme="minorHAnsi" w:cstheme="minorHAnsi"/>
          <w:b/>
          <w:color w:val="FF0000"/>
          <w:sz w:val="22"/>
          <w:szCs w:val="24"/>
          <w:lang w:eastAsia="pl-PL"/>
        </w:rPr>
      </w:pPr>
      <w:r w:rsidRPr="00CB04EE">
        <w:rPr>
          <w:rStyle w:val="FontStyle19"/>
          <w:rFonts w:asciiTheme="minorHAnsi" w:eastAsiaTheme="minorEastAsia" w:hAnsiTheme="minorHAnsi" w:cstheme="minorHAnsi"/>
          <w:b/>
          <w:color w:val="FF0000"/>
          <w:sz w:val="22"/>
          <w:szCs w:val="24"/>
          <w:lang w:eastAsia="pl-PL"/>
        </w:rPr>
        <w:t>Budowa i przebudowa przejść dla pieszych w Debrznie</w:t>
      </w:r>
    </w:p>
    <w:p w14:paraId="2F211ED9" w14:textId="167032B1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Pr="00296D5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B4C5CB7" w14:textId="1767822B" w:rsidR="002E177F" w:rsidRPr="00296D56" w:rsidRDefault="00B666B2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Część 1: 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Budowa przejścia dla pieszych na drodze gminnej nr 233010 G przy ulicy Mokotowskiej w Debrznie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, według </w:t>
      </w:r>
      <w:r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załączonej </w:t>
      </w:r>
      <w:r w:rsidR="002E177F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dokument</w:t>
      </w:r>
      <w:r w:rsidR="002711BE" w:rsidRPr="00296D56"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 xml:space="preserve">acji </w:t>
      </w:r>
      <w:r>
        <w:rPr>
          <w:rStyle w:val="FontStyle14"/>
          <w:rFonts w:asciiTheme="minorHAnsi" w:hAnsiTheme="minorHAnsi" w:cstheme="minorHAnsi"/>
          <w:b/>
          <w:color w:val="auto"/>
          <w:sz w:val="22"/>
          <w:szCs w:val="22"/>
        </w:rPr>
        <w:t>i przedmiaru.</w:t>
      </w:r>
    </w:p>
    <w:p w14:paraId="4B1002E3" w14:textId="2340C6FB" w:rsidR="007938A2" w:rsidRPr="00296D56" w:rsidRDefault="00B666B2" w:rsidP="007938A2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Część 2: 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Przebudowa przejść dla pieszych na skrzyżowaniach dróg nr 233010G i 233032G w Debrznie</w:t>
      </w:r>
      <w:r w:rsidRPr="00B666B2">
        <w:rPr>
          <w:rStyle w:val="FontStyle14"/>
          <w:rFonts w:asciiTheme="minorHAnsi" w:hAnsiTheme="minorHAnsi" w:cstheme="minorHAnsi"/>
          <w:b/>
          <w:bCs/>
          <w:color w:val="auto"/>
          <w:sz w:val="22"/>
          <w:szCs w:val="22"/>
        </w:rPr>
        <w:t>, według załączonej dokumentacji i przedmiaru.</w:t>
      </w:r>
    </w:p>
    <w:p w14:paraId="3D08AAA2" w14:textId="35862101" w:rsidR="00842449" w:rsidRDefault="00FD5EB6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Przedmiotem inwestycji jest</w:t>
      </w:r>
      <w:r w:rsidR="00842449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:</w:t>
      </w:r>
    </w:p>
    <w:p w14:paraId="42092F1D" w14:textId="301475E4" w:rsidR="00CB04EE" w:rsidRPr="00CB04EE" w:rsidRDefault="00CB04EE" w:rsidP="00CB04EE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Część</w:t>
      </w:r>
      <w:r w:rsid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</w:t>
      </w:r>
    </w:p>
    <w:p w14:paraId="713963C3" w14:textId="77777777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wykonanie przebudowy nawierzchni (rozbiórka istniejącej nawierzchni asfaltowej, wykonanie wyniesionych przejść dla pieszych z kostki betonowej) - ul. Mokotowska, </w:t>
      </w:r>
    </w:p>
    <w:p w14:paraId="44B7097D" w14:textId="77777777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-     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przebudowa nawierzchni chodników w obrębie projektowanego przejścia dla pieszych z przystosowaniem dla osób niepełnosprawnych, </w:t>
      </w:r>
    </w:p>
    <w:p w14:paraId="553081B9" w14:textId="77777777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budowa nawierzchni chodnika w obrębie projektowanego przejścia dla pieszych </w:t>
      </w:r>
    </w:p>
    <w:p w14:paraId="73BA9DF2" w14:textId="40ED8267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ustawienie krawężników betonowych o wymiarach 15x30cm (wystawionych na 1 powyżej krawędzi jezdni) z wykonaniem ławy betonowej z oporem - jako obramowanie nawierzchni jezdni, </w:t>
      </w:r>
    </w:p>
    <w:p w14:paraId="6D66035C" w14:textId="77777777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ustawienie krawężników betonowych wyługowanych o wymiarach 15x22cm (wystawionych na 1 cm powyżej krawędzi jezdni) z wykonaniem ławy betonowej z oporem - jako obramowanie nawierzchni jezdni na zjazdach, </w:t>
      </w:r>
    </w:p>
    <w:p w14:paraId="75ACEE24" w14:textId="7D9BDE5F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ustawienie obrzeży betonowych o wymiarach 8x30cm z wykonaniem ławy betonowej z oporem - jako obramowanie chodników,</w:t>
      </w:r>
    </w:p>
    <w:p w14:paraId="5D783318" w14:textId="355088B2" w:rsidR="00CB04EE" w:rsidRPr="00CB04EE" w:rsidRDefault="00CB04EE" w:rsidP="00B666B2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zastosowanie systemu fakturowych oznaczeń nawierzchni dla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osób 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z dysfunkcjami wzroku - wykonanie płytek prowadzących i ostrzegawczych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ułatwiający dostęp osobom niepełnosprawnych</w:t>
      </w:r>
    </w:p>
    <w:p w14:paraId="132355FC" w14:textId="77777777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budowę oświetlenia ulicznego LED - doświetlające przejścia dla pieszych , </w:t>
      </w:r>
    </w:p>
    <w:p w14:paraId="350AA8F5" w14:textId="77777777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remont istniejącej infrastruktury w obszarze prowadzonych prac budowlanych,</w:t>
      </w:r>
    </w:p>
    <w:p w14:paraId="11224FDD" w14:textId="1BFB8452" w:rsidR="00CB04EE" w:rsidRDefault="00CB04EE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odtworzenie istniejącego oznakowania poziomego i pionowego.</w:t>
      </w:r>
    </w:p>
    <w:p w14:paraId="56706DC4" w14:textId="77777777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537BBE84" w14:textId="322FEF0A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Część 2</w:t>
      </w:r>
    </w:p>
    <w:p w14:paraId="3452ADC4" w14:textId="38039250" w:rsidR="00B666B2" w:rsidRPr="00B666B2" w:rsidRDefault="00B666B2" w:rsidP="00B666B2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wykonanie przebudowy nawierzchni (rozbiórka istniejącej nawierzchni asfaltowej, wykonanie wyniesionych przejść dla pieszych z kostki betonowej) - ul. Mokotowska, ul. Przechodnia</w:t>
      </w:r>
    </w:p>
    <w:p w14:paraId="62E1029B" w14:textId="7C10E9F7" w:rsidR="00B666B2" w:rsidRPr="00B666B2" w:rsidRDefault="00B666B2" w:rsidP="00B666B2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przebudowa nawierzchni chodników w obrębie skrzyżowania z przystosowaniem dla osób niepełnosprawnych,</w:t>
      </w:r>
    </w:p>
    <w:p w14:paraId="6D2DDC4E" w14:textId="2FEC9FF1" w:rsidR="00B666B2" w:rsidRPr="00B666B2" w:rsidRDefault="00B666B2" w:rsidP="00B666B2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ustawienie krawężników betonowych o wymiarach 15x30cm (wystawionych na 1 powyżej krawędzi jezdni) z wykonaniem ławy betonowej z oporem - jako obramowanie nawierzchni jezdni,</w:t>
      </w:r>
    </w:p>
    <w:p w14:paraId="1369A109" w14:textId="23C0BA18" w:rsidR="00B666B2" w:rsidRPr="00B666B2" w:rsidRDefault="00B666B2" w:rsidP="00B666B2">
      <w:pPr>
        <w:pStyle w:val="Style7"/>
        <w:spacing w:line="302" w:lineRule="exact"/>
        <w:ind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ustawienie krawężników betonowych wyługowanych o wymiarach 15x22cm (wystawionych na 1 cm powyżej krawędzi jezdni) z wykonaniem ławy betonowej z oporem - jako obramowanie nawierzchni jezdni na zjazdach,</w:t>
      </w:r>
    </w:p>
    <w:p w14:paraId="6F9A2CDC" w14:textId="33AFE085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ustawienie obrzeży betonowych o wymiarach 8x30cm z wykonaniem ławy betonowej z oporem - jako obramowanie chodników,</w:t>
      </w:r>
    </w:p>
    <w:p w14:paraId="7208E7F4" w14:textId="77777777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zastosowanie systemu fakturowych oznaczeń nawierzchni dla osób z dysfunkcjami wzroku - wykonanie płytek prowadzących i ostrzegawczych ułatwiający dostęp osobom niepełnosprawnych</w:t>
      </w:r>
    </w:p>
    <w:p w14:paraId="4C059FFE" w14:textId="77777777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budowę wpustów kanalizacji deszczowej, </w:t>
      </w:r>
    </w:p>
    <w:p w14:paraId="0207EF7F" w14:textId="77777777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lastRenderedPageBreak/>
        <w:t>- budowę oświetlenia ulicznego LED - doświetlające przejścia dla pieszych ,</w:t>
      </w:r>
    </w:p>
    <w:p w14:paraId="797F794F" w14:textId="77777777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-</w:t>
      </w: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remont istniejącej infrastruktury w obszarze prowadzonych prac budowlanych,</w:t>
      </w:r>
    </w:p>
    <w:p w14:paraId="6B70505A" w14:textId="713781E7" w:rsidR="00B666B2" w:rsidRDefault="00B666B2" w:rsidP="00B666B2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B666B2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- odtworzenie istniejącego oznakowania poziomego i pionowego.</w:t>
      </w:r>
    </w:p>
    <w:p w14:paraId="7A51B981" w14:textId="77777777" w:rsidR="00CB04EE" w:rsidRPr="00296D56" w:rsidRDefault="00CB04EE" w:rsidP="00CB04EE">
      <w:pPr>
        <w:pStyle w:val="Style7"/>
        <w:widowControl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</w:p>
    <w:p w14:paraId="6808BFE1" w14:textId="295B0325" w:rsidR="00435D92" w:rsidRPr="00296D56" w:rsidRDefault="00435D92" w:rsidP="00CB04EE">
      <w:pPr>
        <w:pStyle w:val="Style7"/>
        <w:widowControl/>
        <w:numPr>
          <w:ilvl w:val="0"/>
          <w:numId w:val="29"/>
        </w:numPr>
        <w:spacing w:line="302" w:lineRule="exact"/>
        <w:ind w:left="284" w:right="10" w:hanging="284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Wykonawca zapewni</w:t>
      </w:r>
      <w:r w:rsidR="00296D56"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jeśli jest taka konieczność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nadzór archeologiczny.</w:t>
      </w:r>
    </w:p>
    <w:p w14:paraId="32B61878" w14:textId="7AF1B670" w:rsidR="0008373E" w:rsidRPr="00CB04EE" w:rsidRDefault="0008373E" w:rsidP="00CB04E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Na czas realizacji inwestycji Wykonawca sporządzi projekt tymczasowej organizacji ruchu. Przed </w:t>
      </w:r>
      <w:r w:rsidRPr="00CB04EE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wprowadzeniem czasowej organizacji ruchu projekt musi być zaopiniowany w odpowiednich jednostkach samorządowych i policji.</w:t>
      </w:r>
    </w:p>
    <w:p w14:paraId="0ED5857E" w14:textId="02ED70C5" w:rsidR="000C05CB" w:rsidRPr="00296D56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Zamawiający informuje, iż w związku z tym, że Wykonawca składa ofertę z ceną określoną ryczałtowo - złożony przez wykonawcę </w:t>
      </w:r>
      <w:r w:rsidR="00DF1870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przed podpisaniem umowy </w:t>
      </w: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kosztorys ofertowy stanowi jedynie uzasadnienie merytoryczne oferowanej kwoty wynagrodzenia ryczałtowego.</w:t>
      </w:r>
    </w:p>
    <w:p w14:paraId="306EFAB5" w14:textId="77777777" w:rsidR="009B43DF" w:rsidRPr="00296D56" w:rsidRDefault="009B43DF" w:rsidP="009B43DF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Zamawiający nie zastrzega w ogłoszeniu o zamówieniu, że o udzielenie zamówienia mogą ubiegać się wyłącznie Wykonawcy, o których mowa w art. 94 ustawy PZP.</w:t>
      </w:r>
    </w:p>
    <w:p w14:paraId="2C94B39E" w14:textId="2EBB468B" w:rsidR="00181479" w:rsidRPr="00296D56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296D56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sectPr w:rsidR="00181479" w:rsidRPr="00296D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3"/>
  </w:num>
  <w:num w:numId="10">
    <w:abstractNumId w:val="12"/>
  </w:num>
  <w:num w:numId="11">
    <w:abstractNumId w:val="2"/>
  </w:num>
  <w:num w:numId="12">
    <w:abstractNumId w:val="8"/>
  </w:num>
  <w:num w:numId="13">
    <w:abstractNumId w:val="17"/>
  </w:num>
  <w:num w:numId="14">
    <w:abstractNumId w:val="26"/>
  </w:num>
  <w:num w:numId="15">
    <w:abstractNumId w:val="13"/>
  </w:num>
  <w:num w:numId="16">
    <w:abstractNumId w:val="18"/>
  </w:num>
  <w:num w:numId="17">
    <w:abstractNumId w:val="7"/>
  </w:num>
  <w:num w:numId="18">
    <w:abstractNumId w:val="11"/>
  </w:num>
  <w:num w:numId="19">
    <w:abstractNumId w:val="15"/>
  </w:num>
  <w:num w:numId="20">
    <w:abstractNumId w:val="16"/>
  </w:num>
  <w:num w:numId="21">
    <w:abstractNumId w:val="25"/>
  </w:num>
  <w:num w:numId="22">
    <w:abstractNumId w:val="21"/>
  </w:num>
  <w:num w:numId="23">
    <w:abstractNumId w:val="4"/>
  </w:num>
  <w:num w:numId="24">
    <w:abstractNumId w:val="20"/>
  </w:num>
  <w:num w:numId="25">
    <w:abstractNumId w:val="19"/>
  </w:num>
  <w:num w:numId="26">
    <w:abstractNumId w:val="14"/>
  </w:num>
  <w:num w:numId="27">
    <w:abstractNumId w:val="6"/>
  </w:num>
  <w:num w:numId="28">
    <w:abstractNumId w:val="1"/>
  </w:num>
  <w:num w:numId="29">
    <w:abstractNumId w:val="2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307BD4"/>
    <w:rsid w:val="00377244"/>
    <w:rsid w:val="003A6E56"/>
    <w:rsid w:val="003B3903"/>
    <w:rsid w:val="003C3279"/>
    <w:rsid w:val="003D0793"/>
    <w:rsid w:val="00430853"/>
    <w:rsid w:val="004311B5"/>
    <w:rsid w:val="00435D92"/>
    <w:rsid w:val="00457C1E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6361A"/>
    <w:rsid w:val="007938A2"/>
    <w:rsid w:val="007A35CB"/>
    <w:rsid w:val="007D5A2B"/>
    <w:rsid w:val="007F604D"/>
    <w:rsid w:val="00801357"/>
    <w:rsid w:val="00807D87"/>
    <w:rsid w:val="00833909"/>
    <w:rsid w:val="008339CC"/>
    <w:rsid w:val="00842449"/>
    <w:rsid w:val="00873D80"/>
    <w:rsid w:val="00893C6E"/>
    <w:rsid w:val="008A408D"/>
    <w:rsid w:val="008B4ECC"/>
    <w:rsid w:val="00943E68"/>
    <w:rsid w:val="00950FE2"/>
    <w:rsid w:val="00952182"/>
    <w:rsid w:val="00971DDE"/>
    <w:rsid w:val="00972AEA"/>
    <w:rsid w:val="009A49C2"/>
    <w:rsid w:val="009B43DF"/>
    <w:rsid w:val="009D716D"/>
    <w:rsid w:val="009F1539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45679"/>
    <w:rsid w:val="00B52614"/>
    <w:rsid w:val="00B540AA"/>
    <w:rsid w:val="00B54B74"/>
    <w:rsid w:val="00B666B2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62C26"/>
    <w:rsid w:val="00C66897"/>
    <w:rsid w:val="00C73419"/>
    <w:rsid w:val="00C775B6"/>
    <w:rsid w:val="00C85562"/>
    <w:rsid w:val="00C97824"/>
    <w:rsid w:val="00CA6509"/>
    <w:rsid w:val="00CB04EE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5</cp:revision>
  <cp:lastPrinted>2021-04-29T12:06:00Z</cp:lastPrinted>
  <dcterms:created xsi:type="dcterms:W3CDTF">2021-05-18T06:37:00Z</dcterms:created>
  <dcterms:modified xsi:type="dcterms:W3CDTF">2021-10-28T07:43:00Z</dcterms:modified>
</cp:coreProperties>
</file>