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90EA2F" w14:textId="62D9DFDB" w:rsidR="00D17A72" w:rsidRDefault="007A63E6" w:rsidP="009616F5">
      <w:pPr>
        <w:jc w:val="both"/>
      </w:pPr>
      <w:r w:rsidRPr="007A63E6">
        <w:t>Znak pos</w:t>
      </w:r>
      <w:r w:rsidR="001C6071">
        <w:t>t</w:t>
      </w:r>
      <w:r w:rsidRPr="007A63E6">
        <w:t>ępowania: WR.</w:t>
      </w:r>
      <w:r w:rsidR="001C6071">
        <w:t>271.</w:t>
      </w:r>
      <w:r w:rsidR="00004B1C">
        <w:t>11</w:t>
      </w:r>
      <w:r w:rsidR="001C6071">
        <w:t>.2022</w:t>
      </w:r>
      <w:r w:rsidR="009616F5" w:rsidRPr="007A63E6">
        <w:t>.206</w:t>
      </w:r>
    </w:p>
    <w:p w14:paraId="5774DF32" w14:textId="77777777" w:rsidR="009616F5" w:rsidRDefault="009616F5" w:rsidP="009616F5">
      <w:pPr>
        <w:jc w:val="right"/>
      </w:pPr>
      <w:r>
        <w:t>Zał. nr 1a do SWZ</w:t>
      </w:r>
    </w:p>
    <w:p w14:paraId="39A35E00" w14:textId="77777777" w:rsidR="009616F5" w:rsidRDefault="009616F5" w:rsidP="009616F5">
      <w:pPr>
        <w:jc w:val="center"/>
        <w:rPr>
          <w:b/>
        </w:rPr>
      </w:pPr>
      <w:r w:rsidRPr="009616F5">
        <w:rPr>
          <w:b/>
        </w:rPr>
        <w:t>OPIS PRZEDMIOTU ZAMÓWIENIA</w:t>
      </w:r>
    </w:p>
    <w:p w14:paraId="3043DF1C" w14:textId="598CE272" w:rsidR="00004B1C" w:rsidRPr="00A14DBF" w:rsidRDefault="00A14DBF" w:rsidP="009616F5">
      <w:pPr>
        <w:jc w:val="center"/>
        <w:rPr>
          <w:i/>
        </w:rPr>
      </w:pPr>
      <w:r w:rsidRPr="00A14DBF">
        <w:rPr>
          <w:i/>
          <w:highlight w:val="yellow"/>
        </w:rPr>
        <w:t>zmodyfikowany w dniu 12.05.2022r</w:t>
      </w:r>
    </w:p>
    <w:p w14:paraId="36D2F3F6" w14:textId="7634D934" w:rsidR="00004B1C" w:rsidRDefault="00004B1C" w:rsidP="009616F5">
      <w:pPr>
        <w:jc w:val="center"/>
        <w:rPr>
          <w:b/>
        </w:rPr>
      </w:pPr>
      <w:r w:rsidRPr="00004B1C">
        <w:rPr>
          <w:b/>
        </w:rPr>
        <w:t>Energooszczędne oświetlenie uliczne i drogowe przy drogach publicznych na obszarze Gminy Lądek-Zdrój</w:t>
      </w:r>
    </w:p>
    <w:p w14:paraId="74923AB2" w14:textId="77777777" w:rsidR="00004B1C" w:rsidRDefault="00004B1C" w:rsidP="009616F5">
      <w:pPr>
        <w:jc w:val="center"/>
        <w:rPr>
          <w:b/>
        </w:rPr>
      </w:pPr>
    </w:p>
    <w:p w14:paraId="2E7CC690" w14:textId="381C6A73" w:rsidR="00004B1C" w:rsidRDefault="00004B1C" w:rsidP="00ED3A21">
      <w:pPr>
        <w:pStyle w:val="Akapitzlist"/>
        <w:numPr>
          <w:ilvl w:val="0"/>
          <w:numId w:val="10"/>
        </w:numPr>
        <w:ind w:left="0"/>
        <w:jc w:val="both"/>
      </w:pPr>
      <w:r>
        <w:t>Przedmiotem zamówienia jest wymiana opraw i s</w:t>
      </w:r>
      <w:r w:rsidR="00776066">
        <w:t>łupów oświetleniowych zgodnie z </w:t>
      </w:r>
      <w:r w:rsidR="00512401">
        <w:t>audytem i </w:t>
      </w:r>
      <w:r>
        <w:t>aneksem do audytu oświetleniowego. Zamawiający przewiduje 3 rodzaje słupów: stylizowany, ocynkowany</w:t>
      </w:r>
      <w:r w:rsidR="00512401">
        <w:t xml:space="preserve"> malowany</w:t>
      </w:r>
      <w:r>
        <w:t xml:space="preserve"> i aluminiowe anodowane.</w:t>
      </w:r>
    </w:p>
    <w:p w14:paraId="03DA3CB0" w14:textId="77777777" w:rsidR="00004B1C" w:rsidRDefault="00004B1C" w:rsidP="00ED3A21">
      <w:pPr>
        <w:pStyle w:val="Akapitzlist"/>
        <w:numPr>
          <w:ilvl w:val="0"/>
          <w:numId w:val="10"/>
        </w:numPr>
        <w:ind w:left="0"/>
        <w:jc w:val="both"/>
      </w:pPr>
      <w:r>
        <w:t>Oznaczenie przedmiotu zamówienia we Wspólnym Słowniku Zamówień (CPV):</w:t>
      </w:r>
    </w:p>
    <w:p w14:paraId="6656CC28" w14:textId="77777777" w:rsidR="00004B1C" w:rsidRPr="00004B1C" w:rsidRDefault="00004B1C" w:rsidP="00004B1C">
      <w:pPr>
        <w:pStyle w:val="Akapitzlist"/>
        <w:numPr>
          <w:ilvl w:val="1"/>
          <w:numId w:val="10"/>
        </w:numPr>
        <w:jc w:val="both"/>
        <w:rPr>
          <w:i/>
        </w:rPr>
      </w:pPr>
      <w:r w:rsidRPr="00004B1C">
        <w:rPr>
          <w:i/>
        </w:rPr>
        <w:t xml:space="preserve">45316000-5 Instalowanie systemów oświetleniowych i sygnalizacyjnych  </w:t>
      </w:r>
    </w:p>
    <w:p w14:paraId="2AE2F86B" w14:textId="77777777" w:rsidR="00004B1C" w:rsidRPr="00004B1C" w:rsidRDefault="00004B1C" w:rsidP="00004B1C">
      <w:pPr>
        <w:pStyle w:val="Akapitzlist"/>
        <w:numPr>
          <w:ilvl w:val="1"/>
          <w:numId w:val="10"/>
        </w:numPr>
        <w:jc w:val="both"/>
        <w:rPr>
          <w:i/>
        </w:rPr>
      </w:pPr>
      <w:r w:rsidRPr="00004B1C">
        <w:rPr>
          <w:i/>
        </w:rPr>
        <w:t xml:space="preserve">45316110-9 Instalowanie urządzeń oświetlenia drogowego  </w:t>
      </w:r>
    </w:p>
    <w:p w14:paraId="0BEC2469" w14:textId="63FEDA0C" w:rsidR="00004B1C" w:rsidRDefault="00004B1C" w:rsidP="00ED3A21">
      <w:pPr>
        <w:pStyle w:val="Akapitzlist"/>
        <w:numPr>
          <w:ilvl w:val="0"/>
          <w:numId w:val="10"/>
        </w:numPr>
        <w:ind w:left="0"/>
        <w:jc w:val="both"/>
      </w:pPr>
      <w:r>
        <w:t>Zadanie realizowane w ramach projektu</w:t>
      </w:r>
      <w:r w:rsidRPr="00004B1C">
        <w:t xml:space="preserve">: </w:t>
      </w:r>
      <w:r w:rsidRPr="00004B1C">
        <w:rPr>
          <w:b/>
        </w:rPr>
        <w:t>„Energooszczędne oświetlenie uliczne i</w:t>
      </w:r>
      <w:r>
        <w:rPr>
          <w:b/>
        </w:rPr>
        <w:t> </w:t>
      </w:r>
      <w:r w:rsidRPr="00004B1C">
        <w:rPr>
          <w:b/>
        </w:rPr>
        <w:t>drogowe przy drogach publicznych obszaru Ziemi Kłodzkiej”</w:t>
      </w:r>
      <w:r>
        <w:t xml:space="preserve">  przygotowany przez Zespół </w:t>
      </w:r>
      <w:proofErr w:type="spellStart"/>
      <w:r>
        <w:t>EffiCon</w:t>
      </w:r>
      <w:proofErr w:type="spellEnd"/>
      <w:r>
        <w:t xml:space="preserve"> dla Lidera projektu Gminy Lądek-Zdrój oraz Gmin Partnerskich: Kłodzko Miejskie, Bystrzyca Kłodzka, Kudowa Zdrój, Radków, Międzylesie, Szczytna oraz Stronie Śląskie, Uchwałą 3455/VI/21 Zarządu Województwa Dolnośląskiego, otrzymał dofinansowanie w ramach RPO WD 2014-2020 dla Osi Priorytetowej 3 Gospodarka niskoemisyjna, Działania 3.4 Wdrażanie strategii niskoemisyjnych, Poddziałania 3,4.1 Wdrażanie strategii niskoemisyjnych – konkursy horyzontalne dla wnioskodawców / beneficjentów realizujących przedsięwzięcia na terenie województwa dolnośląskiego za wyjątkiem obszarów ZIT </w:t>
      </w:r>
      <w:proofErr w:type="spellStart"/>
      <w:r>
        <w:t>WrOF</w:t>
      </w:r>
      <w:proofErr w:type="spellEnd"/>
      <w:r>
        <w:t>, ZIT AJ, ZIT AW (Numer naboru RPDS.03.04.01-lZ.00-02-392/20).</w:t>
      </w:r>
    </w:p>
    <w:p w14:paraId="0CCB389E" w14:textId="4A2A9AFF" w:rsidR="00004B1C" w:rsidRDefault="00004B1C" w:rsidP="00ED3A21">
      <w:pPr>
        <w:pStyle w:val="Akapitzlist"/>
        <w:numPr>
          <w:ilvl w:val="0"/>
          <w:numId w:val="10"/>
        </w:numPr>
        <w:ind w:left="0"/>
        <w:jc w:val="both"/>
      </w:pPr>
      <w:r>
        <w:t>Opis modernizacji oświetlenia ulicznego w Gminie Lą</w:t>
      </w:r>
      <w:r w:rsidR="00512401">
        <w:t>dek-Zdrój zawiera Audyt (wraz z </w:t>
      </w:r>
      <w:r>
        <w:t>aneksem) efektywności energetycznej oświetlenia ulicznego będący załącznikiem A) do niniejszego Opisu Przedmiotu Zamówienia.</w:t>
      </w:r>
    </w:p>
    <w:p w14:paraId="11A6D7D8" w14:textId="7EEFB035" w:rsidR="00004B1C" w:rsidRDefault="00F37076" w:rsidP="00ED3A21">
      <w:pPr>
        <w:pStyle w:val="Akapitzlist"/>
        <w:numPr>
          <w:ilvl w:val="0"/>
          <w:numId w:val="10"/>
        </w:numPr>
        <w:ind w:left="0"/>
        <w:jc w:val="both"/>
      </w:pPr>
      <w:r>
        <w:t>Wykaz</w:t>
      </w:r>
      <w:r w:rsidR="00004B1C">
        <w:t xml:space="preserve"> opraw i słupów do wymiany </w:t>
      </w:r>
      <w:r>
        <w:t xml:space="preserve">(wraz z mapami z lokalizacją) </w:t>
      </w:r>
      <w:r w:rsidR="00004B1C">
        <w:t>zawiera z</w:t>
      </w:r>
      <w:r w:rsidR="003A077A">
        <w:t>ałącznik B) do niniejszego OPZ:</w:t>
      </w:r>
    </w:p>
    <w:p w14:paraId="6F2643A0" w14:textId="6819F327" w:rsidR="003A077A" w:rsidRPr="003A077A" w:rsidRDefault="003A077A" w:rsidP="00ED3A21">
      <w:pPr>
        <w:pStyle w:val="Akapitzlist"/>
        <w:numPr>
          <w:ilvl w:val="1"/>
          <w:numId w:val="10"/>
        </w:numPr>
        <w:ind w:left="567" w:hanging="567"/>
        <w:jc w:val="both"/>
      </w:pPr>
      <w:r>
        <w:lastRenderedPageBreak/>
        <w:t xml:space="preserve">na </w:t>
      </w:r>
      <w:r w:rsidRPr="003A077A">
        <w:rPr>
          <w:color w:val="FF0000"/>
        </w:rPr>
        <w:t xml:space="preserve">czerwono </w:t>
      </w:r>
      <w:r>
        <w:t xml:space="preserve">oznaczono oprawy, których wymiana </w:t>
      </w:r>
      <w:r w:rsidRPr="003A077A">
        <w:rPr>
          <w:u w:val="single"/>
        </w:rPr>
        <w:t>nie jest przedmiotem zamówienia</w:t>
      </w:r>
      <w:r>
        <w:rPr>
          <w:u w:val="single"/>
        </w:rPr>
        <w:t xml:space="preserve"> (są wyłączone z zakresu zamówienia);</w:t>
      </w:r>
    </w:p>
    <w:p w14:paraId="05AD9BF3" w14:textId="339197B2" w:rsidR="003A077A" w:rsidRDefault="003A077A" w:rsidP="00ED3A21">
      <w:pPr>
        <w:pStyle w:val="Akapitzlist"/>
        <w:numPr>
          <w:ilvl w:val="1"/>
          <w:numId w:val="10"/>
        </w:numPr>
        <w:ind w:left="567" w:hanging="567"/>
        <w:jc w:val="both"/>
      </w:pPr>
      <w:r w:rsidRPr="003A077A">
        <w:t xml:space="preserve">na </w:t>
      </w:r>
      <w:r w:rsidRPr="003A077A">
        <w:rPr>
          <w:highlight w:val="yellow"/>
        </w:rPr>
        <w:t>żółto</w:t>
      </w:r>
      <w:r w:rsidRPr="003A077A">
        <w:t xml:space="preserve"> </w:t>
      </w:r>
      <w:r>
        <w:t>oznaczono oprawy na ul. Fabrycznej, których wymiana powinna być przeprowadzona zgodnie z projektem będącym załącznikiem nr C) do niniejszego OPZ</w:t>
      </w:r>
      <w:r w:rsidR="006764EE">
        <w:t xml:space="preserve"> (słupy ocynkowane malowane)</w:t>
      </w:r>
      <w:r>
        <w:t>;</w:t>
      </w:r>
    </w:p>
    <w:p w14:paraId="0ADE2210" w14:textId="53F6A6F7" w:rsidR="003A077A" w:rsidRDefault="003A077A" w:rsidP="00ED3A21">
      <w:pPr>
        <w:pStyle w:val="Akapitzlist"/>
        <w:numPr>
          <w:ilvl w:val="1"/>
          <w:numId w:val="10"/>
        </w:numPr>
        <w:ind w:left="567" w:hanging="567"/>
        <w:jc w:val="both"/>
      </w:pPr>
      <w:r>
        <w:t xml:space="preserve">na </w:t>
      </w:r>
      <w:r w:rsidRPr="003A077A">
        <w:rPr>
          <w:highlight w:val="green"/>
          <w:shd w:val="clear" w:color="auto" w:fill="92D050"/>
        </w:rPr>
        <w:t>zielono</w:t>
      </w:r>
      <w:r>
        <w:t xml:space="preserve"> oznaczono oprawy i słupy stylizowane, których opis zawiera załącznik D) do OPZ;</w:t>
      </w:r>
    </w:p>
    <w:p w14:paraId="602DB146" w14:textId="4243470D" w:rsidR="003A077A" w:rsidRDefault="003A077A" w:rsidP="00ED3A21">
      <w:pPr>
        <w:pStyle w:val="Akapitzlist"/>
        <w:numPr>
          <w:ilvl w:val="1"/>
          <w:numId w:val="10"/>
        </w:numPr>
        <w:ind w:left="567" w:hanging="567"/>
        <w:jc w:val="both"/>
      </w:pPr>
      <w:r>
        <w:t xml:space="preserve">na </w:t>
      </w:r>
      <w:r w:rsidRPr="003A077A">
        <w:rPr>
          <w:highlight w:val="cyan"/>
          <w:shd w:val="clear" w:color="auto" w:fill="00B0F0"/>
        </w:rPr>
        <w:t>niebiesko</w:t>
      </w:r>
      <w:r>
        <w:t xml:space="preserve"> oznaczono oprawy i słupy ocynkowane</w:t>
      </w:r>
      <w:r w:rsidR="00776066">
        <w:t xml:space="preserve"> malowane</w:t>
      </w:r>
      <w:r>
        <w:t>;</w:t>
      </w:r>
    </w:p>
    <w:p w14:paraId="41EEA03F" w14:textId="4F59DC98" w:rsidR="003A077A" w:rsidRDefault="003A077A" w:rsidP="00ED3A21">
      <w:pPr>
        <w:pStyle w:val="Akapitzlist"/>
        <w:numPr>
          <w:ilvl w:val="1"/>
          <w:numId w:val="10"/>
        </w:numPr>
        <w:ind w:left="567" w:hanging="567"/>
        <w:jc w:val="both"/>
      </w:pPr>
      <w:r>
        <w:t>na biało oznaczono oprawy i słupy aluminiowe anodowane;</w:t>
      </w:r>
    </w:p>
    <w:p w14:paraId="6E65B83D" w14:textId="4C7C6904" w:rsidR="003A077A" w:rsidRPr="003A077A" w:rsidRDefault="003A077A" w:rsidP="00ED3A21">
      <w:pPr>
        <w:pStyle w:val="Akapitzlist"/>
        <w:numPr>
          <w:ilvl w:val="1"/>
          <w:numId w:val="10"/>
        </w:numPr>
        <w:ind w:left="567" w:hanging="567"/>
        <w:jc w:val="both"/>
      </w:pPr>
      <w:r>
        <w:t xml:space="preserve">na </w:t>
      </w:r>
      <w:r w:rsidRPr="003A077A">
        <w:rPr>
          <w:shd w:val="clear" w:color="auto" w:fill="FFC000"/>
        </w:rPr>
        <w:t>pomarańczowo</w:t>
      </w:r>
      <w:r w:rsidRPr="003A077A">
        <w:t xml:space="preserve"> </w:t>
      </w:r>
      <w:r>
        <w:t xml:space="preserve">oznaczono oprawy </w:t>
      </w:r>
      <w:r w:rsidR="00776066">
        <w:t xml:space="preserve">montowane na </w:t>
      </w:r>
      <w:r>
        <w:t>wysięgnik</w:t>
      </w:r>
      <w:r w:rsidR="00776066">
        <w:t>u</w:t>
      </w:r>
      <w:r>
        <w:t>.</w:t>
      </w:r>
    </w:p>
    <w:p w14:paraId="79905AA1" w14:textId="24CD18A7" w:rsidR="00F37076" w:rsidRDefault="00F37076" w:rsidP="00ED3A21">
      <w:pPr>
        <w:pStyle w:val="Akapitzlist"/>
        <w:numPr>
          <w:ilvl w:val="0"/>
          <w:numId w:val="10"/>
        </w:numPr>
        <w:ind w:left="0"/>
        <w:jc w:val="both"/>
      </w:pPr>
      <w:r>
        <w:t>W zakresie zamówienia znajduje się również:</w:t>
      </w:r>
    </w:p>
    <w:p w14:paraId="6B379030" w14:textId="665FF819" w:rsidR="00F37076" w:rsidRDefault="00F37076" w:rsidP="00ED3A21">
      <w:pPr>
        <w:pStyle w:val="Akapitzlist"/>
        <w:numPr>
          <w:ilvl w:val="1"/>
          <w:numId w:val="10"/>
        </w:numPr>
        <w:ind w:left="567" w:hanging="567"/>
        <w:jc w:val="both"/>
      </w:pPr>
      <w:r>
        <w:t>demontaż istniejących i montaż 100</w:t>
      </w:r>
      <w:r w:rsidR="00846D5B">
        <w:t xml:space="preserve"> </w:t>
      </w:r>
      <w:r>
        <w:t>szt</w:t>
      </w:r>
      <w:r w:rsidR="00846D5B">
        <w:t>.</w:t>
      </w:r>
      <w:r>
        <w:t xml:space="preserve"> nowych uchwytów na flagi</w:t>
      </w:r>
      <w:r w:rsidR="00F47456">
        <w:t xml:space="preserve"> (utylizacja starych uchwytów na flagi po stronie Wykonawcy)</w:t>
      </w:r>
      <w:r>
        <w:t>;</w:t>
      </w:r>
    </w:p>
    <w:p w14:paraId="1FAFD826" w14:textId="48380C27" w:rsidR="00F37076" w:rsidRDefault="00F37076" w:rsidP="00ED3A21">
      <w:pPr>
        <w:pStyle w:val="Akapitzlist"/>
        <w:numPr>
          <w:ilvl w:val="1"/>
          <w:numId w:val="10"/>
        </w:numPr>
        <w:ind w:left="567" w:hanging="567"/>
        <w:jc w:val="both"/>
      </w:pPr>
      <w:r>
        <w:t>montaż gniazd na oświetlenie świąteczne na wyznaczonych słupach</w:t>
      </w:r>
      <w:r w:rsidR="009E6A18">
        <w:t xml:space="preserve"> (wszystkie lampy stylizowane i 50 szt. na słupach aluminiowych anodowanych wskazanych przez Zamawiającego)</w:t>
      </w:r>
      <w:r w:rsidR="005C2C2C">
        <w:t>, gniazda powinny być klasy szczelności min. IP66</w:t>
      </w:r>
      <w:r>
        <w:t>;</w:t>
      </w:r>
    </w:p>
    <w:p w14:paraId="650B0314" w14:textId="0C75A776" w:rsidR="00F37076" w:rsidRDefault="00F37076" w:rsidP="00ED3A21">
      <w:pPr>
        <w:pStyle w:val="Akapitzlist"/>
        <w:numPr>
          <w:ilvl w:val="1"/>
          <w:numId w:val="10"/>
        </w:numPr>
        <w:ind w:left="567" w:hanging="567"/>
        <w:jc w:val="both"/>
      </w:pPr>
      <w:r>
        <w:t>demontaż i montaż kamer monitoringu miejskiego (w porozumieniu z Zamawiającym);</w:t>
      </w:r>
    </w:p>
    <w:p w14:paraId="59315AA4" w14:textId="77777777" w:rsidR="00F47456" w:rsidRDefault="00F37076" w:rsidP="00ED3A21">
      <w:pPr>
        <w:pStyle w:val="Akapitzlist"/>
        <w:numPr>
          <w:ilvl w:val="1"/>
          <w:numId w:val="10"/>
        </w:numPr>
        <w:ind w:left="567" w:hanging="567"/>
        <w:jc w:val="both"/>
      </w:pPr>
      <w:r>
        <w:t>demontaż istniejących tabliczek informacyjnych (</w:t>
      </w:r>
      <w:r w:rsidR="00F47456">
        <w:t xml:space="preserve">hoteli, pensjonatów itp.), uchwytów na proporce reklamowe, znaków drogowych; </w:t>
      </w:r>
    </w:p>
    <w:p w14:paraId="55933C1A" w14:textId="4BAFE555" w:rsidR="00F37076" w:rsidRDefault="00F47456" w:rsidP="00ED3A21">
      <w:pPr>
        <w:pStyle w:val="Akapitzlist"/>
        <w:numPr>
          <w:ilvl w:val="1"/>
          <w:numId w:val="10"/>
        </w:numPr>
        <w:ind w:left="567" w:hanging="567"/>
        <w:jc w:val="both"/>
      </w:pPr>
      <w:r>
        <w:t>Wykonawca zobowiązany jest do złożenia zdemontowanych elementów w miejscu wskazanym przez Zamawiającego.</w:t>
      </w:r>
    </w:p>
    <w:p w14:paraId="53F0D48A" w14:textId="2818A7C4" w:rsidR="009E6A18" w:rsidRDefault="009E6A18" w:rsidP="009E6A18">
      <w:pPr>
        <w:pStyle w:val="Akapitzlist"/>
        <w:numPr>
          <w:ilvl w:val="0"/>
          <w:numId w:val="10"/>
        </w:numPr>
        <w:ind w:left="0"/>
        <w:jc w:val="both"/>
      </w:pPr>
      <w:r>
        <w:t xml:space="preserve">Zamawiający przewiduje możliwość odzyskania maksymalnie 10 szt. zdemontowanych słupów (nadających się do ponownego użytku). </w:t>
      </w:r>
    </w:p>
    <w:p w14:paraId="3D7D72AC" w14:textId="59496841" w:rsidR="005C2C2C" w:rsidRDefault="005C2C2C" w:rsidP="009E6A18">
      <w:pPr>
        <w:pStyle w:val="Akapitzlist"/>
        <w:numPr>
          <w:ilvl w:val="0"/>
          <w:numId w:val="10"/>
        </w:numPr>
        <w:ind w:left="0"/>
        <w:jc w:val="both"/>
      </w:pPr>
      <w:r>
        <w:t>Po montażu słupów Wykonawca zobowiązany jest do odtworzenia / przywrócenia stanu pierwotnego nawierzchni wokół słupa.</w:t>
      </w:r>
    </w:p>
    <w:p w14:paraId="45911E1C" w14:textId="3D50D31A" w:rsidR="00F37076" w:rsidRDefault="00F47456" w:rsidP="00ED3A21">
      <w:pPr>
        <w:pStyle w:val="Akapitzlist"/>
        <w:numPr>
          <w:ilvl w:val="0"/>
          <w:numId w:val="10"/>
        </w:numPr>
        <w:ind w:left="0"/>
        <w:jc w:val="both"/>
      </w:pPr>
      <w:r>
        <w:t xml:space="preserve">Wykonawca powinien wykonać </w:t>
      </w:r>
      <w:r w:rsidRPr="00F47456">
        <w:rPr>
          <w:b/>
        </w:rPr>
        <w:t xml:space="preserve">powykonawczą inwentaryzację </w:t>
      </w:r>
      <w:proofErr w:type="spellStart"/>
      <w:r w:rsidRPr="00F47456">
        <w:rPr>
          <w:b/>
        </w:rPr>
        <w:t>geoinformatyczną</w:t>
      </w:r>
      <w:proofErr w:type="spellEnd"/>
      <w:r>
        <w:t>:</w:t>
      </w:r>
    </w:p>
    <w:p w14:paraId="337AA8DC" w14:textId="2F8E81FA" w:rsidR="00F47456" w:rsidRDefault="00F47456" w:rsidP="00ED3A21">
      <w:pPr>
        <w:pStyle w:val="Akapitzlist"/>
        <w:numPr>
          <w:ilvl w:val="1"/>
          <w:numId w:val="10"/>
        </w:numPr>
        <w:ind w:left="567" w:hanging="567"/>
        <w:jc w:val="both"/>
      </w:pPr>
      <w:r>
        <w:t>Lokalizacja X,Y w formacie .</w:t>
      </w:r>
      <w:proofErr w:type="spellStart"/>
      <w:r>
        <w:t>shp</w:t>
      </w:r>
      <w:proofErr w:type="spellEnd"/>
      <w:r>
        <w:t>, obsługiwany przez programy GIS oraz w formacie DWG lub DXF, zapisana w systemie odniesień przestrzennych w układzie prostokątnym płaskich, strefa Polska 1992/19, lub 2000 WGS 1984, system wysokości MSL</w:t>
      </w:r>
      <w:r w:rsidR="00846D5B">
        <w:t xml:space="preserve"> </w:t>
      </w:r>
      <w:r>
        <w:t>(Średni poziom morza), model geoidy EGM96 (Global) z odchyleniem standardowym miesz</w:t>
      </w:r>
      <w:r w:rsidR="00DE7C0A">
        <w:t>czącym się w przedziale 50 cm [</w:t>
      </w:r>
      <w:r>
        <w:t xml:space="preserve">Rozporządzenie Rady Ministrów z dnia 8 sierpnia </w:t>
      </w:r>
      <w:r>
        <w:lastRenderedPageBreak/>
        <w:t xml:space="preserve">2000 r. w sprawie państwowego systemu odniesień przestrzennych Dz. U. Nr 70 poz. 821 z </w:t>
      </w:r>
      <w:proofErr w:type="spellStart"/>
      <w:r>
        <w:t>późn</w:t>
      </w:r>
      <w:proofErr w:type="spellEnd"/>
      <w:r>
        <w:t>. zmianami],</w:t>
      </w:r>
    </w:p>
    <w:p w14:paraId="03ACE035" w14:textId="77BBC7A5" w:rsidR="00F47456" w:rsidRPr="00ED3A21" w:rsidRDefault="00F47456" w:rsidP="00ED3A21">
      <w:pPr>
        <w:pStyle w:val="Akapitzlist"/>
        <w:ind w:left="567"/>
        <w:jc w:val="both"/>
        <w:rPr>
          <w:i/>
        </w:rPr>
      </w:pPr>
      <w:r w:rsidRPr="00ED3A21">
        <w:rPr>
          <w:i/>
        </w:rPr>
        <w:t>-WARSTWA LATARNIE</w:t>
      </w:r>
    </w:p>
    <w:p w14:paraId="1A221464" w14:textId="77777777" w:rsidR="00F47456" w:rsidRDefault="00F47456" w:rsidP="00ED3A21">
      <w:pPr>
        <w:pStyle w:val="Akapitzlist"/>
        <w:numPr>
          <w:ilvl w:val="1"/>
          <w:numId w:val="10"/>
        </w:numPr>
        <w:ind w:left="567" w:hanging="567"/>
        <w:jc w:val="both"/>
      </w:pPr>
      <w:r>
        <w:t>Atrybuty: ID słupa, miasto, ulica, nr skrzynki, nr obwodu, rodzaj oprawy, typ oprawy, moc oprawy, długość wysięgnika, wysokość zamontowania oprawy</w:t>
      </w:r>
    </w:p>
    <w:p w14:paraId="28751094" w14:textId="2BCC1013" w:rsidR="00F47456" w:rsidRPr="00F47456" w:rsidRDefault="00F47456" w:rsidP="00ED3A21">
      <w:pPr>
        <w:pStyle w:val="Akapitzlist"/>
        <w:ind w:left="567"/>
        <w:jc w:val="both"/>
        <w:rPr>
          <w:i/>
        </w:rPr>
      </w:pPr>
      <w:r w:rsidRPr="00F47456">
        <w:rPr>
          <w:i/>
        </w:rPr>
        <w:t>-WARSTWA SKRZYNKI STERUJĄCE</w:t>
      </w:r>
    </w:p>
    <w:p w14:paraId="2E09C5D9" w14:textId="77777777" w:rsidR="00F47456" w:rsidRDefault="00F47456" w:rsidP="00ED3A21">
      <w:pPr>
        <w:pStyle w:val="Akapitzlist"/>
        <w:numPr>
          <w:ilvl w:val="1"/>
          <w:numId w:val="10"/>
        </w:numPr>
        <w:ind w:left="567" w:hanging="567"/>
        <w:jc w:val="both"/>
      </w:pPr>
      <w:r>
        <w:t xml:space="preserve">Atrybuty : ID skrzynki, miasto, ulica, rodzaj skrzynki, ilość obwodów, nr transformatora zasilającego, </w:t>
      </w:r>
    </w:p>
    <w:p w14:paraId="47F7E5A1" w14:textId="3B6371F6" w:rsidR="00F47456" w:rsidRPr="00F47456" w:rsidRDefault="00F47456" w:rsidP="00ED3A21">
      <w:pPr>
        <w:pStyle w:val="Akapitzlist"/>
        <w:ind w:left="567"/>
        <w:jc w:val="both"/>
        <w:rPr>
          <w:i/>
        </w:rPr>
      </w:pPr>
      <w:r w:rsidRPr="00F47456">
        <w:rPr>
          <w:i/>
        </w:rPr>
        <w:t>-WARSTWA STACJA TRAFO</w:t>
      </w:r>
    </w:p>
    <w:p w14:paraId="0C313C7D" w14:textId="77777777" w:rsidR="00F47456" w:rsidRDefault="00F47456" w:rsidP="00ED3A21">
      <w:pPr>
        <w:pStyle w:val="Akapitzlist"/>
        <w:numPr>
          <w:ilvl w:val="1"/>
          <w:numId w:val="10"/>
        </w:numPr>
        <w:ind w:left="567" w:hanging="567"/>
        <w:jc w:val="both"/>
      </w:pPr>
      <w:r>
        <w:t>Atrybuty: ID stacji TRAFO, miasto, ulica, nr TRAFO, rodzaj stacji TRAFO</w:t>
      </w:r>
    </w:p>
    <w:p w14:paraId="3F4821C7" w14:textId="77777777" w:rsidR="00F47456" w:rsidRDefault="00F47456" w:rsidP="00ED3A21">
      <w:pPr>
        <w:pStyle w:val="Akapitzlist"/>
        <w:numPr>
          <w:ilvl w:val="1"/>
          <w:numId w:val="10"/>
        </w:numPr>
        <w:ind w:left="567" w:hanging="567"/>
        <w:jc w:val="both"/>
      </w:pPr>
      <w:r>
        <w:t>Dla wszystkich punktów poboru należy opracować projekt techniczny obejmujący modernizację oświetlenia ulicznego. Dokumentacja musi zawierać:</w:t>
      </w:r>
    </w:p>
    <w:p w14:paraId="495D56B0" w14:textId="4B163A3A" w:rsidR="00F47456" w:rsidRDefault="00F47456" w:rsidP="007D1108">
      <w:pPr>
        <w:pStyle w:val="Akapitzlist"/>
        <w:numPr>
          <w:ilvl w:val="2"/>
          <w:numId w:val="10"/>
        </w:numPr>
        <w:ind w:left="1134" w:hanging="567"/>
        <w:jc w:val="both"/>
      </w:pPr>
      <w:r>
        <w:t xml:space="preserve">Dobór opraw obejmujący wyliczenia fotometryczne zgodne z normą PN-EN 13 201 Obliczenia muszą być wykonane w ogólnodostępnym i bezpłatnym programie służącym do wyliczeń fotometrycznych np. </w:t>
      </w:r>
      <w:proofErr w:type="spellStart"/>
      <w:r>
        <w:t>Dialux</w:t>
      </w:r>
      <w:proofErr w:type="spellEnd"/>
      <w:r>
        <w:t xml:space="preserve">, </w:t>
      </w:r>
      <w:proofErr w:type="spellStart"/>
      <w:r>
        <w:t>Dialux</w:t>
      </w:r>
      <w:proofErr w:type="spellEnd"/>
      <w:r>
        <w:t xml:space="preserve"> </w:t>
      </w:r>
      <w:proofErr w:type="spellStart"/>
      <w:r>
        <w:t>Evo</w:t>
      </w:r>
      <w:proofErr w:type="spellEnd"/>
      <w:r>
        <w:t xml:space="preserve"> itp. Pliki wsadowe należy przekazać do Zamawiającego na etapie weryfikacji obliczeń fotometrycznych. Krzywe fotometryczne muszą być umieszczone na moment składania oferty na ogólnodostępnych stronach internetowych w celu weryfikacji przedłożonych obliczeń. </w:t>
      </w:r>
    </w:p>
    <w:p w14:paraId="1CD373F5" w14:textId="7A3E481C" w:rsidR="00F47456" w:rsidRDefault="00F47456" w:rsidP="00ED3A21">
      <w:pPr>
        <w:pStyle w:val="Akapitzlist"/>
        <w:numPr>
          <w:ilvl w:val="2"/>
          <w:numId w:val="10"/>
        </w:numPr>
        <w:ind w:left="1134" w:hanging="567"/>
        <w:jc w:val="both"/>
      </w:pPr>
      <w:r>
        <w:t>Na ich podstawie należy wykona</w:t>
      </w:r>
      <w:r w:rsidR="00776066">
        <w:t>ć bilans energetyczny każdego z </w:t>
      </w:r>
      <w:r>
        <w:t>punktów poboru określając moc zainstalowaną po realizacji modernizacji oraz ewentualne propozycje co do zmiany mocy zamówionej w stosunku do stanu istniejącego, dokonać doboru aparatury rozdzielczo – zabezpieczającej zapewniającej bezpieczną eksploatację.</w:t>
      </w:r>
    </w:p>
    <w:p w14:paraId="4A006E95" w14:textId="5E94169E" w:rsidR="009E6A18" w:rsidRPr="009E6A18" w:rsidRDefault="00F47456" w:rsidP="009E6A18">
      <w:pPr>
        <w:pStyle w:val="Akapitzlist"/>
        <w:ind w:left="1134"/>
        <w:jc w:val="both"/>
      </w:pPr>
      <w:r>
        <w:t xml:space="preserve">Zamawiający nie dysponuje na dzień </w:t>
      </w:r>
      <w:r w:rsidRPr="009E6A18">
        <w:t xml:space="preserve">dzisiejszy schematami połączeń instalacji </w:t>
      </w:r>
      <w:proofErr w:type="spellStart"/>
      <w:r w:rsidRPr="009E6A18">
        <w:t>zalicznikowych</w:t>
      </w:r>
      <w:proofErr w:type="spellEnd"/>
      <w:r w:rsidRPr="009E6A18">
        <w:t xml:space="preserve"> układów odbiorczych</w:t>
      </w:r>
      <w:r w:rsidR="009E6A18">
        <w:t>.</w:t>
      </w:r>
      <w:r w:rsidRPr="009E6A18">
        <w:t xml:space="preserve"> </w:t>
      </w:r>
    </w:p>
    <w:p w14:paraId="5FBD6AB2" w14:textId="0D9F1510" w:rsidR="00F47456" w:rsidRDefault="00F47456" w:rsidP="009E6A18">
      <w:pPr>
        <w:pStyle w:val="Akapitzlist"/>
        <w:ind w:left="1134"/>
        <w:jc w:val="both"/>
      </w:pPr>
      <w:r w:rsidRPr="009E6A18">
        <w:t xml:space="preserve">Dla każdego z punktów poboru należy sporządzić </w:t>
      </w:r>
      <w:r>
        <w:t>schemat elektryczny oraz jednokreskowy schemat przedstawiający loka</w:t>
      </w:r>
      <w:r w:rsidR="00846D5B">
        <w:t>lizacje opraw oświetleniowych w </w:t>
      </w:r>
      <w:r>
        <w:t xml:space="preserve">stosunku do zagospodarowania terenu wraz z podaniem mocy zabudowanych opraw i doborem zabezpieczenia </w:t>
      </w:r>
      <w:proofErr w:type="spellStart"/>
      <w:r>
        <w:t>przedlicznik</w:t>
      </w:r>
      <w:r w:rsidR="00846D5B">
        <w:t>owego</w:t>
      </w:r>
      <w:proofErr w:type="spellEnd"/>
      <w:r w:rsidR="00846D5B">
        <w:t xml:space="preserve"> dla obciążeń  na każdym z </w:t>
      </w:r>
      <w:r>
        <w:t>odpływów po przeprowadzonej modernizacji (max. format A3).</w:t>
      </w:r>
    </w:p>
    <w:p w14:paraId="00B3104D" w14:textId="7FA7D491" w:rsidR="00F47456" w:rsidRDefault="00F47456" w:rsidP="00ED3A21">
      <w:pPr>
        <w:pStyle w:val="Akapitzlist"/>
        <w:numPr>
          <w:ilvl w:val="2"/>
          <w:numId w:val="10"/>
        </w:numPr>
        <w:ind w:left="1134" w:hanging="567"/>
        <w:jc w:val="both"/>
      </w:pPr>
      <w:r>
        <w:t>Projekt musi zawierać:</w:t>
      </w:r>
    </w:p>
    <w:p w14:paraId="70850115" w14:textId="464ED3B7" w:rsidR="00F47456" w:rsidRDefault="00F47456" w:rsidP="00ED3A21">
      <w:pPr>
        <w:pStyle w:val="Akapitzlist"/>
        <w:numPr>
          <w:ilvl w:val="2"/>
          <w:numId w:val="18"/>
        </w:numPr>
        <w:ind w:left="1701" w:hanging="567"/>
        <w:jc w:val="both"/>
      </w:pPr>
      <w:r>
        <w:t>Część opisową</w:t>
      </w:r>
    </w:p>
    <w:p w14:paraId="39877BCA" w14:textId="4FC7058D" w:rsidR="00F47456" w:rsidRDefault="00F47456" w:rsidP="00ED3A21">
      <w:pPr>
        <w:pStyle w:val="Akapitzlist"/>
        <w:numPr>
          <w:ilvl w:val="2"/>
          <w:numId w:val="18"/>
        </w:numPr>
        <w:ind w:left="1701" w:hanging="567"/>
        <w:jc w:val="both"/>
      </w:pPr>
      <w:r>
        <w:t xml:space="preserve">Schemat jednokreskowy zasilania wraz </w:t>
      </w:r>
      <w:r w:rsidR="00846D5B">
        <w:t>z mocami opraw mieszczący się w </w:t>
      </w:r>
      <w:r>
        <w:t>formacie A3 (dla danej szafy oświetleniowej).</w:t>
      </w:r>
    </w:p>
    <w:p w14:paraId="54198E68" w14:textId="0492DDFE" w:rsidR="00DE7C0A" w:rsidRDefault="00DE7C0A" w:rsidP="00ED3A21">
      <w:pPr>
        <w:pStyle w:val="Akapitzlist"/>
        <w:numPr>
          <w:ilvl w:val="0"/>
          <w:numId w:val="10"/>
        </w:numPr>
        <w:ind w:left="0"/>
        <w:jc w:val="both"/>
      </w:pPr>
      <w:r>
        <w:t xml:space="preserve">Wykonawca powinien uwzględnić w ofercie koszty </w:t>
      </w:r>
      <w:r w:rsidRPr="00DE7C0A">
        <w:rPr>
          <w:b/>
        </w:rPr>
        <w:t>systemu sterowania oświetleniem</w:t>
      </w:r>
      <w:r>
        <w:t>:</w:t>
      </w:r>
    </w:p>
    <w:p w14:paraId="73791D12" w14:textId="77777777" w:rsidR="00DE7C0A" w:rsidRDefault="00DE7C0A" w:rsidP="00ED3A21">
      <w:pPr>
        <w:pStyle w:val="Akapitzlist"/>
        <w:numPr>
          <w:ilvl w:val="1"/>
          <w:numId w:val="10"/>
        </w:numPr>
        <w:ind w:left="567" w:hanging="567"/>
        <w:jc w:val="both"/>
      </w:pPr>
      <w:r>
        <w:t>Projekt przewiduje zastosowanie innowacyjnych rozwiązań w zakresie zarządzania energią - zainstalowane zostanie sterowanie oświetleniem ulicznym. Wykonawca jest odpowiedzialny za instalację systemu sterowania, który umożliwi monitoring infrastruktury oświetleniowej, oraz pozwoli zmieniać nastawy autonomicznej redukcji mocy w oprawach z wykorzystaniem komunikacji GSM (minimum 4G) dla każdej oprawy indywidualnie lub dla dowolnej grupy opraw.</w:t>
      </w:r>
    </w:p>
    <w:p w14:paraId="424C7F0B" w14:textId="77777777" w:rsidR="00DE7C0A" w:rsidRDefault="00DE7C0A" w:rsidP="00ED3A21">
      <w:pPr>
        <w:pStyle w:val="Akapitzlist"/>
        <w:numPr>
          <w:ilvl w:val="1"/>
          <w:numId w:val="10"/>
        </w:numPr>
        <w:ind w:left="567" w:hanging="567"/>
        <w:jc w:val="both"/>
      </w:pPr>
      <w:r>
        <w:t>Wymagania podstawowe dotyczące systemu.</w:t>
      </w:r>
    </w:p>
    <w:p w14:paraId="0BB29B0C" w14:textId="20D65F17" w:rsidR="00DE7C0A" w:rsidRDefault="00DE7C0A" w:rsidP="00ED3A21">
      <w:pPr>
        <w:pStyle w:val="Akapitzlist"/>
        <w:numPr>
          <w:ilvl w:val="2"/>
          <w:numId w:val="10"/>
        </w:numPr>
        <w:ind w:left="1134" w:hanging="567"/>
        <w:jc w:val="both"/>
      </w:pPr>
      <w:r>
        <w:t xml:space="preserve">Bezprzewodowe i autonomiczne zdalne sterowanie oprawami oświetleniowymi LED. </w:t>
      </w:r>
    </w:p>
    <w:p w14:paraId="5DF2CADD" w14:textId="06F6209D" w:rsidR="00DE7C0A" w:rsidRDefault="00DE7C0A" w:rsidP="00ED3A21">
      <w:pPr>
        <w:pStyle w:val="Akapitzlist"/>
        <w:numPr>
          <w:ilvl w:val="2"/>
          <w:numId w:val="10"/>
        </w:numPr>
        <w:ind w:left="1134" w:hanging="567"/>
        <w:jc w:val="both"/>
      </w:pPr>
      <w:r>
        <w:t xml:space="preserve">Realizacja scenariuszy świecenia każdej oprawy z osobna lub dowolnej grupy opraw. </w:t>
      </w:r>
    </w:p>
    <w:p w14:paraId="465D6045" w14:textId="3D39A3DF" w:rsidR="00DE7C0A" w:rsidRDefault="00DE7C0A" w:rsidP="00ED3A21">
      <w:pPr>
        <w:pStyle w:val="Akapitzlist"/>
        <w:numPr>
          <w:ilvl w:val="2"/>
          <w:numId w:val="10"/>
        </w:numPr>
        <w:ind w:left="1134" w:hanging="567"/>
        <w:jc w:val="both"/>
      </w:pPr>
      <w:r>
        <w:t>Dwukierunkowa bezpośrednia komunikacja międz</w:t>
      </w:r>
      <w:r w:rsidR="00776066">
        <w:t>y oprawą LED a </w:t>
      </w:r>
      <w:r>
        <w:t xml:space="preserve">systemem sterowania w oparciu o sieć transmisji danych działającą w paśmie licencjonowanym GSM (minimum 4G) bez pośrednictwa dodatkowych urządzeń radiowych.  </w:t>
      </w:r>
    </w:p>
    <w:p w14:paraId="074304B2" w14:textId="594B9EBF" w:rsidR="00DE7C0A" w:rsidRDefault="00DE7C0A" w:rsidP="00ED3A21">
      <w:pPr>
        <w:pStyle w:val="Akapitzlist"/>
        <w:numPr>
          <w:ilvl w:val="2"/>
          <w:numId w:val="10"/>
        </w:numPr>
        <w:ind w:left="1134" w:hanging="567"/>
        <w:jc w:val="both"/>
      </w:pPr>
      <w:r>
        <w:t xml:space="preserve">Zapewnia elastyczne zarządzanie – zbieranie, </w:t>
      </w:r>
      <w:r w:rsidR="00846D5B">
        <w:t>przechowywanie, przetwarzanie i </w:t>
      </w:r>
      <w:r>
        <w:t>udostępnianie danych.</w:t>
      </w:r>
    </w:p>
    <w:p w14:paraId="3117DB09" w14:textId="6E678EFB" w:rsidR="00DE7C0A" w:rsidRDefault="00DE7C0A" w:rsidP="00ED3A21">
      <w:pPr>
        <w:pStyle w:val="Akapitzlist"/>
        <w:numPr>
          <w:ilvl w:val="2"/>
          <w:numId w:val="10"/>
        </w:numPr>
        <w:ind w:left="1134" w:hanging="567"/>
        <w:jc w:val="both"/>
      </w:pPr>
      <w:r>
        <w:t>Możliwość rozbudowy poprzez podłączenie i obsługę nie tylko opraw oświetleniowych LED, ale także dodatkowych czujników, m.in. czujniki parametrów powietrza, czujniki pogodowe, czujniki hałasu, itp.</w:t>
      </w:r>
    </w:p>
    <w:p w14:paraId="7B3AAED9" w14:textId="2DA673C3" w:rsidR="00DE7C0A" w:rsidRDefault="00DE7C0A" w:rsidP="00ED3A21">
      <w:pPr>
        <w:pStyle w:val="Akapitzlist"/>
        <w:numPr>
          <w:ilvl w:val="2"/>
          <w:numId w:val="10"/>
        </w:numPr>
        <w:ind w:left="1134" w:hanging="567"/>
        <w:jc w:val="both"/>
      </w:pPr>
      <w:r>
        <w:t>Zaimplementowana technologia API</w:t>
      </w:r>
      <w:r w:rsidR="00776066">
        <w:t xml:space="preserve"> zapewniająca rozbudowę o </w:t>
      </w:r>
      <w:r>
        <w:t>dodatkowe funkcje Smart City oraz integrację z innymi systemami (otwarta i skalowalna architektura).</w:t>
      </w:r>
    </w:p>
    <w:p w14:paraId="1552BF15" w14:textId="031DB911" w:rsidR="00DE7C0A" w:rsidRDefault="00DE7C0A" w:rsidP="00ED3A21">
      <w:pPr>
        <w:pStyle w:val="Akapitzlist"/>
        <w:numPr>
          <w:ilvl w:val="2"/>
          <w:numId w:val="10"/>
        </w:numPr>
        <w:ind w:left="1134" w:hanging="567"/>
        <w:jc w:val="both"/>
      </w:pPr>
      <w:r>
        <w:t>Wymagane jest rozwiązanie kompleksowe obejmujące system, kontroler oprawy, panel zarządzania WWW oraz bezpieczną transmisję danych szyfrowaną protokołem co najmniej TLS 1.2.</w:t>
      </w:r>
    </w:p>
    <w:p w14:paraId="22795309" w14:textId="4BBD1C0E" w:rsidR="00DE7C0A" w:rsidRDefault="00DE7C0A" w:rsidP="00ED3A21">
      <w:pPr>
        <w:pStyle w:val="Akapitzlist"/>
        <w:numPr>
          <w:ilvl w:val="2"/>
          <w:numId w:val="10"/>
        </w:numPr>
        <w:ind w:left="1134" w:hanging="567"/>
        <w:jc w:val="both"/>
      </w:pPr>
      <w:r>
        <w:t xml:space="preserve">Wymagane bezpieczeństwo danych gwarantowane przez certyfikat ISO 27001 posiadany przez Wykonawcę. </w:t>
      </w:r>
    </w:p>
    <w:p w14:paraId="17B43F9E" w14:textId="77777777" w:rsidR="00DE7C0A" w:rsidRDefault="00DE7C0A" w:rsidP="00ED3A21">
      <w:pPr>
        <w:pStyle w:val="Akapitzlist"/>
        <w:numPr>
          <w:ilvl w:val="1"/>
          <w:numId w:val="10"/>
        </w:numPr>
        <w:ind w:left="567" w:hanging="567"/>
        <w:jc w:val="both"/>
      </w:pPr>
      <w:r>
        <w:t>Wymagania dotyczące kontrolera oprawy.</w:t>
      </w:r>
    </w:p>
    <w:p w14:paraId="78F95E2C" w14:textId="318D2F89" w:rsidR="00DE7C0A" w:rsidRDefault="00DE7C0A" w:rsidP="00ED3A21">
      <w:pPr>
        <w:pStyle w:val="Akapitzlist"/>
        <w:numPr>
          <w:ilvl w:val="2"/>
          <w:numId w:val="10"/>
        </w:numPr>
        <w:ind w:left="1134" w:hanging="567"/>
        <w:jc w:val="both"/>
      </w:pPr>
      <w:r>
        <w:t>Umożliwia bezprzewodowe i autonomiczne zdalne sterowanie oprawami oświetleniowymi LED w oparciu o bezpośrednią dwukierunkową komunikację GSM (minimum 4G).</w:t>
      </w:r>
    </w:p>
    <w:p w14:paraId="119EACA8" w14:textId="274F9D83" w:rsidR="00DE7C0A" w:rsidRDefault="00DE7C0A" w:rsidP="00ED3A21">
      <w:pPr>
        <w:pStyle w:val="Akapitzlist"/>
        <w:numPr>
          <w:ilvl w:val="2"/>
          <w:numId w:val="10"/>
        </w:numPr>
        <w:ind w:left="1134" w:hanging="567"/>
        <w:jc w:val="both"/>
      </w:pPr>
      <w:r>
        <w:t>Zapewnia automatyczne włączanie/wyłączanie (ON/OFF) oprawy oraz realizację funkcji dynamicznej zmiany strumienia świetlnego i redukcji mocy (ściemniania oprawy 0-100% ze skokiem 1%).</w:t>
      </w:r>
    </w:p>
    <w:p w14:paraId="0F526773" w14:textId="78A416F4" w:rsidR="00DE7C0A" w:rsidRDefault="00DE7C0A" w:rsidP="00ED3A21">
      <w:pPr>
        <w:pStyle w:val="Akapitzlist"/>
        <w:numPr>
          <w:ilvl w:val="2"/>
          <w:numId w:val="10"/>
        </w:numPr>
        <w:ind w:left="1134" w:hanging="567"/>
        <w:jc w:val="both"/>
      </w:pPr>
      <w:r>
        <w:t xml:space="preserve">Zapewnia pracę opraw zgodnie z zadanym scenariuszem świecenia, m.in. 0%, 50%, 75%, 100% a także scenariuszem zegara astronomicznego. </w:t>
      </w:r>
    </w:p>
    <w:p w14:paraId="67576604" w14:textId="7A3E97F6" w:rsidR="00DE7C0A" w:rsidRDefault="00DE7C0A" w:rsidP="00ED3A21">
      <w:pPr>
        <w:pStyle w:val="Akapitzlist"/>
        <w:numPr>
          <w:ilvl w:val="2"/>
          <w:numId w:val="10"/>
        </w:numPr>
        <w:ind w:left="1134" w:hanging="567"/>
        <w:jc w:val="both"/>
      </w:pPr>
      <w:r>
        <w:t>Zapewnia pracę opraw w trybie zmiennego świecenia w ciągu doby (programowanie do 8 zmian poziomu świecenia).</w:t>
      </w:r>
    </w:p>
    <w:p w14:paraId="1EF18CFC" w14:textId="57C57CF0" w:rsidR="00DE7C0A" w:rsidRDefault="00DE7C0A" w:rsidP="00ED3A21">
      <w:pPr>
        <w:pStyle w:val="Akapitzlist"/>
        <w:numPr>
          <w:ilvl w:val="2"/>
          <w:numId w:val="10"/>
        </w:numPr>
        <w:ind w:left="1134" w:hanging="567"/>
        <w:jc w:val="both"/>
      </w:pPr>
      <w:r>
        <w:t xml:space="preserve">Zapewnia autonomiczną pracę opraw także </w:t>
      </w:r>
      <w:r w:rsidR="00846D5B">
        <w:t>w przypadku braku komunikacji z </w:t>
      </w:r>
      <w:r>
        <w:t>systemem sterowania.</w:t>
      </w:r>
    </w:p>
    <w:p w14:paraId="33BA57BF" w14:textId="4E56F41B" w:rsidR="00DE7C0A" w:rsidRDefault="00DE7C0A" w:rsidP="00ED3A21">
      <w:pPr>
        <w:pStyle w:val="Akapitzlist"/>
        <w:numPr>
          <w:ilvl w:val="2"/>
          <w:numId w:val="10"/>
        </w:numPr>
        <w:ind w:left="1134" w:hanging="567"/>
        <w:jc w:val="both"/>
      </w:pPr>
      <w:r>
        <w:t xml:space="preserve">Zapewnia monitorowanie parametrów elektrycznych (V, A, </w:t>
      </w:r>
      <w:proofErr w:type="spellStart"/>
      <w:r>
        <w:t>Hz</w:t>
      </w:r>
      <w:proofErr w:type="spellEnd"/>
      <w:r>
        <w:t xml:space="preserve">, P, Q, S, PF, </w:t>
      </w:r>
      <w:proofErr w:type="spellStart"/>
      <w:r>
        <w:t>Wh</w:t>
      </w:r>
      <w:proofErr w:type="spellEnd"/>
      <w:r>
        <w:t>).</w:t>
      </w:r>
    </w:p>
    <w:p w14:paraId="0EC4F6B5" w14:textId="465B5B98" w:rsidR="00DE7C0A" w:rsidRDefault="00DE7C0A" w:rsidP="00ED3A21">
      <w:pPr>
        <w:pStyle w:val="Akapitzlist"/>
        <w:numPr>
          <w:ilvl w:val="2"/>
          <w:numId w:val="10"/>
        </w:numPr>
        <w:ind w:left="1134" w:hanging="567"/>
        <w:jc w:val="both"/>
      </w:pPr>
      <w:r>
        <w:t>Zapewnia monitorowanie czasu świecenia oprawy.</w:t>
      </w:r>
    </w:p>
    <w:p w14:paraId="353939B3" w14:textId="5AB06298" w:rsidR="00DE7C0A" w:rsidRDefault="00DE7C0A" w:rsidP="00ED3A21">
      <w:pPr>
        <w:pStyle w:val="Akapitzlist"/>
        <w:numPr>
          <w:ilvl w:val="2"/>
          <w:numId w:val="10"/>
        </w:numPr>
        <w:ind w:left="1134" w:hanging="567"/>
        <w:jc w:val="both"/>
      </w:pPr>
      <w:r>
        <w:t>Posiada zintegrowany czujnik poziomu światła otoczenia.</w:t>
      </w:r>
    </w:p>
    <w:p w14:paraId="6F67477D" w14:textId="78DF7F61" w:rsidR="00DE7C0A" w:rsidRDefault="00DE7C0A" w:rsidP="00ED3A21">
      <w:pPr>
        <w:pStyle w:val="Akapitzlist"/>
        <w:numPr>
          <w:ilvl w:val="2"/>
          <w:numId w:val="10"/>
        </w:numPr>
        <w:ind w:left="1134" w:hanging="567"/>
        <w:jc w:val="both"/>
      </w:pPr>
      <w:r>
        <w:t xml:space="preserve">Kompatybilny z oprawami wyposażonymi w gniazdo </w:t>
      </w:r>
      <w:proofErr w:type="spellStart"/>
      <w:r>
        <w:t>Zhaga</w:t>
      </w:r>
      <w:proofErr w:type="spellEnd"/>
      <w:r>
        <w:t>.</w:t>
      </w:r>
    </w:p>
    <w:p w14:paraId="682E80D7" w14:textId="3126A8B2" w:rsidR="00DE7C0A" w:rsidRDefault="00DE7C0A" w:rsidP="00ED3A21">
      <w:pPr>
        <w:pStyle w:val="Akapitzlist"/>
        <w:numPr>
          <w:ilvl w:val="2"/>
          <w:numId w:val="10"/>
        </w:numPr>
        <w:ind w:left="1134" w:hanging="567"/>
        <w:jc w:val="both"/>
      </w:pPr>
      <w:r>
        <w:t xml:space="preserve">Kompatybilny z oprawami wyposażonymi w zasilacz DALI/DALI-2. </w:t>
      </w:r>
    </w:p>
    <w:p w14:paraId="5B11B0D0" w14:textId="46B91B0A" w:rsidR="00DE7C0A" w:rsidRDefault="00DE7C0A" w:rsidP="00ED3A21">
      <w:pPr>
        <w:pStyle w:val="Akapitzlist"/>
        <w:numPr>
          <w:ilvl w:val="2"/>
          <w:numId w:val="10"/>
        </w:numPr>
        <w:ind w:left="1134" w:hanging="567"/>
        <w:jc w:val="both"/>
      </w:pPr>
      <w:r>
        <w:t>Karta SIM w standardzie MIM MFF2.</w:t>
      </w:r>
    </w:p>
    <w:p w14:paraId="50B90D4E" w14:textId="33228344" w:rsidR="00DE7C0A" w:rsidRDefault="00DE7C0A" w:rsidP="00ED3A21">
      <w:pPr>
        <w:pStyle w:val="Akapitzlist"/>
        <w:numPr>
          <w:ilvl w:val="2"/>
          <w:numId w:val="10"/>
        </w:numPr>
        <w:ind w:left="1134" w:hanging="567"/>
        <w:jc w:val="both"/>
      </w:pPr>
      <w:r>
        <w:t xml:space="preserve">Obsługa zdalnej bezprzewodowej aktualizacji oprogramowania przez sieć GSM. </w:t>
      </w:r>
    </w:p>
    <w:p w14:paraId="664038D5" w14:textId="5DDA23E0" w:rsidR="00DE7C0A" w:rsidRDefault="00DE7C0A" w:rsidP="00ED3A21">
      <w:pPr>
        <w:pStyle w:val="Akapitzlist"/>
        <w:numPr>
          <w:ilvl w:val="2"/>
          <w:numId w:val="10"/>
        </w:numPr>
        <w:ind w:left="1134" w:hanging="567"/>
        <w:jc w:val="both"/>
      </w:pPr>
      <w:r>
        <w:t>Wbudowany moduł GPS do oznaczania położenia opraw na mapie.</w:t>
      </w:r>
    </w:p>
    <w:p w14:paraId="48D138DE" w14:textId="670AFF1D" w:rsidR="00DE7C0A" w:rsidRDefault="00DE7C0A" w:rsidP="00ED3A21">
      <w:pPr>
        <w:pStyle w:val="Akapitzlist"/>
        <w:numPr>
          <w:ilvl w:val="2"/>
          <w:numId w:val="10"/>
        </w:numPr>
        <w:ind w:left="1134" w:hanging="567"/>
        <w:jc w:val="both"/>
      </w:pPr>
      <w:r>
        <w:t>Temperatura pracy -30˚C do + 70˚C.</w:t>
      </w:r>
    </w:p>
    <w:p w14:paraId="3CDD777F" w14:textId="77777777" w:rsidR="00DE7C0A" w:rsidRDefault="00DE7C0A" w:rsidP="00ED3A21">
      <w:pPr>
        <w:pStyle w:val="Akapitzlist"/>
        <w:numPr>
          <w:ilvl w:val="1"/>
          <w:numId w:val="10"/>
        </w:numPr>
        <w:ind w:left="567" w:hanging="567"/>
        <w:jc w:val="both"/>
      </w:pPr>
      <w:r>
        <w:t>Wymagania dotyczące panelu zarządzania WWW.</w:t>
      </w:r>
    </w:p>
    <w:p w14:paraId="173E2884" w14:textId="66CACDB4" w:rsidR="00DE7C0A" w:rsidRDefault="00DE7C0A" w:rsidP="00ED3A21">
      <w:pPr>
        <w:pStyle w:val="Akapitzlist"/>
        <w:numPr>
          <w:ilvl w:val="2"/>
          <w:numId w:val="10"/>
        </w:numPr>
        <w:ind w:left="1134" w:hanging="567"/>
        <w:jc w:val="both"/>
      </w:pPr>
      <w:r>
        <w:t>Umożliwia zarządzanie i sterowanie oprawami w trybie aplikacji WWW dostępnej online, bez konieczności instalowan</w:t>
      </w:r>
      <w:r w:rsidR="00846D5B">
        <w:t>ia dodatkowego oprogramowania u </w:t>
      </w:r>
      <w:r>
        <w:t>Zamawiającego.</w:t>
      </w:r>
    </w:p>
    <w:p w14:paraId="46A52093" w14:textId="4AD9B122" w:rsidR="00DE7C0A" w:rsidRDefault="00DE7C0A" w:rsidP="00ED3A21">
      <w:pPr>
        <w:pStyle w:val="Akapitzlist"/>
        <w:numPr>
          <w:ilvl w:val="2"/>
          <w:numId w:val="10"/>
        </w:numPr>
        <w:ind w:left="1134" w:hanging="567"/>
        <w:jc w:val="both"/>
      </w:pPr>
      <w:r>
        <w:t>Zapewnia przejrzysty interfejs administratora systemu.</w:t>
      </w:r>
    </w:p>
    <w:p w14:paraId="47DF9253" w14:textId="74D82BAC" w:rsidR="00DE7C0A" w:rsidRDefault="00DE7C0A" w:rsidP="00ED3A21">
      <w:pPr>
        <w:pStyle w:val="Akapitzlist"/>
        <w:numPr>
          <w:ilvl w:val="2"/>
          <w:numId w:val="10"/>
        </w:numPr>
        <w:ind w:left="1134" w:hanging="567"/>
        <w:jc w:val="both"/>
      </w:pPr>
      <w:r>
        <w:t>Pozwala na zdalną konfigurację i zmianę ustawień systemu sterowania, m.i</w:t>
      </w:r>
      <w:r w:rsidR="00846D5B">
        <w:t>n. w </w:t>
      </w:r>
      <w:r>
        <w:t>zakresie zmiany interwału raportowania danych z opraw oświetleniowych oraz ustawień scenariuszy świecenia opraw.</w:t>
      </w:r>
    </w:p>
    <w:p w14:paraId="66FD5BB5" w14:textId="4A1093BE" w:rsidR="00DE7C0A" w:rsidRDefault="00DE7C0A" w:rsidP="00ED3A21">
      <w:pPr>
        <w:pStyle w:val="Akapitzlist"/>
        <w:numPr>
          <w:ilvl w:val="2"/>
          <w:numId w:val="10"/>
        </w:numPr>
        <w:ind w:left="1134" w:hanging="567"/>
        <w:jc w:val="both"/>
      </w:pPr>
      <w:r>
        <w:t>Zapewnia zarządzanie scenariuszam</w:t>
      </w:r>
      <w:r w:rsidR="00776066">
        <w:t>i pracy opraw oświetleniowych w </w:t>
      </w:r>
      <w:r>
        <w:t xml:space="preserve">trybie autonomicznym (np. scenariusz zegara astronomicznego), w trybach ON, OFF, 50%, 75%, 100% oraz w trybie indywidualnym (wartość % ustawiana indywidualnie według potrzeb Zamawiającego). </w:t>
      </w:r>
    </w:p>
    <w:p w14:paraId="20B41BA0" w14:textId="69EDA1BC" w:rsidR="00DE7C0A" w:rsidRDefault="00DE7C0A" w:rsidP="00ED3A21">
      <w:pPr>
        <w:pStyle w:val="Akapitzlist"/>
        <w:numPr>
          <w:ilvl w:val="2"/>
          <w:numId w:val="10"/>
        </w:numPr>
        <w:ind w:left="1134" w:hanging="567"/>
        <w:jc w:val="both"/>
      </w:pPr>
      <w:r>
        <w:t>Zapewnia wizualizację opraw oświetleniowych na mapie.</w:t>
      </w:r>
    </w:p>
    <w:p w14:paraId="3894A00B" w14:textId="5B22DD9B" w:rsidR="00DE7C0A" w:rsidRDefault="00DE7C0A" w:rsidP="00ED3A21">
      <w:pPr>
        <w:pStyle w:val="Akapitzlist"/>
        <w:numPr>
          <w:ilvl w:val="2"/>
          <w:numId w:val="10"/>
        </w:numPr>
        <w:ind w:left="1134" w:hanging="567"/>
        <w:jc w:val="both"/>
      </w:pPr>
      <w:r>
        <w:t>Udostępnia raportowane danych bieżące i h</w:t>
      </w:r>
      <w:r w:rsidR="00846D5B">
        <w:t>istoryczne, w zakresie każdej z </w:t>
      </w:r>
      <w:r>
        <w:t>opraw oświetleniowych (m.in. poziom świecenia, parametry mocy, łączny czas świecenia oprawy).</w:t>
      </w:r>
    </w:p>
    <w:p w14:paraId="38CC9472" w14:textId="179CD728" w:rsidR="00DE7C0A" w:rsidRDefault="00DE7C0A" w:rsidP="00ED3A21">
      <w:pPr>
        <w:pStyle w:val="Akapitzlist"/>
        <w:numPr>
          <w:ilvl w:val="2"/>
          <w:numId w:val="10"/>
        </w:numPr>
        <w:ind w:left="1134" w:hanging="567"/>
        <w:jc w:val="both"/>
      </w:pPr>
      <w:r>
        <w:t xml:space="preserve">Udostępnia raportowanie statusów i alarmów na email i SMS. </w:t>
      </w:r>
    </w:p>
    <w:p w14:paraId="1B67BA13" w14:textId="0AD49C55" w:rsidR="00DE7C0A" w:rsidRDefault="00DE7C0A" w:rsidP="00ED3A21">
      <w:pPr>
        <w:pStyle w:val="Akapitzlist"/>
        <w:numPr>
          <w:ilvl w:val="2"/>
          <w:numId w:val="10"/>
        </w:numPr>
        <w:ind w:left="1134" w:hanging="567"/>
        <w:jc w:val="both"/>
      </w:pPr>
      <w:r>
        <w:t xml:space="preserve">Umożliwia tworzenie i zarządzanie </w:t>
      </w:r>
      <w:r w:rsidR="00776066">
        <w:t>grupami opraw oświetleniowych w </w:t>
      </w:r>
      <w:r>
        <w:t>celu łatwiejszego i bardziej efektywnego zarządzania wieloma oprawami jednocześnie.</w:t>
      </w:r>
    </w:p>
    <w:p w14:paraId="755A2A83" w14:textId="639C69CF" w:rsidR="00DE7C0A" w:rsidRDefault="00DE7C0A" w:rsidP="00ED3A21">
      <w:pPr>
        <w:pStyle w:val="Akapitzlist"/>
        <w:numPr>
          <w:ilvl w:val="2"/>
          <w:numId w:val="10"/>
        </w:numPr>
        <w:ind w:left="1134" w:hanging="567"/>
        <w:jc w:val="both"/>
      </w:pPr>
      <w:r>
        <w:t>Podgląd bieżących alarmów i statusów.</w:t>
      </w:r>
    </w:p>
    <w:p w14:paraId="1F1DEBF6" w14:textId="029416A0" w:rsidR="00DE7C0A" w:rsidRDefault="00DE7C0A" w:rsidP="00ED3A21">
      <w:pPr>
        <w:pStyle w:val="Akapitzlist"/>
        <w:numPr>
          <w:ilvl w:val="2"/>
          <w:numId w:val="10"/>
        </w:numPr>
        <w:ind w:left="1134" w:hanging="567"/>
        <w:jc w:val="both"/>
      </w:pPr>
      <w:r>
        <w:t>Podgląd danych opisujących oprawę w zakresie lokalizacji, typu oprawy, numeru ID kontrolera oprawy.</w:t>
      </w:r>
    </w:p>
    <w:p w14:paraId="3578B0E4" w14:textId="47756DDE" w:rsidR="00F47456" w:rsidRDefault="00DE7C0A" w:rsidP="00ED3A21">
      <w:pPr>
        <w:pStyle w:val="Akapitzlist"/>
        <w:numPr>
          <w:ilvl w:val="2"/>
          <w:numId w:val="10"/>
        </w:numPr>
        <w:ind w:left="1134" w:hanging="567"/>
        <w:jc w:val="both"/>
      </w:pPr>
      <w:r>
        <w:t>W przypadku integracji z innymi systemami lub czujnikami umożliwia poza obsługą opraw oświetleniowych, także obsługę i wizualizację danych pochodzących od innych rozwiązań.</w:t>
      </w:r>
    </w:p>
    <w:p w14:paraId="35FDC3D3" w14:textId="5FD61057" w:rsidR="00F47456" w:rsidRDefault="00DE7C0A" w:rsidP="00A14DBF">
      <w:pPr>
        <w:pStyle w:val="Akapitzlist"/>
        <w:numPr>
          <w:ilvl w:val="0"/>
          <w:numId w:val="10"/>
        </w:numPr>
        <w:ind w:left="0"/>
        <w:jc w:val="both"/>
      </w:pPr>
      <w:r>
        <w:t>Koszty związane z systemem zarządzania oświetleniem powinny być ujęte w ofercie za cały okres trwałości projektu w związku z otrzymanym dofinansowaniem.</w:t>
      </w:r>
      <w:r w:rsidR="00A14DBF">
        <w:t xml:space="preserve"> </w:t>
      </w:r>
      <w:r w:rsidR="00A14DBF" w:rsidRPr="00A14DBF">
        <w:rPr>
          <w:highlight w:val="yellow"/>
        </w:rPr>
        <w:t>W ofercie należy wkalkulować co najmniej 7-letnie koszty związane z systemem zarządzania oświetleniem</w:t>
      </w:r>
      <w:r w:rsidR="00A14DBF" w:rsidRPr="00A14DBF">
        <w:t>.</w:t>
      </w:r>
    </w:p>
    <w:p w14:paraId="4EDBE6EA" w14:textId="26FB0EEF" w:rsidR="00642E4E" w:rsidRPr="00642E4E" w:rsidRDefault="00F37076" w:rsidP="00642E4E">
      <w:pPr>
        <w:pStyle w:val="Akapitzlist"/>
        <w:numPr>
          <w:ilvl w:val="0"/>
          <w:numId w:val="10"/>
        </w:numPr>
        <w:ind w:left="0"/>
        <w:jc w:val="both"/>
      </w:pPr>
      <w:r w:rsidRPr="00CD5F84">
        <w:rPr>
          <w:i/>
        </w:rPr>
        <w:t>OPRAWA I SŁUP STYLIZOWANY</w:t>
      </w:r>
      <w:r w:rsidR="00CD5F84">
        <w:rPr>
          <w:i/>
        </w:rPr>
        <w:t xml:space="preserve"> – zał. nr D) do OPZ</w:t>
      </w:r>
      <w:r w:rsidRPr="00CD5F84">
        <w:rPr>
          <w:i/>
        </w:rPr>
        <w:t>:</w:t>
      </w:r>
      <w:r w:rsidR="00642E4E" w:rsidRPr="00642E4E">
        <w:t xml:space="preserve"> Zamawiający oczekuje następujących materiałów:</w:t>
      </w:r>
    </w:p>
    <w:p w14:paraId="65367ACB" w14:textId="77777777" w:rsidR="00642E4E" w:rsidRPr="00642E4E" w:rsidRDefault="00642E4E" w:rsidP="00642E4E">
      <w:pPr>
        <w:pStyle w:val="Akapitzlist"/>
        <w:numPr>
          <w:ilvl w:val="1"/>
          <w:numId w:val="10"/>
        </w:numPr>
        <w:ind w:left="567" w:hanging="567"/>
        <w:jc w:val="both"/>
      </w:pPr>
      <w:r w:rsidRPr="00642E4E">
        <w:t xml:space="preserve">Wysoka latarnia uliczna WK6/23C lub </w:t>
      </w:r>
      <w:r w:rsidRPr="00CD5F84">
        <w:rPr>
          <w:i/>
        </w:rPr>
        <w:t>równoważna</w:t>
      </w:r>
    </w:p>
    <w:p w14:paraId="7611AB23" w14:textId="77777777" w:rsidR="00642E4E" w:rsidRPr="00642E4E" w:rsidRDefault="00642E4E" w:rsidP="00642E4E">
      <w:pPr>
        <w:pStyle w:val="Akapitzlist"/>
        <w:numPr>
          <w:ilvl w:val="1"/>
          <w:numId w:val="10"/>
        </w:numPr>
        <w:ind w:left="567" w:hanging="567"/>
        <w:jc w:val="both"/>
      </w:pPr>
      <w:r w:rsidRPr="00642E4E">
        <w:t xml:space="preserve">Oprawa </w:t>
      </w:r>
      <w:proofErr w:type="spellStart"/>
      <w:r w:rsidRPr="00642E4E">
        <w:t>Antares</w:t>
      </w:r>
      <w:proofErr w:type="spellEnd"/>
      <w:r w:rsidRPr="00642E4E">
        <w:t xml:space="preserve"> LED lub </w:t>
      </w:r>
      <w:r w:rsidRPr="00CD5F84">
        <w:rPr>
          <w:i/>
        </w:rPr>
        <w:t>równoważna</w:t>
      </w:r>
    </w:p>
    <w:p w14:paraId="1EDF656A" w14:textId="77777777" w:rsidR="00642E4E" w:rsidRPr="00642E4E" w:rsidRDefault="00642E4E" w:rsidP="00642E4E">
      <w:pPr>
        <w:pStyle w:val="Akapitzlist"/>
        <w:numPr>
          <w:ilvl w:val="1"/>
          <w:numId w:val="10"/>
        </w:numPr>
        <w:ind w:left="567" w:hanging="567"/>
        <w:jc w:val="both"/>
      </w:pPr>
      <w:r w:rsidRPr="00642E4E">
        <w:t>Zamawiający uzna za równoważne materiały o następujących parametrach:</w:t>
      </w:r>
    </w:p>
    <w:p w14:paraId="7B42452F" w14:textId="77777777" w:rsidR="00642E4E" w:rsidRPr="00642E4E" w:rsidRDefault="00642E4E" w:rsidP="00642E4E">
      <w:pPr>
        <w:pStyle w:val="Akapitzlist"/>
        <w:numPr>
          <w:ilvl w:val="2"/>
          <w:numId w:val="10"/>
        </w:numPr>
        <w:ind w:left="1134" w:hanging="567"/>
        <w:jc w:val="both"/>
      </w:pPr>
      <w:r w:rsidRPr="00642E4E">
        <w:t>To samo przeznaczenie,</w:t>
      </w:r>
    </w:p>
    <w:p w14:paraId="38650653" w14:textId="627FEB1F" w:rsidR="00642E4E" w:rsidRPr="00642E4E" w:rsidRDefault="00642E4E" w:rsidP="00642E4E">
      <w:pPr>
        <w:pStyle w:val="Akapitzlist"/>
        <w:numPr>
          <w:ilvl w:val="2"/>
          <w:numId w:val="10"/>
        </w:numPr>
        <w:ind w:left="1134" w:hanging="567"/>
        <w:jc w:val="both"/>
      </w:pPr>
      <w:r w:rsidRPr="00642E4E">
        <w:t xml:space="preserve">Takie samo rozwiązanie konstrukcyjne – latarnia </w:t>
      </w:r>
      <w:r w:rsidR="00CD5F84">
        <w:t>z jednym ramieniem</w:t>
      </w:r>
      <w:r w:rsidRPr="00642E4E">
        <w:t xml:space="preserve"> z</w:t>
      </w:r>
      <w:r w:rsidR="00CD5F84">
        <w:t> </w:t>
      </w:r>
      <w:r w:rsidRPr="00642E4E">
        <w:t>elementami ozdobnymi; oprawa w klas</w:t>
      </w:r>
      <w:r w:rsidR="00CD5F84">
        <w:t>ycznym, zaokrąglonym kształcie w </w:t>
      </w:r>
      <w:r w:rsidRPr="00642E4E">
        <w:t>połowie płaski pierścień chroniący klosz przed zalaniem;</w:t>
      </w:r>
    </w:p>
    <w:p w14:paraId="16B06783" w14:textId="56CD6747" w:rsidR="00642E4E" w:rsidRPr="00642E4E" w:rsidRDefault="00642E4E" w:rsidP="00642E4E">
      <w:pPr>
        <w:pStyle w:val="Akapitzlist"/>
        <w:numPr>
          <w:ilvl w:val="2"/>
          <w:numId w:val="10"/>
        </w:numPr>
        <w:ind w:left="1134" w:hanging="567"/>
        <w:jc w:val="both"/>
      </w:pPr>
      <w:r w:rsidRPr="00642E4E">
        <w:t>Wymiary (w stosunku do podanych w specyfikacji): latarnia – wysokość +/-500mm, rozpiętość rami</w:t>
      </w:r>
      <w:r w:rsidR="00087EF5">
        <w:t>enia</w:t>
      </w:r>
      <w:r w:rsidRPr="00642E4E">
        <w:t xml:space="preserve"> +/- 300mm; oprawa – średnica +/-50mm;</w:t>
      </w:r>
    </w:p>
    <w:p w14:paraId="31F1C654" w14:textId="606BE6A4" w:rsidR="00F37076" w:rsidRPr="00642E4E" w:rsidRDefault="00642E4E" w:rsidP="00642E4E">
      <w:pPr>
        <w:pStyle w:val="Akapitzlist"/>
        <w:numPr>
          <w:ilvl w:val="2"/>
          <w:numId w:val="10"/>
        </w:numPr>
        <w:ind w:left="1134" w:hanging="567"/>
        <w:jc w:val="both"/>
      </w:pPr>
      <w:r w:rsidRPr="00642E4E">
        <w:t>Zamawiający wymaga, aby latarnia i oprawa stanowiły komplet w rozumieniu estetycznym i funkcjonalnym</w:t>
      </w:r>
      <w:r w:rsidR="00CD5F84">
        <w:t>.</w:t>
      </w:r>
    </w:p>
    <w:p w14:paraId="62895F62" w14:textId="77777777" w:rsidR="00CD5F84" w:rsidRPr="00CD5F84" w:rsidRDefault="00F37076" w:rsidP="00CD5F84">
      <w:pPr>
        <w:pStyle w:val="Akapitzlist"/>
        <w:numPr>
          <w:ilvl w:val="0"/>
          <w:numId w:val="10"/>
        </w:numPr>
        <w:ind w:left="0"/>
        <w:jc w:val="both"/>
        <w:rPr>
          <w:i/>
        </w:rPr>
      </w:pPr>
      <w:r w:rsidRPr="00CD5F84">
        <w:rPr>
          <w:i/>
        </w:rPr>
        <w:t>SŁUP OCYNKOWNY</w:t>
      </w:r>
      <w:r w:rsidR="00CD5F84" w:rsidRPr="00CD5F84">
        <w:rPr>
          <w:i/>
        </w:rPr>
        <w:t xml:space="preserve"> MALOWANY: </w:t>
      </w:r>
    </w:p>
    <w:p w14:paraId="23525777" w14:textId="19BBB81B" w:rsidR="00F37076" w:rsidRDefault="00CD5F84" w:rsidP="00087EF5">
      <w:pPr>
        <w:pStyle w:val="Akapitzlist"/>
        <w:numPr>
          <w:ilvl w:val="1"/>
          <w:numId w:val="10"/>
        </w:numPr>
        <w:ind w:left="567" w:hanging="567"/>
        <w:jc w:val="both"/>
      </w:pPr>
      <w:r w:rsidRPr="00CD5F84">
        <w:t>Słupy stalowe, ocynkowane, malowane fabrycznie przez producenta farbami proszkowymi w kolorze INOX (R</w:t>
      </w:r>
      <w:r w:rsidR="00A3029D">
        <w:t>A</w:t>
      </w:r>
      <w:r w:rsidRPr="00CD5F84">
        <w:t>L 9006 lub RAL 9007)</w:t>
      </w:r>
      <w:r w:rsidR="00087EF5">
        <w:t xml:space="preserve"> </w:t>
      </w:r>
      <w:r w:rsidR="00087EF5" w:rsidRPr="00087EF5">
        <w:t>o wysokości  od 7m</w:t>
      </w:r>
      <w:r w:rsidR="00087EF5">
        <w:t xml:space="preserve"> do 9m z </w:t>
      </w:r>
      <w:r w:rsidR="00087EF5" w:rsidRPr="00087EF5">
        <w:t>wysięgnikiem pojedynczym podnoszącym zawieszenie oprawy o 1m i długości ramienia  od 0,5m do 2m, kąt nachylenia wysięgnika 5 stopni. Kształt słupa oraz wysięgnika przedstawiony na załączonych do dokumentacji rysunkach technicznych. Wysokość zawieszenia oprawy od 8m do 10m</w:t>
      </w:r>
    </w:p>
    <w:p w14:paraId="00DE012F" w14:textId="77777777" w:rsidR="00CD5F84" w:rsidRDefault="00CD5F84" w:rsidP="00CD5F84">
      <w:pPr>
        <w:pStyle w:val="Akapitzlist"/>
        <w:numPr>
          <w:ilvl w:val="1"/>
          <w:numId w:val="10"/>
        </w:numPr>
        <w:ind w:left="567" w:hanging="567"/>
        <w:jc w:val="both"/>
      </w:pPr>
      <w:r>
        <w:t>Zastosowane słupy powinny zachowywać zgodność z normą PN-IEC 60364 (ochrona przeciwporażeniowa).</w:t>
      </w:r>
    </w:p>
    <w:p w14:paraId="5FE026F0" w14:textId="54DE7100" w:rsidR="00CD5F84" w:rsidRDefault="00CD5F84" w:rsidP="00CD5F84">
      <w:pPr>
        <w:pStyle w:val="Akapitzlist"/>
        <w:numPr>
          <w:ilvl w:val="1"/>
          <w:numId w:val="10"/>
        </w:numPr>
        <w:ind w:left="567" w:hanging="567"/>
        <w:jc w:val="both"/>
      </w:pPr>
      <w:r>
        <w:t xml:space="preserve">Słupy te wykonywane są ze stali o grubości 3 np. w gatunku S235 oraz S355, wykonane w przekroju okrągłym o zbieżnościach 12,14 oraz 17mm na metr bieżący wysokości słupa. Trzony konstrukcji wykonywane są w technologii spawania plazmowego, która charakteryzuję się brakiem lica spoiny. Ma to duże </w:t>
      </w:r>
      <w:r w:rsidR="00087EF5">
        <w:t>znaczenie w procesie ponieważ w </w:t>
      </w:r>
      <w:r>
        <w:t>przypadku spoiny plazmowej nie występują żadne narosty cynku, które obniżają jego jakość, struktura cynku na spoinie jest taka sama jak na blasze. Trzeba również wspomnieć o funkcji ozdobnej takiego spawu, jest on praktycznie niewidoczny po procesie cynkowania ogniowego (malowania).</w:t>
      </w:r>
    </w:p>
    <w:p w14:paraId="3542AE3D" w14:textId="77777777" w:rsidR="00CD5F84" w:rsidRDefault="00CD5F84" w:rsidP="00CD5F84">
      <w:pPr>
        <w:pStyle w:val="Akapitzlist"/>
        <w:numPr>
          <w:ilvl w:val="1"/>
          <w:numId w:val="10"/>
        </w:numPr>
        <w:ind w:left="567" w:hanging="567"/>
        <w:jc w:val="both"/>
      </w:pPr>
      <w:r>
        <w:t>Szerokość słupa u podstawy powinna być taka, aby była możliwość wprowadzenia minimum trzech kabli pięciożyłowych o przekroju do 35 mm</w:t>
      </w:r>
      <w:r w:rsidRPr="00087EF5">
        <w:rPr>
          <w:vertAlign w:val="superscript"/>
        </w:rPr>
        <w:t>2</w:t>
      </w:r>
      <w:r>
        <w:t>.</w:t>
      </w:r>
    </w:p>
    <w:p w14:paraId="5A23326D" w14:textId="77777777" w:rsidR="00CD5F84" w:rsidRDefault="00CD5F84" w:rsidP="00CD5F84">
      <w:pPr>
        <w:pStyle w:val="Akapitzlist"/>
        <w:numPr>
          <w:ilvl w:val="1"/>
          <w:numId w:val="10"/>
        </w:numPr>
        <w:ind w:left="567" w:hanging="567"/>
        <w:jc w:val="both"/>
      </w:pPr>
      <w:r>
        <w:t>Należy zastosować słupy wyposażone we wnękę zapewniającą odpowiednią ilość miejsca na połączenie kabli i umieszczenie odpowiedniej liczby zabezpieczeń.</w:t>
      </w:r>
    </w:p>
    <w:p w14:paraId="13525864" w14:textId="77777777" w:rsidR="00CD5F84" w:rsidRDefault="00CD5F84" w:rsidP="00CD5F84">
      <w:pPr>
        <w:pStyle w:val="Akapitzlist"/>
        <w:numPr>
          <w:ilvl w:val="1"/>
          <w:numId w:val="10"/>
        </w:numPr>
        <w:ind w:left="567" w:hanging="567"/>
        <w:jc w:val="both"/>
      </w:pPr>
      <w:r>
        <w:t xml:space="preserve">Wnęki muszą posiadać zabezpieczenie przed dostępem osób postronnych, pokrywa drzwiczek mocowana jest za pomocą jednej śruby np. </w:t>
      </w:r>
      <w:proofErr w:type="spellStart"/>
      <w:r>
        <w:t>imbusowej</w:t>
      </w:r>
      <w:proofErr w:type="spellEnd"/>
      <w:r>
        <w:t xml:space="preserve"> z łbem grzybkowym. We wnęce słupowej należy zabudować komplet złączek. Wszystkie zamontowane słupy oświetleniowe należy wyposażyć w tabliczki ostrzegawcze zgodnie z wymogiem norm oraz należy umieścić tabliczkę znamionową z podanym typem słupa, datą produkcji, nazwą producenta.</w:t>
      </w:r>
    </w:p>
    <w:p w14:paraId="5915B12B" w14:textId="77777777" w:rsidR="00CD5F84" w:rsidRDefault="00CD5F84" w:rsidP="00CD5F84">
      <w:pPr>
        <w:pStyle w:val="Akapitzlist"/>
        <w:numPr>
          <w:ilvl w:val="1"/>
          <w:numId w:val="10"/>
        </w:numPr>
        <w:ind w:left="567" w:hanging="567"/>
        <w:jc w:val="both"/>
      </w:pPr>
      <w:r>
        <w:t>Do montażu słupów należy zastosować fundamenty betonowe zalecane przez producenta słupów.</w:t>
      </w:r>
    </w:p>
    <w:p w14:paraId="303AAB58" w14:textId="51472869" w:rsidR="00CD5F84" w:rsidRDefault="00CD5F84" w:rsidP="00CD5F84">
      <w:pPr>
        <w:pStyle w:val="Akapitzlist"/>
        <w:numPr>
          <w:ilvl w:val="1"/>
          <w:numId w:val="10"/>
        </w:numPr>
        <w:ind w:left="567" w:hanging="567"/>
        <w:jc w:val="both"/>
      </w:pPr>
      <w:r>
        <w:t>Słupy przystosowane są do posadowienia na fundamencie prefabrykowanym wyposażonym w cztery kotwy M24 z rozstawem 300 x 300mm. Słupy do fundamentu montowane są za pomocą podstawy tłoczonej wykonanej</w:t>
      </w:r>
      <w:r w:rsidR="00087EF5">
        <w:t xml:space="preserve"> ze stali S420 i grubości 6mm o </w:t>
      </w:r>
      <w:r>
        <w:t>wymiarach zewnętrznych 412 x 412mm</w:t>
      </w:r>
    </w:p>
    <w:p w14:paraId="55CC17F3" w14:textId="77777777" w:rsidR="00CD5F84" w:rsidRDefault="00CD5F84" w:rsidP="00CD5F84">
      <w:pPr>
        <w:pStyle w:val="Akapitzlist"/>
        <w:numPr>
          <w:ilvl w:val="1"/>
          <w:numId w:val="10"/>
        </w:numPr>
        <w:ind w:left="567" w:hanging="567"/>
        <w:jc w:val="both"/>
      </w:pPr>
      <w:r>
        <w:t>Słupy można stosować z wysięgnikami w zakresie długości wysięgu od 0,5m do 2m lub bez wysięgnika. Wysięgniki wykonane są z rury stalowej o średnicy fi 60,3 z grubością ścianki 2,9mm, mocowane bezpośrednio na wierzchołu słupa.</w:t>
      </w:r>
    </w:p>
    <w:p w14:paraId="11BF9BF9" w14:textId="77777777" w:rsidR="00CD5F84" w:rsidRDefault="00CD5F84" w:rsidP="00CD5F84">
      <w:pPr>
        <w:pStyle w:val="Akapitzlist"/>
        <w:numPr>
          <w:ilvl w:val="1"/>
          <w:numId w:val="10"/>
        </w:numPr>
        <w:ind w:left="567" w:hanging="567"/>
        <w:jc w:val="both"/>
      </w:pPr>
      <w:r>
        <w:t>Słupy oraz wysięgniki zabezpieczone są antykorozyjnie przez cynkowanie ogniowego zgodnie z normą EN 1461.</w:t>
      </w:r>
    </w:p>
    <w:p w14:paraId="7ECF5900" w14:textId="77777777" w:rsidR="00CD5F84" w:rsidRDefault="00CD5F84" w:rsidP="00CD5F84">
      <w:pPr>
        <w:pStyle w:val="Akapitzlist"/>
        <w:numPr>
          <w:ilvl w:val="1"/>
          <w:numId w:val="10"/>
        </w:numPr>
        <w:ind w:left="567" w:hanging="567"/>
        <w:jc w:val="both"/>
      </w:pPr>
      <w:r>
        <w:t xml:space="preserve">Przed zamontowaniem słupów wykonawca wystąpi do producenta o przeliczenie wytrzymałości słupów dla osprzętu przewidzianego do montażu na słupie </w:t>
      </w:r>
      <w:proofErr w:type="spellStart"/>
      <w:r>
        <w:t>tj</w:t>
      </w:r>
      <w:proofErr w:type="spellEnd"/>
      <w:r>
        <w:t>:</w:t>
      </w:r>
    </w:p>
    <w:p w14:paraId="73964205" w14:textId="09068D10" w:rsidR="00CD5F84" w:rsidRDefault="00CD5F84" w:rsidP="00CD5F84">
      <w:pPr>
        <w:pStyle w:val="Akapitzlist"/>
        <w:numPr>
          <w:ilvl w:val="2"/>
          <w:numId w:val="10"/>
        </w:numPr>
        <w:ind w:left="1134" w:hanging="567"/>
        <w:jc w:val="both"/>
      </w:pPr>
      <w:r>
        <w:t>projektowanych opraw oświetleniowych w ilościach zgodnych z planem zagospodarowania terenu sieci oświetlenia terenu rys. nr E-01,</w:t>
      </w:r>
    </w:p>
    <w:p w14:paraId="3336DB02" w14:textId="67E52C0E" w:rsidR="00CD5F84" w:rsidRDefault="00CD5F84" w:rsidP="00CD5F84">
      <w:pPr>
        <w:pStyle w:val="Akapitzlist"/>
        <w:numPr>
          <w:ilvl w:val="2"/>
          <w:numId w:val="10"/>
        </w:numPr>
        <w:ind w:left="1134" w:hanging="567"/>
        <w:jc w:val="both"/>
      </w:pPr>
      <w:r>
        <w:t>montażu kamer sytemu monitoringu miasta w ilości 1-2 szt. - tablic reklamowych oraz dekoracji świątecznych</w:t>
      </w:r>
    </w:p>
    <w:p w14:paraId="191C949E" w14:textId="043DCDF6" w:rsidR="00087EF5" w:rsidRPr="00087EF5" w:rsidRDefault="00F37076" w:rsidP="00087EF5">
      <w:pPr>
        <w:pStyle w:val="Akapitzlist"/>
        <w:numPr>
          <w:ilvl w:val="0"/>
          <w:numId w:val="10"/>
        </w:numPr>
        <w:ind w:left="0"/>
        <w:jc w:val="both"/>
      </w:pPr>
      <w:r w:rsidRPr="00087EF5">
        <w:rPr>
          <w:i/>
        </w:rPr>
        <w:t>SŁUP ALUMINIOWY ANODOWANY</w:t>
      </w:r>
      <w:r w:rsidR="00087EF5" w:rsidRPr="00087EF5">
        <w:t>: Słupy aluminiowe anodowane cylindryczno-stożkowe odpowiednio:</w:t>
      </w:r>
    </w:p>
    <w:p w14:paraId="787E3F78" w14:textId="4D6C63AC" w:rsidR="00087EF5" w:rsidRPr="00087EF5" w:rsidRDefault="00087EF5" w:rsidP="00087EF5">
      <w:pPr>
        <w:pStyle w:val="Akapitzlist"/>
        <w:numPr>
          <w:ilvl w:val="1"/>
          <w:numId w:val="10"/>
        </w:numPr>
        <w:ind w:left="567" w:hanging="567"/>
        <w:jc w:val="both"/>
      </w:pPr>
      <w:bookmarkStart w:id="0" w:name="_GoBack"/>
      <w:bookmarkEnd w:id="0"/>
      <w:r w:rsidRPr="00087EF5">
        <w:t xml:space="preserve">o wysokości  od </w:t>
      </w:r>
      <w:r>
        <w:t>7</w:t>
      </w:r>
      <w:r w:rsidRPr="00087EF5">
        <w:t xml:space="preserve">m do 9m z wysięgnikiem pojedynczym podnoszącym zawieszenie oprawy o 1m i długości ramienia  od 0,5m do 2m, kąt nachylenia wysięgnika 5 stopni. Kształt słupa oraz wysięgnika przedstawiony na załączonych do dokumentacji rysunkach technicznych. Wysokość zawieszenia oprawy od </w:t>
      </w:r>
      <w:r>
        <w:t>8</w:t>
      </w:r>
      <w:r w:rsidRPr="00087EF5">
        <w:t>m do 10m.</w:t>
      </w:r>
    </w:p>
    <w:p w14:paraId="4C6E139B" w14:textId="2FDD0AC3" w:rsidR="00087EF5" w:rsidRDefault="00087EF5" w:rsidP="00087EF5">
      <w:pPr>
        <w:pStyle w:val="Akapitzlist"/>
        <w:numPr>
          <w:ilvl w:val="1"/>
          <w:numId w:val="10"/>
        </w:numPr>
        <w:ind w:left="567" w:hanging="567"/>
        <w:jc w:val="both"/>
      </w:pPr>
      <w:r w:rsidRPr="00087EF5">
        <w:t>Słup i wysięgnik anodowany na kolor INOX</w:t>
      </w:r>
      <w:r>
        <w:t xml:space="preserve"> (kolor powinien być </w:t>
      </w:r>
      <w:r w:rsidR="00A3029D">
        <w:t>zbliżony</w:t>
      </w:r>
      <w:r>
        <w:t xml:space="preserve"> dla słupa ocynkowanego i aluminiowego)</w:t>
      </w:r>
      <w:r w:rsidRPr="00087EF5">
        <w:t xml:space="preserve"> potwierdzony z inwestorem na bazie wzorników kolorów anodowania producenta. Średnica słupów przy podstawie minimum fi  178, podstawa słupa o wymiarach 400 x 400, rozstaw śrub 300 x 300 ,co zapewnia stabilność całej konstrukcji. Słup i wysięgnik zabezpieczony technologią anodowania o minimalnej grubości powłoki anodowej w zakresie od 20 do 25 mikronów. Słup powinien posiadać deklaracje właściwości użytkowych sygnowaną znakiem CE wystawioną przez producenta. Minimalny okres </w:t>
      </w:r>
      <w:r w:rsidRPr="00B652B0">
        <w:t xml:space="preserve">gwarancji na słup </w:t>
      </w:r>
      <w:r w:rsidR="00875FEB" w:rsidRPr="00B652B0">
        <w:t>7</w:t>
      </w:r>
      <w:r w:rsidRPr="00B652B0">
        <w:t xml:space="preserve"> lat z możliwością wydłużenia do 20 lat.</w:t>
      </w:r>
      <w:r w:rsidRPr="00087EF5">
        <w:t xml:space="preserve"> Żywotność słupa potwierdzić aprobatą techniczna w okresie min 40 lat</w:t>
      </w:r>
      <w:r>
        <w:t>.</w:t>
      </w:r>
    </w:p>
    <w:p w14:paraId="609B4CFB" w14:textId="57BFB669" w:rsidR="00087EF5" w:rsidRDefault="00087EF5" w:rsidP="00087EF5">
      <w:pPr>
        <w:pStyle w:val="Akapitzlist"/>
        <w:numPr>
          <w:ilvl w:val="1"/>
          <w:numId w:val="10"/>
        </w:numPr>
        <w:ind w:left="567" w:hanging="567"/>
        <w:jc w:val="both"/>
      </w:pPr>
      <w:r>
        <w:t>Fundamenty: Dane techniczne:</w:t>
      </w:r>
    </w:p>
    <w:p w14:paraId="40E51139" w14:textId="64B8F5EF" w:rsidR="00087EF5" w:rsidRDefault="00087EF5" w:rsidP="00087EF5">
      <w:pPr>
        <w:pStyle w:val="Akapitzlist"/>
        <w:numPr>
          <w:ilvl w:val="2"/>
          <w:numId w:val="10"/>
        </w:numPr>
        <w:ind w:left="1134" w:hanging="567"/>
        <w:jc w:val="both"/>
      </w:pPr>
      <w:r>
        <w:t>beton klasy C25/30 wg normy EN 206-1,</w:t>
      </w:r>
    </w:p>
    <w:p w14:paraId="2ED2A1F5" w14:textId="22FE20DD" w:rsidR="00087EF5" w:rsidRDefault="00087EF5" w:rsidP="00087EF5">
      <w:pPr>
        <w:pStyle w:val="Akapitzlist"/>
        <w:numPr>
          <w:ilvl w:val="2"/>
          <w:numId w:val="10"/>
        </w:numPr>
        <w:ind w:left="1134" w:hanging="567"/>
        <w:jc w:val="both"/>
      </w:pPr>
      <w:r>
        <w:t>kosz zbrojeniowy wykonany ze stali B500,</w:t>
      </w:r>
    </w:p>
    <w:p w14:paraId="619BFD35" w14:textId="3F3594ED" w:rsidR="00087EF5" w:rsidRDefault="00087EF5" w:rsidP="00087EF5">
      <w:pPr>
        <w:pStyle w:val="Akapitzlist"/>
        <w:numPr>
          <w:ilvl w:val="2"/>
          <w:numId w:val="10"/>
        </w:numPr>
        <w:ind w:left="1134" w:hanging="567"/>
        <w:jc w:val="both"/>
      </w:pPr>
      <w:r>
        <w:t>końce śrubowe cynkowane ogniowo,</w:t>
      </w:r>
    </w:p>
    <w:p w14:paraId="384DC5DA" w14:textId="43FA1077" w:rsidR="00087EF5" w:rsidRDefault="00087EF5" w:rsidP="00087EF5">
      <w:pPr>
        <w:pStyle w:val="Akapitzlist"/>
        <w:numPr>
          <w:ilvl w:val="2"/>
          <w:numId w:val="10"/>
        </w:numPr>
        <w:ind w:left="1134" w:hanging="567"/>
        <w:jc w:val="both"/>
      </w:pPr>
      <w:r>
        <w:t>w fundamentach betonowych do słupów i masztów aluminiowych zastosowano tulejki termokurczliwe założone na końcach śrubowych w miejscu osadzenia podstawy słupa, co stanowi dodatkowe zabezpieczenie końca śrubowego przed powstaniem ogniwa korozyjnego</w:t>
      </w:r>
    </w:p>
    <w:p w14:paraId="1AAC0FBE" w14:textId="6F2AB4A9" w:rsidR="00087EF5" w:rsidRDefault="00087EF5" w:rsidP="00087EF5">
      <w:pPr>
        <w:pStyle w:val="Akapitzlist"/>
        <w:numPr>
          <w:ilvl w:val="2"/>
          <w:numId w:val="10"/>
        </w:numPr>
        <w:ind w:left="1134" w:hanging="567"/>
        <w:jc w:val="both"/>
      </w:pPr>
      <w:r>
        <w:t>otwory boczne i otwór pionowy do wprowadzania kabli zasilających,</w:t>
      </w:r>
    </w:p>
    <w:p w14:paraId="55E4B3CE" w14:textId="3EFEF1AE" w:rsidR="00087EF5" w:rsidRDefault="00087EF5" w:rsidP="00087EF5">
      <w:pPr>
        <w:pStyle w:val="Akapitzlist"/>
        <w:numPr>
          <w:ilvl w:val="2"/>
          <w:numId w:val="10"/>
        </w:numPr>
        <w:ind w:left="1134" w:hanging="567"/>
        <w:jc w:val="both"/>
      </w:pPr>
      <w:r>
        <w:t>powierzchnia zewnętrzna pokryta środkiem impregnującym (</w:t>
      </w:r>
      <w:proofErr w:type="spellStart"/>
      <w:r>
        <w:t>hydroizolacyjna</w:t>
      </w:r>
      <w:proofErr w:type="spellEnd"/>
      <w:r>
        <w:t xml:space="preserve"> emulsja bitumiczna).</w:t>
      </w:r>
    </w:p>
    <w:p w14:paraId="6D65F166" w14:textId="777CD314" w:rsidR="009F3BB6" w:rsidRPr="009F3BB6" w:rsidRDefault="009F3BB6" w:rsidP="009F3BB6">
      <w:pPr>
        <w:pStyle w:val="Akapitzlist"/>
        <w:numPr>
          <w:ilvl w:val="1"/>
          <w:numId w:val="10"/>
        </w:numPr>
        <w:ind w:left="567" w:hanging="567"/>
        <w:jc w:val="both"/>
        <w:rPr>
          <w:b/>
        </w:rPr>
      </w:pPr>
      <w:r w:rsidRPr="009F3BB6">
        <w:rPr>
          <w:b/>
        </w:rPr>
        <w:t>Wizerunek fundamentu</w:t>
      </w:r>
      <w:r>
        <w:rPr>
          <w:b/>
        </w:rPr>
        <w:t>:</w:t>
      </w:r>
    </w:p>
    <w:p w14:paraId="630ECEAF" w14:textId="2E88B562" w:rsidR="00087EF5" w:rsidRPr="00087EF5" w:rsidRDefault="009F3BB6" w:rsidP="009F3BB6">
      <w:pPr>
        <w:jc w:val="center"/>
      </w:pPr>
      <w:r>
        <w:rPr>
          <w:noProof/>
          <w:lang w:eastAsia="pl-PL"/>
        </w:rPr>
        <w:drawing>
          <wp:inline distT="0" distB="0" distL="0" distR="0" wp14:anchorId="4DA33011" wp14:editId="0877D040">
            <wp:extent cx="3276600" cy="3724275"/>
            <wp:effectExtent l="0" t="0" r="0" b="9525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372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16CB1C" w14:textId="652FAF8E" w:rsidR="00087EF5" w:rsidRDefault="00087EF5" w:rsidP="00804F17">
      <w:pPr>
        <w:pStyle w:val="Akapitzlist"/>
        <w:numPr>
          <w:ilvl w:val="1"/>
          <w:numId w:val="10"/>
        </w:numPr>
        <w:suppressAutoHyphens w:val="0"/>
        <w:spacing w:before="0" w:after="160" w:line="259" w:lineRule="auto"/>
        <w:ind w:left="567" w:hanging="567"/>
        <w:jc w:val="both"/>
      </w:pPr>
      <w:r w:rsidRPr="00087EF5">
        <w:rPr>
          <w:b/>
          <w:color w:val="000000"/>
        </w:rPr>
        <w:t>Przykładowy wizerunek słupa 7m i wysięgnika:</w:t>
      </w:r>
    </w:p>
    <w:p w14:paraId="7F8A02CC" w14:textId="526BA3EC" w:rsidR="00087EF5" w:rsidRDefault="00087EF5" w:rsidP="00087EF5">
      <w:pPr>
        <w:jc w:val="right"/>
        <w:rPr>
          <w:b/>
          <w:color w:val="000000"/>
        </w:rPr>
      </w:pPr>
      <w:r>
        <w:rPr>
          <w:noProof/>
          <w:lang w:eastAsia="pl-PL"/>
        </w:rPr>
        <w:drawing>
          <wp:inline distT="0" distB="0" distL="0" distR="0" wp14:anchorId="6C9A3C6D" wp14:editId="740D0639">
            <wp:extent cx="1981200" cy="3629025"/>
            <wp:effectExtent l="0" t="0" r="0" b="952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362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</w:t>
      </w:r>
      <w:r w:rsidRPr="00B06166">
        <w:rPr>
          <w:noProof/>
        </w:rPr>
        <w:t xml:space="preserve"> </w:t>
      </w:r>
      <w:r>
        <w:rPr>
          <w:noProof/>
          <w:lang w:eastAsia="pl-PL"/>
        </w:rPr>
        <w:drawing>
          <wp:inline distT="0" distB="0" distL="0" distR="0" wp14:anchorId="32B4B6D0" wp14:editId="59D61803">
            <wp:extent cx="2500605" cy="2126292"/>
            <wp:effectExtent l="0" t="0" r="0" b="762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49849" cy="2168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6DE6E9" w14:textId="47C3B406" w:rsidR="009F3BB6" w:rsidRPr="00CE3B24" w:rsidRDefault="009F3BB6" w:rsidP="009F3BB6">
      <w:pPr>
        <w:pStyle w:val="Akapitzlist"/>
        <w:numPr>
          <w:ilvl w:val="1"/>
          <w:numId w:val="10"/>
        </w:numPr>
        <w:suppressAutoHyphens w:val="0"/>
        <w:spacing w:before="0" w:after="160" w:line="259" w:lineRule="auto"/>
        <w:ind w:left="567" w:hanging="567"/>
        <w:jc w:val="both"/>
      </w:pPr>
      <w:r w:rsidRPr="00CE3B24">
        <w:rPr>
          <w:b/>
        </w:rPr>
        <w:t>Uwaga</w:t>
      </w:r>
      <w:r w:rsidRPr="00CE3B24">
        <w:t xml:space="preserve"> na słupach na wysokości 1,5m należy montować herb miasta Lądka Zdrój na bazie dołączonego pliku DWG z wymiarami. Herb ma zostać wykonany z aluminium anodowanego pod kolor słupa a wizerunek na herbie ma zostać wygrawerowany. Herb montować po zainstalowaniu słupów. </w:t>
      </w:r>
    </w:p>
    <w:p w14:paraId="547AA147" w14:textId="378872F8" w:rsidR="00087EF5" w:rsidRDefault="009F3BB6" w:rsidP="009F3BB6">
      <w:pPr>
        <w:suppressAutoHyphens w:val="0"/>
        <w:spacing w:before="0" w:after="160" w:line="259" w:lineRule="auto"/>
        <w:jc w:val="center"/>
      </w:pPr>
      <w:r>
        <w:rPr>
          <w:noProof/>
          <w:lang w:eastAsia="pl-PL"/>
        </w:rPr>
        <w:drawing>
          <wp:inline distT="0" distB="0" distL="0" distR="0" wp14:anchorId="0A1F36C1" wp14:editId="562A804A">
            <wp:extent cx="1945005" cy="20974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2097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708459" w14:textId="5018406D" w:rsidR="00A14DBF" w:rsidRPr="00D31139" w:rsidRDefault="00A14DBF" w:rsidP="00A14DBF">
      <w:pPr>
        <w:pStyle w:val="Akapitzlist"/>
        <w:numPr>
          <w:ilvl w:val="0"/>
          <w:numId w:val="10"/>
        </w:numPr>
        <w:ind w:left="0"/>
        <w:jc w:val="both"/>
        <w:rPr>
          <w:highlight w:val="yellow"/>
        </w:rPr>
      </w:pPr>
      <w:r w:rsidRPr="00D31139">
        <w:rPr>
          <w:highlight w:val="yellow"/>
        </w:rPr>
        <w:t>P</w:t>
      </w:r>
      <w:r w:rsidRPr="00D31139">
        <w:rPr>
          <w:highlight w:val="yellow"/>
        </w:rPr>
        <w:t>aram</w:t>
      </w:r>
      <w:r w:rsidRPr="00D31139">
        <w:rPr>
          <w:highlight w:val="yellow"/>
        </w:rPr>
        <w:t>etry techniczne i konstrukcyjne OPRAW ULICZNYCH (oprawy montowane na istniejących słupach, s</w:t>
      </w:r>
      <w:r w:rsidR="00D31139" w:rsidRPr="00D31139">
        <w:rPr>
          <w:highlight w:val="yellow"/>
        </w:rPr>
        <w:t xml:space="preserve">łupach nowych ocynkowanych </w:t>
      </w:r>
      <w:r w:rsidRPr="00D31139">
        <w:rPr>
          <w:highlight w:val="yellow"/>
        </w:rPr>
        <w:t>malowanych, aluminiowych anodowanych oraz na wysięgniku):</w:t>
      </w:r>
    </w:p>
    <w:p w14:paraId="019208D4" w14:textId="7DB80E3F" w:rsidR="00A14DBF" w:rsidRPr="00D31139" w:rsidRDefault="00A14DBF" w:rsidP="00A14DBF">
      <w:pPr>
        <w:pStyle w:val="Akapitzlist"/>
        <w:numPr>
          <w:ilvl w:val="1"/>
          <w:numId w:val="20"/>
        </w:numPr>
        <w:ind w:left="567" w:hanging="283"/>
        <w:jc w:val="both"/>
        <w:rPr>
          <w:highlight w:val="yellow"/>
        </w:rPr>
      </w:pPr>
      <w:r w:rsidRPr="00D31139">
        <w:rPr>
          <w:highlight w:val="yellow"/>
        </w:rPr>
        <w:t>Oprawy wykonane w technologii LED</w:t>
      </w:r>
    </w:p>
    <w:p w14:paraId="5A694CDC" w14:textId="51B68504" w:rsidR="00A14DBF" w:rsidRPr="00D31139" w:rsidRDefault="00A14DBF" w:rsidP="00A14DBF">
      <w:pPr>
        <w:pStyle w:val="Akapitzlist"/>
        <w:numPr>
          <w:ilvl w:val="1"/>
          <w:numId w:val="20"/>
        </w:numPr>
        <w:ind w:left="567" w:hanging="283"/>
        <w:jc w:val="both"/>
        <w:rPr>
          <w:highlight w:val="yellow"/>
        </w:rPr>
      </w:pPr>
      <w:r w:rsidRPr="00D31139">
        <w:rPr>
          <w:highlight w:val="yellow"/>
        </w:rPr>
        <w:t>Oprawy oświetleniowe są wyposażone w sterowniki pozwalające na bezpośrednią, dwustronną komunikację z platformą informatyczną służąca do zarządzania oświetleniem poprzez sieć GSM każdej oprawy z osobna</w:t>
      </w:r>
      <w:r w:rsidRPr="00D31139">
        <w:rPr>
          <w:highlight w:val="yellow"/>
        </w:rPr>
        <w:t>.</w:t>
      </w:r>
    </w:p>
    <w:p w14:paraId="14B67555" w14:textId="6219BC46" w:rsidR="00A14DBF" w:rsidRPr="00D31139" w:rsidRDefault="00A14DBF" w:rsidP="00A14DBF">
      <w:pPr>
        <w:pStyle w:val="Akapitzlist"/>
        <w:numPr>
          <w:ilvl w:val="1"/>
          <w:numId w:val="20"/>
        </w:numPr>
        <w:ind w:left="567" w:hanging="283"/>
        <w:jc w:val="both"/>
        <w:rPr>
          <w:highlight w:val="yellow"/>
        </w:rPr>
      </w:pPr>
      <w:r w:rsidRPr="00D31139">
        <w:rPr>
          <w:highlight w:val="yellow"/>
        </w:rPr>
        <w:t xml:space="preserve">Wszystkie oprawy wyposażone w górne gniazda </w:t>
      </w:r>
      <w:proofErr w:type="spellStart"/>
      <w:r w:rsidRPr="00D31139">
        <w:rPr>
          <w:highlight w:val="yellow"/>
        </w:rPr>
        <w:t>Zhaga</w:t>
      </w:r>
      <w:proofErr w:type="spellEnd"/>
      <w:r w:rsidRPr="00D31139">
        <w:rPr>
          <w:highlight w:val="yellow"/>
        </w:rPr>
        <w:t xml:space="preserve"> i zasilacze Dali 2 D4i</w:t>
      </w:r>
    </w:p>
    <w:p w14:paraId="7F164525" w14:textId="2A1CEC4E" w:rsidR="00A14DBF" w:rsidRPr="00D31139" w:rsidRDefault="00A14DBF" w:rsidP="001D2292">
      <w:pPr>
        <w:pStyle w:val="Akapitzlist"/>
        <w:numPr>
          <w:ilvl w:val="1"/>
          <w:numId w:val="20"/>
        </w:numPr>
        <w:ind w:left="567" w:hanging="283"/>
        <w:jc w:val="both"/>
        <w:rPr>
          <w:highlight w:val="yellow"/>
        </w:rPr>
      </w:pPr>
      <w:r w:rsidRPr="00D31139">
        <w:rPr>
          <w:highlight w:val="yellow"/>
        </w:rPr>
        <w:t xml:space="preserve">Wszystkie oprawy obowiązkowo muszą posiadać certyfikat ZD4i udokumentowany publikacją w bazie </w:t>
      </w:r>
      <w:proofErr w:type="spellStart"/>
      <w:r w:rsidRPr="00D31139">
        <w:rPr>
          <w:highlight w:val="yellow"/>
        </w:rPr>
        <w:t>Zhaga</w:t>
      </w:r>
      <w:proofErr w:type="spellEnd"/>
      <w:r w:rsidRPr="00D31139">
        <w:rPr>
          <w:highlight w:val="yellow"/>
        </w:rPr>
        <w:t xml:space="preserve"> (</w:t>
      </w:r>
      <w:r w:rsidRPr="00D31139">
        <w:rPr>
          <w:highlight w:val="yellow"/>
        </w:rPr>
        <w:t>https://www.zhagastandard.org/products.html</w:t>
      </w:r>
      <w:r w:rsidRPr="00D31139">
        <w:rPr>
          <w:highlight w:val="yellow"/>
        </w:rPr>
        <w:t>)</w:t>
      </w:r>
      <w:r w:rsidR="00742257" w:rsidRPr="00D31139">
        <w:rPr>
          <w:highlight w:val="yellow"/>
        </w:rPr>
        <w:t>.</w:t>
      </w:r>
    </w:p>
    <w:p w14:paraId="1467A62A" w14:textId="4B44D144" w:rsidR="00A14DBF" w:rsidRPr="00D31139" w:rsidRDefault="00A14DBF" w:rsidP="00A14DBF">
      <w:pPr>
        <w:pStyle w:val="Akapitzlist"/>
        <w:numPr>
          <w:ilvl w:val="1"/>
          <w:numId w:val="20"/>
        </w:numPr>
        <w:ind w:left="567" w:hanging="283"/>
        <w:jc w:val="both"/>
        <w:rPr>
          <w:highlight w:val="yellow"/>
        </w:rPr>
      </w:pPr>
      <w:r w:rsidRPr="00D31139">
        <w:rPr>
          <w:highlight w:val="yellow"/>
        </w:rPr>
        <w:t>Każda oprawa ma swój własny identyfikator (QR Kod), który po zeskanowaniu za pomocą smartfonu pozwala na dostęp do konfiguracji oprawy, umożliwiając jej łatwą i szybką konserwację</w:t>
      </w:r>
      <w:r w:rsidR="00742257" w:rsidRPr="00D31139">
        <w:rPr>
          <w:highlight w:val="yellow"/>
        </w:rPr>
        <w:t>.</w:t>
      </w:r>
    </w:p>
    <w:p w14:paraId="675E4756" w14:textId="223E4E0B" w:rsidR="00A14DBF" w:rsidRPr="00D31139" w:rsidRDefault="00A14DBF" w:rsidP="00A14DBF">
      <w:pPr>
        <w:pStyle w:val="Akapitzlist"/>
        <w:numPr>
          <w:ilvl w:val="1"/>
          <w:numId w:val="20"/>
        </w:numPr>
        <w:ind w:left="567" w:hanging="283"/>
        <w:jc w:val="both"/>
        <w:rPr>
          <w:highlight w:val="yellow"/>
        </w:rPr>
      </w:pPr>
      <w:r w:rsidRPr="00D31139">
        <w:rPr>
          <w:highlight w:val="yellow"/>
        </w:rPr>
        <w:t xml:space="preserve">Ryzyko fotobiologiczne: Grupa ryzyka 0 </w:t>
      </w:r>
      <w:r w:rsidR="00742257" w:rsidRPr="00D31139">
        <w:rPr>
          <w:highlight w:val="yellow"/>
        </w:rPr>
        <w:t>(RG0) udokumentowana raportem z </w:t>
      </w:r>
      <w:r w:rsidRPr="00D31139">
        <w:rPr>
          <w:highlight w:val="yellow"/>
        </w:rPr>
        <w:t>niezależnego</w:t>
      </w:r>
      <w:r w:rsidRPr="00D31139">
        <w:rPr>
          <w:highlight w:val="yellow"/>
        </w:rPr>
        <w:t xml:space="preserve"> laboratorium</w:t>
      </w:r>
      <w:r w:rsidR="00742257" w:rsidRPr="00D31139">
        <w:rPr>
          <w:highlight w:val="yellow"/>
        </w:rPr>
        <w:t>.</w:t>
      </w:r>
    </w:p>
    <w:p w14:paraId="28750CAD" w14:textId="4DED649F" w:rsidR="00A14DBF" w:rsidRPr="00D31139" w:rsidRDefault="00A14DBF" w:rsidP="008E7C1B">
      <w:pPr>
        <w:pStyle w:val="Akapitzlist"/>
        <w:numPr>
          <w:ilvl w:val="1"/>
          <w:numId w:val="20"/>
        </w:numPr>
        <w:ind w:left="567" w:hanging="283"/>
        <w:jc w:val="both"/>
        <w:rPr>
          <w:highlight w:val="yellow"/>
        </w:rPr>
      </w:pPr>
      <w:r w:rsidRPr="00D31139">
        <w:rPr>
          <w:highlight w:val="yellow"/>
        </w:rPr>
        <w:t>Wskaźnik ULR dla nachylenia 0° - 0</w:t>
      </w:r>
      <w:r w:rsidRPr="00D31139">
        <w:rPr>
          <w:highlight w:val="yellow"/>
        </w:rPr>
        <w:t xml:space="preserve"> </w:t>
      </w:r>
      <w:r w:rsidRPr="00D31139">
        <w:rPr>
          <w:highlight w:val="yellow"/>
        </w:rPr>
        <w:t>zgodnie z Rozporządzeniem Komisji Europejskiej nr 245/2009 z dnia 18 marca 2009</w:t>
      </w:r>
      <w:r w:rsidRPr="00D31139">
        <w:rPr>
          <w:highlight w:val="yellow"/>
        </w:rPr>
        <w:t xml:space="preserve"> </w:t>
      </w:r>
      <w:r w:rsidRPr="00D31139">
        <w:rPr>
          <w:highlight w:val="yellow"/>
        </w:rPr>
        <w:t>(DZ U</w:t>
      </w:r>
      <w:r w:rsidR="00742257" w:rsidRPr="00D31139">
        <w:rPr>
          <w:highlight w:val="yellow"/>
        </w:rPr>
        <w:t>rzędowy UE z dnia 24.03.2009r.).</w:t>
      </w:r>
    </w:p>
    <w:p w14:paraId="2D74059E" w14:textId="33DC89E8" w:rsidR="00A14DBF" w:rsidRPr="00D31139" w:rsidRDefault="00A14DBF" w:rsidP="00A14DBF">
      <w:pPr>
        <w:pStyle w:val="Akapitzlist"/>
        <w:numPr>
          <w:ilvl w:val="1"/>
          <w:numId w:val="20"/>
        </w:numPr>
        <w:ind w:left="567" w:hanging="283"/>
        <w:jc w:val="both"/>
        <w:rPr>
          <w:highlight w:val="yellow"/>
        </w:rPr>
      </w:pPr>
      <w:r w:rsidRPr="00D31139">
        <w:rPr>
          <w:highlight w:val="yellow"/>
        </w:rPr>
        <w:t>Wymienny panel LED, bez wykonywania połączeń lutowanych</w:t>
      </w:r>
      <w:r w:rsidR="00742257" w:rsidRPr="00D31139">
        <w:rPr>
          <w:highlight w:val="yellow"/>
        </w:rPr>
        <w:t>.</w:t>
      </w:r>
    </w:p>
    <w:p w14:paraId="57083DC9" w14:textId="43960D0D" w:rsidR="00A14DBF" w:rsidRPr="00D31139" w:rsidRDefault="00A14DBF" w:rsidP="00A14DBF">
      <w:pPr>
        <w:pStyle w:val="Akapitzlist"/>
        <w:numPr>
          <w:ilvl w:val="1"/>
          <w:numId w:val="20"/>
        </w:numPr>
        <w:ind w:left="567" w:hanging="283"/>
        <w:jc w:val="both"/>
        <w:rPr>
          <w:highlight w:val="yellow"/>
        </w:rPr>
      </w:pPr>
      <w:r w:rsidRPr="00D31139">
        <w:rPr>
          <w:highlight w:val="yellow"/>
        </w:rPr>
        <w:t>Każda dioda w panelu LED musi być wyposażona w indywidualną soczewkę pozwalającą emitować światło równomiernie na całą oświetlaną przez oprawę powierzchnię.</w:t>
      </w:r>
    </w:p>
    <w:p w14:paraId="72373B7B" w14:textId="285A863D" w:rsidR="00A14DBF" w:rsidRPr="00D31139" w:rsidRDefault="00A14DBF" w:rsidP="00A14DBF">
      <w:pPr>
        <w:pStyle w:val="Akapitzlist"/>
        <w:numPr>
          <w:ilvl w:val="1"/>
          <w:numId w:val="20"/>
        </w:numPr>
        <w:ind w:left="567" w:hanging="283"/>
        <w:jc w:val="both"/>
        <w:rPr>
          <w:highlight w:val="yellow"/>
        </w:rPr>
      </w:pPr>
      <w:r w:rsidRPr="00D31139">
        <w:rPr>
          <w:highlight w:val="yellow"/>
        </w:rPr>
        <w:t>Wszystkie oprawy muszą mieć ochronę termiczną modułu LED (automatyczne obniżenie prądu zasilania modułu LED w wypadku jego przegrzania)</w:t>
      </w:r>
      <w:r w:rsidR="00742257" w:rsidRPr="00D31139">
        <w:rPr>
          <w:highlight w:val="yellow"/>
        </w:rPr>
        <w:t>.</w:t>
      </w:r>
    </w:p>
    <w:p w14:paraId="4BF1DA5D" w14:textId="5A20689F" w:rsidR="00A14DBF" w:rsidRPr="00D31139" w:rsidRDefault="00A14DBF" w:rsidP="00A14DBF">
      <w:pPr>
        <w:pStyle w:val="Akapitzlist"/>
        <w:numPr>
          <w:ilvl w:val="1"/>
          <w:numId w:val="20"/>
        </w:numPr>
        <w:ind w:left="567" w:hanging="283"/>
        <w:jc w:val="both"/>
        <w:rPr>
          <w:highlight w:val="yellow"/>
        </w:rPr>
      </w:pPr>
      <w:r w:rsidRPr="00D31139">
        <w:rPr>
          <w:highlight w:val="yellow"/>
        </w:rPr>
        <w:t xml:space="preserve">Oprawy wyposażone w 5-cio stopniowy system redukcji strumienia świetlnego </w:t>
      </w:r>
      <w:r w:rsidR="00742257" w:rsidRPr="00D31139">
        <w:rPr>
          <w:highlight w:val="yellow"/>
        </w:rPr>
        <w:t>.</w:t>
      </w:r>
    </w:p>
    <w:p w14:paraId="18530538" w14:textId="0CFCD267" w:rsidR="00A14DBF" w:rsidRPr="00D31139" w:rsidRDefault="00A14DBF" w:rsidP="00A14DBF">
      <w:pPr>
        <w:pStyle w:val="Akapitzlist"/>
        <w:numPr>
          <w:ilvl w:val="1"/>
          <w:numId w:val="20"/>
        </w:numPr>
        <w:ind w:left="567" w:hanging="283"/>
        <w:jc w:val="both"/>
        <w:rPr>
          <w:highlight w:val="yellow"/>
        </w:rPr>
      </w:pPr>
      <w:r w:rsidRPr="00D31139">
        <w:rPr>
          <w:highlight w:val="yellow"/>
        </w:rPr>
        <w:t>Trwałość min. 100 000 h [L90]</w:t>
      </w:r>
      <w:r w:rsidR="00742257" w:rsidRPr="00D31139">
        <w:rPr>
          <w:highlight w:val="yellow"/>
        </w:rPr>
        <w:t>.</w:t>
      </w:r>
    </w:p>
    <w:p w14:paraId="73BCCB8D" w14:textId="2B704466" w:rsidR="00A14DBF" w:rsidRPr="00D31139" w:rsidRDefault="00A14DBF" w:rsidP="00FC531C">
      <w:pPr>
        <w:pStyle w:val="Akapitzlist"/>
        <w:numPr>
          <w:ilvl w:val="1"/>
          <w:numId w:val="20"/>
        </w:numPr>
        <w:ind w:left="567" w:hanging="283"/>
        <w:jc w:val="both"/>
        <w:rPr>
          <w:highlight w:val="yellow"/>
        </w:rPr>
      </w:pPr>
      <w:r w:rsidRPr="00D31139">
        <w:rPr>
          <w:highlight w:val="yellow"/>
        </w:rPr>
        <w:t>Skuteczność świetlna opraw</w:t>
      </w:r>
      <w:r w:rsidR="00C80B64" w:rsidRPr="00D31139">
        <w:rPr>
          <w:highlight w:val="yellow"/>
        </w:rPr>
        <w:t xml:space="preserve"> </w:t>
      </w:r>
      <w:r w:rsidRPr="00D31139">
        <w:rPr>
          <w:highlight w:val="yellow"/>
        </w:rPr>
        <w:t>– min 110 lm/W</w:t>
      </w:r>
      <w:r w:rsidRPr="00D31139">
        <w:rPr>
          <w:highlight w:val="yellow"/>
        </w:rPr>
        <w:t xml:space="preserve"> (</w:t>
      </w:r>
      <w:r w:rsidRPr="00D31139">
        <w:rPr>
          <w:highlight w:val="yellow"/>
        </w:rPr>
        <w:t>w odniesieniu do strumienia świetlnego oprawy a nie źródła światła)</w:t>
      </w:r>
      <w:r w:rsidR="00742257" w:rsidRPr="00D31139">
        <w:rPr>
          <w:highlight w:val="yellow"/>
        </w:rPr>
        <w:t>.</w:t>
      </w:r>
    </w:p>
    <w:p w14:paraId="2CD9DC28" w14:textId="7B84A9BA" w:rsidR="00A14DBF" w:rsidRPr="00D31139" w:rsidRDefault="00A14DBF" w:rsidP="00A14DBF">
      <w:pPr>
        <w:pStyle w:val="Akapitzlist"/>
        <w:numPr>
          <w:ilvl w:val="1"/>
          <w:numId w:val="20"/>
        </w:numPr>
        <w:ind w:left="567" w:hanging="283"/>
        <w:jc w:val="both"/>
        <w:rPr>
          <w:highlight w:val="yellow"/>
        </w:rPr>
      </w:pPr>
      <w:r w:rsidRPr="00D31139">
        <w:rPr>
          <w:highlight w:val="yellow"/>
        </w:rPr>
        <w:t>Wskaźnik oddawania barw opraw oświetlenia drogowego i parkowego– CRI (Ra) 70</w:t>
      </w:r>
      <w:r w:rsidR="00742257" w:rsidRPr="00D31139">
        <w:rPr>
          <w:highlight w:val="yellow"/>
        </w:rPr>
        <w:t>.</w:t>
      </w:r>
    </w:p>
    <w:p w14:paraId="3CDFAECB" w14:textId="2D8FAA4A" w:rsidR="00A14DBF" w:rsidRPr="00D31139" w:rsidRDefault="00A14DBF" w:rsidP="00A14DBF">
      <w:pPr>
        <w:pStyle w:val="Akapitzlist"/>
        <w:numPr>
          <w:ilvl w:val="1"/>
          <w:numId w:val="20"/>
        </w:numPr>
        <w:ind w:left="567" w:hanging="283"/>
        <w:jc w:val="both"/>
        <w:rPr>
          <w:highlight w:val="yellow"/>
        </w:rPr>
      </w:pPr>
      <w:r w:rsidRPr="00D31139">
        <w:rPr>
          <w:highlight w:val="yellow"/>
        </w:rPr>
        <w:t xml:space="preserve">Temperatura barwowa opraw drogowych – 4 000 K +/- 5% </w:t>
      </w:r>
      <w:r w:rsidR="00742257" w:rsidRPr="00D31139">
        <w:rPr>
          <w:highlight w:val="yellow"/>
        </w:rPr>
        <w:t>.</w:t>
      </w:r>
    </w:p>
    <w:p w14:paraId="6C41676D" w14:textId="7D4079DA" w:rsidR="00A14DBF" w:rsidRPr="00D31139" w:rsidRDefault="00A14DBF" w:rsidP="00A14DBF">
      <w:pPr>
        <w:pStyle w:val="Akapitzlist"/>
        <w:numPr>
          <w:ilvl w:val="1"/>
          <w:numId w:val="20"/>
        </w:numPr>
        <w:ind w:left="567" w:hanging="283"/>
        <w:jc w:val="both"/>
        <w:rPr>
          <w:highlight w:val="yellow"/>
        </w:rPr>
      </w:pPr>
      <w:r w:rsidRPr="00D31139">
        <w:rPr>
          <w:highlight w:val="yellow"/>
        </w:rPr>
        <w:t xml:space="preserve">Temperatura barwowa opraw parkowych – 4 000 K +/- 5%, w parkach 3 000 K +/- 5% </w:t>
      </w:r>
      <w:r w:rsidR="00742257" w:rsidRPr="00D31139">
        <w:rPr>
          <w:highlight w:val="yellow"/>
        </w:rPr>
        <w:t>.</w:t>
      </w:r>
    </w:p>
    <w:p w14:paraId="09766EDC" w14:textId="168B68CF" w:rsidR="00A14DBF" w:rsidRPr="00D31139" w:rsidRDefault="00A14DBF" w:rsidP="00710C1D">
      <w:pPr>
        <w:pStyle w:val="Akapitzlist"/>
        <w:numPr>
          <w:ilvl w:val="1"/>
          <w:numId w:val="20"/>
        </w:numPr>
        <w:ind w:left="567" w:hanging="283"/>
        <w:jc w:val="both"/>
        <w:rPr>
          <w:highlight w:val="yellow"/>
        </w:rPr>
      </w:pPr>
      <w:r w:rsidRPr="00D31139">
        <w:rPr>
          <w:highlight w:val="yellow"/>
        </w:rPr>
        <w:t>Współczynnik mocy (100% mocy)</w:t>
      </w:r>
      <w:r w:rsidR="00C80B64" w:rsidRPr="00D31139">
        <w:rPr>
          <w:highlight w:val="yellow"/>
        </w:rPr>
        <w:t xml:space="preserve"> </w:t>
      </w:r>
      <w:r w:rsidRPr="00D31139">
        <w:rPr>
          <w:highlight w:val="yellow"/>
        </w:rPr>
        <w:t>Oprawy drogowe - cos fi &gt; 0,96</w:t>
      </w:r>
      <w:r w:rsidR="00742257" w:rsidRPr="00D31139">
        <w:rPr>
          <w:highlight w:val="yellow"/>
        </w:rPr>
        <w:t>.</w:t>
      </w:r>
    </w:p>
    <w:p w14:paraId="1F87A9CB" w14:textId="2693FE31" w:rsidR="00A14DBF" w:rsidRPr="00D31139" w:rsidRDefault="00A14DBF" w:rsidP="00A14DBF">
      <w:pPr>
        <w:pStyle w:val="Akapitzlist"/>
        <w:numPr>
          <w:ilvl w:val="1"/>
          <w:numId w:val="20"/>
        </w:numPr>
        <w:ind w:left="567" w:hanging="283"/>
        <w:jc w:val="both"/>
        <w:rPr>
          <w:highlight w:val="yellow"/>
        </w:rPr>
      </w:pPr>
      <w:r w:rsidRPr="00D31139">
        <w:rPr>
          <w:highlight w:val="yellow"/>
        </w:rPr>
        <w:t>Obudowa wykonana z ciśnieniowego odlewu aluminium</w:t>
      </w:r>
      <w:r w:rsidR="00742257" w:rsidRPr="00D31139">
        <w:rPr>
          <w:highlight w:val="yellow"/>
        </w:rPr>
        <w:t>.</w:t>
      </w:r>
    </w:p>
    <w:p w14:paraId="3289893E" w14:textId="1A3CB90E" w:rsidR="00A14DBF" w:rsidRPr="00D31139" w:rsidRDefault="00A14DBF" w:rsidP="00A14DBF">
      <w:pPr>
        <w:pStyle w:val="Akapitzlist"/>
        <w:numPr>
          <w:ilvl w:val="1"/>
          <w:numId w:val="20"/>
        </w:numPr>
        <w:ind w:left="567" w:hanging="283"/>
        <w:jc w:val="both"/>
        <w:rPr>
          <w:highlight w:val="yellow"/>
        </w:rPr>
      </w:pPr>
      <w:r w:rsidRPr="00D31139">
        <w:rPr>
          <w:highlight w:val="yellow"/>
        </w:rPr>
        <w:t>Oprawa drogowa otwierana do góry</w:t>
      </w:r>
      <w:r w:rsidR="00742257" w:rsidRPr="00D31139">
        <w:rPr>
          <w:highlight w:val="yellow"/>
        </w:rPr>
        <w:t>.</w:t>
      </w:r>
    </w:p>
    <w:p w14:paraId="6162E7B6" w14:textId="0774786E" w:rsidR="00A14DBF" w:rsidRPr="00D31139" w:rsidRDefault="00A14DBF" w:rsidP="00A14DBF">
      <w:pPr>
        <w:pStyle w:val="Akapitzlist"/>
        <w:numPr>
          <w:ilvl w:val="1"/>
          <w:numId w:val="20"/>
        </w:numPr>
        <w:ind w:left="567" w:hanging="283"/>
        <w:jc w:val="both"/>
        <w:rPr>
          <w:highlight w:val="yellow"/>
        </w:rPr>
      </w:pPr>
      <w:r w:rsidRPr="00D31139">
        <w:rPr>
          <w:highlight w:val="yellow"/>
        </w:rPr>
        <w:t>Wielkość obudowy dostosowana do panelu LED (strumienia świetlnego)</w:t>
      </w:r>
      <w:r w:rsidR="00742257" w:rsidRPr="00D31139">
        <w:rPr>
          <w:highlight w:val="yellow"/>
        </w:rPr>
        <w:t>.</w:t>
      </w:r>
    </w:p>
    <w:p w14:paraId="2A60294E" w14:textId="3E0CE45E" w:rsidR="00A14DBF" w:rsidRPr="00D31139" w:rsidRDefault="00A14DBF" w:rsidP="00A14DBF">
      <w:pPr>
        <w:pStyle w:val="Akapitzlist"/>
        <w:numPr>
          <w:ilvl w:val="1"/>
          <w:numId w:val="20"/>
        </w:numPr>
        <w:ind w:left="567" w:hanging="283"/>
        <w:jc w:val="both"/>
        <w:rPr>
          <w:highlight w:val="yellow"/>
        </w:rPr>
      </w:pPr>
      <w:r w:rsidRPr="00D31139">
        <w:rPr>
          <w:highlight w:val="yellow"/>
        </w:rPr>
        <w:t>Obudowa stanowi integralną część elementu chłodzenia.</w:t>
      </w:r>
    </w:p>
    <w:p w14:paraId="461D564C" w14:textId="62AADF8E" w:rsidR="00A14DBF" w:rsidRPr="00D31139" w:rsidRDefault="00A14DBF" w:rsidP="00A14DBF">
      <w:pPr>
        <w:pStyle w:val="Akapitzlist"/>
        <w:numPr>
          <w:ilvl w:val="1"/>
          <w:numId w:val="20"/>
        </w:numPr>
        <w:ind w:left="567" w:hanging="283"/>
        <w:jc w:val="both"/>
        <w:rPr>
          <w:highlight w:val="yellow"/>
        </w:rPr>
      </w:pPr>
      <w:r w:rsidRPr="00D31139">
        <w:rPr>
          <w:highlight w:val="yellow"/>
        </w:rPr>
        <w:t>System chłodzenia – poprzez radiator z gładką powierzchnią (brak użebrowania)</w:t>
      </w:r>
      <w:r w:rsidR="00742257" w:rsidRPr="00D31139">
        <w:rPr>
          <w:highlight w:val="yellow"/>
        </w:rPr>
        <w:t>.</w:t>
      </w:r>
    </w:p>
    <w:p w14:paraId="6E848DF4" w14:textId="504F2613" w:rsidR="00A14DBF" w:rsidRPr="00D31139" w:rsidRDefault="00A14DBF" w:rsidP="00A14DBF">
      <w:pPr>
        <w:pStyle w:val="Akapitzlist"/>
        <w:numPr>
          <w:ilvl w:val="1"/>
          <w:numId w:val="20"/>
        </w:numPr>
        <w:ind w:left="567" w:hanging="283"/>
        <w:jc w:val="both"/>
        <w:rPr>
          <w:highlight w:val="yellow"/>
        </w:rPr>
      </w:pPr>
      <w:r w:rsidRPr="00D31139">
        <w:rPr>
          <w:highlight w:val="yellow"/>
        </w:rPr>
        <w:t>Klosz z szyby hartowanej</w:t>
      </w:r>
      <w:r w:rsidR="00742257" w:rsidRPr="00D31139">
        <w:rPr>
          <w:highlight w:val="yellow"/>
        </w:rPr>
        <w:t>.</w:t>
      </w:r>
    </w:p>
    <w:p w14:paraId="6E46BC81" w14:textId="2A064AFE" w:rsidR="00A14DBF" w:rsidRPr="00D31139" w:rsidRDefault="00A14DBF" w:rsidP="00A14DBF">
      <w:pPr>
        <w:pStyle w:val="Akapitzlist"/>
        <w:numPr>
          <w:ilvl w:val="1"/>
          <w:numId w:val="20"/>
        </w:numPr>
        <w:ind w:left="567" w:hanging="283"/>
        <w:jc w:val="both"/>
        <w:rPr>
          <w:highlight w:val="yellow"/>
        </w:rPr>
      </w:pPr>
      <w:r w:rsidRPr="00D31139">
        <w:rPr>
          <w:highlight w:val="yellow"/>
        </w:rPr>
        <w:t>Dla opraw typu drogowego zaczep montażowy 48/60A [uniwersalny regulowany dedykowany do wysięgników/słupów] z regulacją -90 do +15 stopni</w:t>
      </w:r>
      <w:r w:rsidR="00742257" w:rsidRPr="00D31139">
        <w:rPr>
          <w:highlight w:val="yellow"/>
        </w:rPr>
        <w:t>.</w:t>
      </w:r>
    </w:p>
    <w:p w14:paraId="51A2BEE0" w14:textId="506E141C" w:rsidR="00A14DBF" w:rsidRPr="00D31139" w:rsidRDefault="00A14DBF" w:rsidP="00A14DBF">
      <w:pPr>
        <w:pStyle w:val="Akapitzlist"/>
        <w:numPr>
          <w:ilvl w:val="1"/>
          <w:numId w:val="20"/>
        </w:numPr>
        <w:ind w:left="567" w:hanging="283"/>
        <w:jc w:val="both"/>
        <w:rPr>
          <w:highlight w:val="yellow"/>
        </w:rPr>
      </w:pPr>
      <w:r w:rsidRPr="00D31139">
        <w:rPr>
          <w:highlight w:val="yellow"/>
        </w:rPr>
        <w:t>Pierścieniem mającym wpływ na optykę</w:t>
      </w:r>
      <w:r w:rsidR="00742257" w:rsidRPr="00D31139">
        <w:rPr>
          <w:highlight w:val="yellow"/>
        </w:rPr>
        <w:t>.</w:t>
      </w:r>
    </w:p>
    <w:p w14:paraId="6011FA74" w14:textId="5FE0DC3E" w:rsidR="00A14DBF" w:rsidRPr="00D31139" w:rsidRDefault="00A14DBF" w:rsidP="00A14DBF">
      <w:pPr>
        <w:pStyle w:val="Akapitzlist"/>
        <w:numPr>
          <w:ilvl w:val="1"/>
          <w:numId w:val="20"/>
        </w:numPr>
        <w:ind w:left="567" w:hanging="283"/>
        <w:jc w:val="both"/>
        <w:rPr>
          <w:highlight w:val="yellow"/>
        </w:rPr>
      </w:pPr>
      <w:r w:rsidRPr="00D31139">
        <w:rPr>
          <w:highlight w:val="yellow"/>
        </w:rPr>
        <w:t>Klasa odporności na zanieczyszczenia i wilgoć – IP 66</w:t>
      </w:r>
      <w:r w:rsidR="00742257" w:rsidRPr="00D31139">
        <w:rPr>
          <w:highlight w:val="yellow"/>
        </w:rPr>
        <w:t>.</w:t>
      </w:r>
    </w:p>
    <w:p w14:paraId="2CC21446" w14:textId="1240ED6B" w:rsidR="00A14DBF" w:rsidRPr="00D31139" w:rsidRDefault="00A14DBF" w:rsidP="00A14DBF">
      <w:pPr>
        <w:pStyle w:val="Akapitzlist"/>
        <w:numPr>
          <w:ilvl w:val="1"/>
          <w:numId w:val="20"/>
        </w:numPr>
        <w:ind w:left="567" w:hanging="283"/>
        <w:jc w:val="both"/>
        <w:rPr>
          <w:highlight w:val="yellow"/>
        </w:rPr>
      </w:pPr>
      <w:r w:rsidRPr="00D31139">
        <w:rPr>
          <w:highlight w:val="yellow"/>
        </w:rPr>
        <w:t xml:space="preserve">Klasa odporności na uderzenia opraw drogowych i parkowych IK 09 </w:t>
      </w:r>
      <w:r w:rsidR="00742257" w:rsidRPr="00D31139">
        <w:rPr>
          <w:highlight w:val="yellow"/>
        </w:rPr>
        <w:t>.</w:t>
      </w:r>
    </w:p>
    <w:p w14:paraId="2C909CFE" w14:textId="02DDCE53" w:rsidR="00A14DBF" w:rsidRPr="00D31139" w:rsidRDefault="00A14DBF" w:rsidP="00A14DBF">
      <w:pPr>
        <w:pStyle w:val="Akapitzlist"/>
        <w:numPr>
          <w:ilvl w:val="1"/>
          <w:numId w:val="20"/>
        </w:numPr>
        <w:ind w:left="567" w:hanging="283"/>
        <w:jc w:val="both"/>
        <w:rPr>
          <w:highlight w:val="yellow"/>
        </w:rPr>
      </w:pPr>
      <w:r w:rsidRPr="00D31139">
        <w:rPr>
          <w:highlight w:val="yellow"/>
        </w:rPr>
        <w:t>Klasa ochrony przeciwporażeniowej – II</w:t>
      </w:r>
      <w:r w:rsidR="00742257" w:rsidRPr="00D31139">
        <w:rPr>
          <w:highlight w:val="yellow"/>
        </w:rPr>
        <w:t>.</w:t>
      </w:r>
    </w:p>
    <w:p w14:paraId="42E394C4" w14:textId="144A564F" w:rsidR="00A14DBF" w:rsidRPr="00D31139" w:rsidRDefault="00A14DBF" w:rsidP="00A14DBF">
      <w:pPr>
        <w:pStyle w:val="Akapitzlist"/>
        <w:numPr>
          <w:ilvl w:val="1"/>
          <w:numId w:val="20"/>
        </w:numPr>
        <w:ind w:left="567" w:hanging="283"/>
        <w:jc w:val="both"/>
        <w:rPr>
          <w:highlight w:val="yellow"/>
        </w:rPr>
      </w:pPr>
      <w:r w:rsidRPr="00D31139">
        <w:rPr>
          <w:highlight w:val="yellow"/>
        </w:rPr>
        <w:t>Ochrona przeciwprzepięciowa - 10kV</w:t>
      </w:r>
      <w:r w:rsidR="00742257" w:rsidRPr="00D31139">
        <w:rPr>
          <w:highlight w:val="yellow"/>
        </w:rPr>
        <w:t>.</w:t>
      </w:r>
    </w:p>
    <w:p w14:paraId="2FCEEA89" w14:textId="522C9B30" w:rsidR="00A14DBF" w:rsidRPr="00D31139" w:rsidRDefault="00A14DBF" w:rsidP="00A14DBF">
      <w:pPr>
        <w:pStyle w:val="Akapitzlist"/>
        <w:numPr>
          <w:ilvl w:val="1"/>
          <w:numId w:val="20"/>
        </w:numPr>
        <w:ind w:left="567" w:hanging="283"/>
        <w:jc w:val="both"/>
        <w:rPr>
          <w:highlight w:val="yellow"/>
        </w:rPr>
      </w:pPr>
      <w:r w:rsidRPr="00D31139">
        <w:rPr>
          <w:highlight w:val="yellow"/>
        </w:rPr>
        <w:t xml:space="preserve">Ochrona przeciwprzepięciowa 10 </w:t>
      </w:r>
      <w:proofErr w:type="spellStart"/>
      <w:r w:rsidRPr="00D31139">
        <w:rPr>
          <w:highlight w:val="yellow"/>
        </w:rPr>
        <w:t>kV</w:t>
      </w:r>
      <w:proofErr w:type="spellEnd"/>
      <w:r w:rsidRPr="00D31139">
        <w:rPr>
          <w:highlight w:val="yellow"/>
        </w:rPr>
        <w:t xml:space="preserve"> realizowana przy pomocy montowanego poza zasilaczem w oprawie ochronnika przeciwprzepięciowego typu SPD 10 </w:t>
      </w:r>
      <w:proofErr w:type="spellStart"/>
      <w:r w:rsidRPr="00D31139">
        <w:rPr>
          <w:highlight w:val="yellow"/>
        </w:rPr>
        <w:t>kV</w:t>
      </w:r>
      <w:proofErr w:type="spellEnd"/>
      <w:r w:rsidRPr="00D31139">
        <w:rPr>
          <w:highlight w:val="yellow"/>
        </w:rPr>
        <w:t xml:space="preserve"> 10 </w:t>
      </w:r>
      <w:proofErr w:type="spellStart"/>
      <w:r w:rsidRPr="00D31139">
        <w:rPr>
          <w:highlight w:val="yellow"/>
        </w:rPr>
        <w:t>kA</w:t>
      </w:r>
      <w:proofErr w:type="spellEnd"/>
      <w:r w:rsidR="00742257" w:rsidRPr="00D31139">
        <w:rPr>
          <w:highlight w:val="yellow"/>
        </w:rPr>
        <w:t>.</w:t>
      </w:r>
    </w:p>
    <w:p w14:paraId="3008609D" w14:textId="26B39374" w:rsidR="00A14DBF" w:rsidRPr="00D31139" w:rsidRDefault="00A14DBF" w:rsidP="00A14DBF">
      <w:pPr>
        <w:pStyle w:val="Akapitzlist"/>
        <w:numPr>
          <w:ilvl w:val="1"/>
          <w:numId w:val="20"/>
        </w:numPr>
        <w:ind w:left="567" w:hanging="283"/>
        <w:jc w:val="both"/>
        <w:rPr>
          <w:highlight w:val="yellow"/>
        </w:rPr>
      </w:pPr>
      <w:r w:rsidRPr="00D31139">
        <w:rPr>
          <w:highlight w:val="yellow"/>
        </w:rPr>
        <w:t>Deklaracja Zgodności CE</w:t>
      </w:r>
      <w:r w:rsidR="00742257" w:rsidRPr="00D31139">
        <w:rPr>
          <w:highlight w:val="yellow"/>
        </w:rPr>
        <w:t>.</w:t>
      </w:r>
    </w:p>
    <w:p w14:paraId="4C6F2E84" w14:textId="4E9AE0EC" w:rsidR="00A14DBF" w:rsidRPr="00D31139" w:rsidRDefault="00A14DBF" w:rsidP="00A14DBF">
      <w:pPr>
        <w:pStyle w:val="Akapitzlist"/>
        <w:numPr>
          <w:ilvl w:val="1"/>
          <w:numId w:val="20"/>
        </w:numPr>
        <w:ind w:left="567" w:hanging="283"/>
        <w:jc w:val="both"/>
        <w:rPr>
          <w:highlight w:val="yellow"/>
        </w:rPr>
      </w:pPr>
      <w:r w:rsidRPr="00D31139">
        <w:rPr>
          <w:highlight w:val="yellow"/>
        </w:rPr>
        <w:t>Oprawa powinna posiadać certyfikat niezależnej, międzynarodowej instytucji certyfikującej typu ENEC i ENEC PLUS, potwierdzający deklarowane parametry techniczne, rekomendowane przez UE w projektach finansowanych ze środków europejskich</w:t>
      </w:r>
      <w:r w:rsidR="00742257" w:rsidRPr="00D31139">
        <w:rPr>
          <w:highlight w:val="yellow"/>
        </w:rPr>
        <w:t>.</w:t>
      </w:r>
    </w:p>
    <w:p w14:paraId="42064900" w14:textId="6657BA81" w:rsidR="00087EF5" w:rsidRPr="00D31139" w:rsidRDefault="00A14DBF" w:rsidP="00A14DBF">
      <w:pPr>
        <w:pStyle w:val="Akapitzlist"/>
        <w:numPr>
          <w:ilvl w:val="1"/>
          <w:numId w:val="20"/>
        </w:numPr>
        <w:ind w:left="567" w:hanging="283"/>
        <w:jc w:val="both"/>
        <w:rPr>
          <w:highlight w:val="yellow"/>
        </w:rPr>
      </w:pPr>
      <w:r w:rsidRPr="00D31139">
        <w:rPr>
          <w:highlight w:val="yellow"/>
        </w:rPr>
        <w:t>Pliki fotometryczne LDT projektowanych opraw w ogólnodostępnej bazie</w:t>
      </w:r>
      <w:r w:rsidR="00742257" w:rsidRPr="00D31139">
        <w:rPr>
          <w:highlight w:val="yellow"/>
        </w:rPr>
        <w:t>.</w:t>
      </w:r>
    </w:p>
    <w:p w14:paraId="2469679C" w14:textId="1D22DF6A" w:rsidR="00004B1C" w:rsidRDefault="00004B1C">
      <w:pPr>
        <w:suppressAutoHyphens w:val="0"/>
        <w:spacing w:before="0" w:after="160" w:line="259" w:lineRule="auto"/>
      </w:pPr>
    </w:p>
    <w:p w14:paraId="4F540BDB" w14:textId="77777777" w:rsidR="00742257" w:rsidRDefault="00742257">
      <w:pPr>
        <w:suppressAutoHyphens w:val="0"/>
        <w:spacing w:before="0" w:after="160" w:line="259" w:lineRule="auto"/>
      </w:pPr>
    </w:p>
    <w:p w14:paraId="27144261" w14:textId="479BA532" w:rsidR="001C6071" w:rsidRPr="00A3029D" w:rsidRDefault="00004B1C" w:rsidP="00004B1C">
      <w:pPr>
        <w:pStyle w:val="Akapitzlist"/>
        <w:ind w:left="567"/>
        <w:jc w:val="both"/>
        <w:rPr>
          <w:b/>
        </w:rPr>
      </w:pPr>
      <w:r w:rsidRPr="00A3029D">
        <w:rPr>
          <w:b/>
        </w:rPr>
        <w:t>Załączniki:</w:t>
      </w:r>
    </w:p>
    <w:p w14:paraId="391D4615" w14:textId="581AB327" w:rsidR="00004B1C" w:rsidRDefault="00004B1C" w:rsidP="00004B1C">
      <w:pPr>
        <w:pStyle w:val="Akapitzlist"/>
        <w:numPr>
          <w:ilvl w:val="0"/>
          <w:numId w:val="17"/>
        </w:numPr>
        <w:jc w:val="both"/>
      </w:pPr>
      <w:r>
        <w:t>Audyt i aneks do audytu efektywności energetycznej oświetlenia ulicznego Gminy Lądek-Zdrój</w:t>
      </w:r>
    </w:p>
    <w:p w14:paraId="34AD5BE7" w14:textId="3A5268DC" w:rsidR="00004B1C" w:rsidRDefault="003A077A" w:rsidP="00004B1C">
      <w:pPr>
        <w:pStyle w:val="Akapitzlist"/>
        <w:numPr>
          <w:ilvl w:val="0"/>
          <w:numId w:val="17"/>
        </w:numPr>
        <w:jc w:val="both"/>
      </w:pPr>
      <w:r>
        <w:t>Wykaz opraw i słupów do wymiany</w:t>
      </w:r>
    </w:p>
    <w:p w14:paraId="795B3021" w14:textId="16C30DC5" w:rsidR="003A077A" w:rsidRDefault="003A077A" w:rsidP="00004B1C">
      <w:pPr>
        <w:pStyle w:val="Akapitzlist"/>
        <w:numPr>
          <w:ilvl w:val="0"/>
          <w:numId w:val="17"/>
        </w:numPr>
        <w:jc w:val="both"/>
      </w:pPr>
      <w:r>
        <w:t>Projekt oświetlenia na ul. Fabrycznej</w:t>
      </w:r>
    </w:p>
    <w:p w14:paraId="35982682" w14:textId="6B190E8F" w:rsidR="003A077A" w:rsidRDefault="003A077A" w:rsidP="00004B1C">
      <w:pPr>
        <w:pStyle w:val="Akapitzlist"/>
        <w:numPr>
          <w:ilvl w:val="0"/>
          <w:numId w:val="17"/>
        </w:numPr>
        <w:jc w:val="both"/>
      </w:pPr>
      <w:r>
        <w:t>Opis opraw i słupów stylizowanych</w:t>
      </w:r>
    </w:p>
    <w:sectPr w:rsidR="003A077A" w:rsidSect="009616F5">
      <w:headerReference w:type="default" r:id="rId11"/>
      <w:headerReference w:type="first" r:id="rId12"/>
      <w:pgSz w:w="11906" w:h="16838"/>
      <w:pgMar w:top="1417" w:right="1417" w:bottom="1417" w:left="1417" w:header="284" w:footer="28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BA9357" w14:textId="77777777" w:rsidR="009616F5" w:rsidRDefault="009616F5" w:rsidP="009616F5">
      <w:pPr>
        <w:spacing w:before="0" w:line="240" w:lineRule="auto"/>
      </w:pPr>
      <w:r>
        <w:separator/>
      </w:r>
    </w:p>
  </w:endnote>
  <w:endnote w:type="continuationSeparator" w:id="0">
    <w:p w14:paraId="52FB0824" w14:textId="77777777" w:rsidR="009616F5" w:rsidRDefault="009616F5" w:rsidP="009616F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20772D" w14:textId="77777777" w:rsidR="009616F5" w:rsidRDefault="009616F5" w:rsidP="009616F5">
      <w:pPr>
        <w:spacing w:before="0" w:line="240" w:lineRule="auto"/>
      </w:pPr>
      <w:r>
        <w:separator/>
      </w:r>
    </w:p>
  </w:footnote>
  <w:footnote w:type="continuationSeparator" w:id="0">
    <w:p w14:paraId="2E38425E" w14:textId="77777777" w:rsidR="009616F5" w:rsidRDefault="009616F5" w:rsidP="009616F5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AD07B7" w14:textId="0DF9959C" w:rsidR="00004B1C" w:rsidRDefault="00004B1C" w:rsidP="00004B1C">
    <w:pPr>
      <w:pStyle w:val="Nagwek"/>
      <w:jc w:val="center"/>
      <w:rPr>
        <w:b/>
        <w:i/>
        <w:sz w:val="22"/>
        <w:szCs w:val="22"/>
      </w:rPr>
    </w:pPr>
    <w:r>
      <w:rPr>
        <w:i/>
        <w:noProof/>
        <w:lang w:eastAsia="pl-PL"/>
      </w:rPr>
      <w:drawing>
        <wp:anchor distT="0" distB="0" distL="114300" distR="114300" simplePos="0" relativeHeight="251659264" behindDoc="0" locked="0" layoutInCell="1" allowOverlap="1" wp14:anchorId="3AED3E84" wp14:editId="4162219C">
          <wp:simplePos x="0" y="0"/>
          <wp:positionH relativeFrom="column">
            <wp:posOffset>0</wp:posOffset>
          </wp:positionH>
          <wp:positionV relativeFrom="paragraph">
            <wp:posOffset>56515</wp:posOffset>
          </wp:positionV>
          <wp:extent cx="5759450" cy="863600"/>
          <wp:effectExtent l="0" t="0" r="0" b="0"/>
          <wp:wrapSquare wrapText="bothSides"/>
          <wp:docPr id="7" name="Obraz 7" descr="C:\Users\zamowienia\AppData\Local\Microsoft\Windows\INetCache\Content.Word\logoty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amowienia\AppData\Local\Microsoft\Windows\INetCache\Content.Word\logotyp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B38B0F" w14:textId="77777777" w:rsidR="002F43A5" w:rsidRDefault="002F43A5" w:rsidP="002F43A5">
    <w:pPr>
      <w:pStyle w:val="Stopka"/>
      <w:jc w:val="center"/>
      <w:rPr>
        <w:b/>
        <w:i/>
      </w:rPr>
    </w:pPr>
    <w:r>
      <w:rPr>
        <w:i/>
        <w:noProof/>
        <w:lang w:eastAsia="pl-PL"/>
      </w:rPr>
      <w:drawing>
        <wp:anchor distT="0" distB="0" distL="114300" distR="114300" simplePos="0" relativeHeight="251661312" behindDoc="0" locked="0" layoutInCell="1" allowOverlap="1" wp14:anchorId="18EA820A" wp14:editId="778B66F6">
          <wp:simplePos x="0" y="0"/>
          <wp:positionH relativeFrom="column">
            <wp:posOffset>-66675</wp:posOffset>
          </wp:positionH>
          <wp:positionV relativeFrom="paragraph">
            <wp:posOffset>112470</wp:posOffset>
          </wp:positionV>
          <wp:extent cx="5759450" cy="863600"/>
          <wp:effectExtent l="0" t="0" r="0" b="0"/>
          <wp:wrapSquare wrapText="bothSides"/>
          <wp:docPr id="2" name="Obraz 2" descr="C:\Users\zamowienia\AppData\Local\Microsoft\Windows\INetCache\Content.Word\logoty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amowienia\AppData\Local\Microsoft\Windows\INetCache\Content.Word\logotyp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5BFE">
      <w:rPr>
        <w:i/>
        <w:sz w:val="20"/>
        <w:szCs w:val="20"/>
      </w:rPr>
      <w:t>Projekt  „Energooszczędne oświetlenie uliczne i drogowe przy drogach public</w:t>
    </w:r>
    <w:r>
      <w:rPr>
        <w:i/>
        <w:sz w:val="20"/>
        <w:szCs w:val="20"/>
      </w:rPr>
      <w:t>znych obszaru Ziemi Kłodzkiej”, D</w:t>
    </w:r>
    <w:r w:rsidRPr="00CA5BFE">
      <w:rPr>
        <w:i/>
        <w:sz w:val="20"/>
        <w:szCs w:val="20"/>
      </w:rPr>
      <w:t xml:space="preserve">ofinansowanie w ramach RPO WD 2014-2020 dla Osi Priorytetowej 3 Gospodarka niskoemisyjna, </w:t>
    </w:r>
    <w:r>
      <w:rPr>
        <w:i/>
        <w:sz w:val="20"/>
        <w:szCs w:val="20"/>
      </w:rPr>
      <w:t>d</w:t>
    </w:r>
    <w:r w:rsidRPr="00CA5BFE">
      <w:rPr>
        <w:i/>
        <w:sz w:val="20"/>
        <w:szCs w:val="20"/>
      </w:rPr>
      <w:t>ziałania 3.4 Wdrażanie strategii niskoemisyjnych, Poddziałania 3,4.1 Wdrażanie strategii niskoemisyjnych</w:t>
    </w:r>
  </w:p>
  <w:p w14:paraId="4D83D02D" w14:textId="77777777" w:rsidR="002F43A5" w:rsidRPr="002F43A5" w:rsidRDefault="002F43A5" w:rsidP="002F43A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39F62580"/>
    <w:lvl w:ilvl="0">
      <w:start w:val="1"/>
      <w:numFmt w:val="upperRoman"/>
      <w:pStyle w:val="Nagwek1"/>
      <w:lvlText w:val="%1."/>
      <w:lvlJc w:val="right"/>
      <w:pPr>
        <w:tabs>
          <w:tab w:val="num" w:pos="1843"/>
        </w:tabs>
        <w:ind w:left="2275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320704"/>
    <w:multiLevelType w:val="hybridMultilevel"/>
    <w:tmpl w:val="CF662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F5843"/>
    <w:multiLevelType w:val="hybridMultilevel"/>
    <w:tmpl w:val="75D02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962ED"/>
    <w:multiLevelType w:val="hybridMultilevel"/>
    <w:tmpl w:val="E48E9E8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4FD6C5A"/>
    <w:multiLevelType w:val="hybridMultilevel"/>
    <w:tmpl w:val="2084F42E"/>
    <w:lvl w:ilvl="0" w:tplc="0415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5" w15:restartNumberingAfterBreak="0">
    <w:nsid w:val="27FD4A6F"/>
    <w:multiLevelType w:val="hybridMultilevel"/>
    <w:tmpl w:val="858EFAC6"/>
    <w:lvl w:ilvl="0" w:tplc="0BC4C12E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C578448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A35351"/>
    <w:multiLevelType w:val="hybridMultilevel"/>
    <w:tmpl w:val="1D48D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E46D0D"/>
    <w:multiLevelType w:val="hybridMultilevel"/>
    <w:tmpl w:val="99501D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887AA9"/>
    <w:multiLevelType w:val="hybridMultilevel"/>
    <w:tmpl w:val="CB540E58"/>
    <w:lvl w:ilvl="0" w:tplc="8F86B3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9C18FC"/>
    <w:multiLevelType w:val="hybridMultilevel"/>
    <w:tmpl w:val="488EF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FE73FE"/>
    <w:multiLevelType w:val="hybridMultilevel"/>
    <w:tmpl w:val="57F82A8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87F6494"/>
    <w:multiLevelType w:val="hybridMultilevel"/>
    <w:tmpl w:val="B3A43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578448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8E17EF"/>
    <w:multiLevelType w:val="hybridMultilevel"/>
    <w:tmpl w:val="DD021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465FE0"/>
    <w:multiLevelType w:val="hybridMultilevel"/>
    <w:tmpl w:val="C6FA08B2"/>
    <w:lvl w:ilvl="0" w:tplc="04150015">
      <w:start w:val="1"/>
      <w:numFmt w:val="upp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61497E28"/>
    <w:multiLevelType w:val="hybridMultilevel"/>
    <w:tmpl w:val="49222E02"/>
    <w:lvl w:ilvl="0" w:tplc="0BC4C12E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C5784486">
      <w:start w:val="1"/>
      <w:numFmt w:val="bullet"/>
      <w:lvlText w:val="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44268D"/>
    <w:multiLevelType w:val="hybridMultilevel"/>
    <w:tmpl w:val="75D02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0C05DD"/>
    <w:multiLevelType w:val="hybridMultilevel"/>
    <w:tmpl w:val="75D02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2733F9"/>
    <w:multiLevelType w:val="hybridMultilevel"/>
    <w:tmpl w:val="4C9EA5A4"/>
    <w:lvl w:ilvl="0" w:tplc="0BC4C12E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B332B7"/>
    <w:multiLevelType w:val="hybridMultilevel"/>
    <w:tmpl w:val="8732EF50"/>
    <w:lvl w:ilvl="0" w:tplc="C57844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12"/>
  </w:num>
  <w:num w:numId="5">
    <w:abstractNumId w:val="11"/>
  </w:num>
  <w:num w:numId="6">
    <w:abstractNumId w:val="18"/>
  </w:num>
  <w:num w:numId="7">
    <w:abstractNumId w:val="1"/>
  </w:num>
  <w:num w:numId="8">
    <w:abstractNumId w:val="6"/>
  </w:num>
  <w:num w:numId="9">
    <w:abstractNumId w:val="2"/>
  </w:num>
  <w:num w:numId="10">
    <w:abstractNumId w:val="17"/>
  </w:num>
  <w:num w:numId="11">
    <w:abstractNumId w:val="9"/>
  </w:num>
  <w:num w:numId="12">
    <w:abstractNumId w:val="8"/>
  </w:num>
  <w:num w:numId="13">
    <w:abstractNumId w:val="4"/>
  </w:num>
  <w:num w:numId="14">
    <w:abstractNumId w:val="7"/>
  </w:num>
  <w:num w:numId="15">
    <w:abstractNumId w:val="15"/>
  </w:num>
  <w:num w:numId="16">
    <w:abstractNumId w:val="16"/>
  </w:num>
  <w:num w:numId="17">
    <w:abstractNumId w:val="13"/>
  </w:num>
  <w:num w:numId="18">
    <w:abstractNumId w:val="14"/>
  </w:num>
  <w:num w:numId="19">
    <w:abstractNumId w:val="10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EEF"/>
    <w:rsid w:val="00004B1C"/>
    <w:rsid w:val="00006796"/>
    <w:rsid w:val="00016498"/>
    <w:rsid w:val="00045463"/>
    <w:rsid w:val="00087EF5"/>
    <w:rsid w:val="00092503"/>
    <w:rsid w:val="000A1D08"/>
    <w:rsid w:val="000B5744"/>
    <w:rsid w:val="001521CC"/>
    <w:rsid w:val="001C6071"/>
    <w:rsid w:val="00273F58"/>
    <w:rsid w:val="00291023"/>
    <w:rsid w:val="00294F5C"/>
    <w:rsid w:val="002F43A5"/>
    <w:rsid w:val="00315E13"/>
    <w:rsid w:val="003A077A"/>
    <w:rsid w:val="003D24C9"/>
    <w:rsid w:val="00427FEC"/>
    <w:rsid w:val="004410A2"/>
    <w:rsid w:val="00471BD7"/>
    <w:rsid w:val="004D1D14"/>
    <w:rsid w:val="004E52BC"/>
    <w:rsid w:val="004F52EA"/>
    <w:rsid w:val="00512401"/>
    <w:rsid w:val="00525323"/>
    <w:rsid w:val="0057196E"/>
    <w:rsid w:val="00573670"/>
    <w:rsid w:val="00574164"/>
    <w:rsid w:val="005C2C2C"/>
    <w:rsid w:val="006063AC"/>
    <w:rsid w:val="00642E4E"/>
    <w:rsid w:val="00667A9A"/>
    <w:rsid w:val="006764EE"/>
    <w:rsid w:val="007373D7"/>
    <w:rsid w:val="00742257"/>
    <w:rsid w:val="00776066"/>
    <w:rsid w:val="0078377A"/>
    <w:rsid w:val="00795FD4"/>
    <w:rsid w:val="007A5600"/>
    <w:rsid w:val="007A63E6"/>
    <w:rsid w:val="00846D5B"/>
    <w:rsid w:val="00875FEB"/>
    <w:rsid w:val="008A14F4"/>
    <w:rsid w:val="008B7891"/>
    <w:rsid w:val="008E45E6"/>
    <w:rsid w:val="009616F5"/>
    <w:rsid w:val="009D796E"/>
    <w:rsid w:val="009E045F"/>
    <w:rsid w:val="009E6A18"/>
    <w:rsid w:val="009F3817"/>
    <w:rsid w:val="009F3BB6"/>
    <w:rsid w:val="009F5A45"/>
    <w:rsid w:val="00A14DBF"/>
    <w:rsid w:val="00A3029D"/>
    <w:rsid w:val="00A36B87"/>
    <w:rsid w:val="00A96007"/>
    <w:rsid w:val="00AA2129"/>
    <w:rsid w:val="00AA5FBD"/>
    <w:rsid w:val="00AA61DE"/>
    <w:rsid w:val="00B34808"/>
    <w:rsid w:val="00B64522"/>
    <w:rsid w:val="00B652B0"/>
    <w:rsid w:val="00B65663"/>
    <w:rsid w:val="00C0585F"/>
    <w:rsid w:val="00C52610"/>
    <w:rsid w:val="00C80B64"/>
    <w:rsid w:val="00C8655D"/>
    <w:rsid w:val="00C86EEF"/>
    <w:rsid w:val="00CA6C51"/>
    <w:rsid w:val="00CC054A"/>
    <w:rsid w:val="00CD5F84"/>
    <w:rsid w:val="00CE3B24"/>
    <w:rsid w:val="00D05B85"/>
    <w:rsid w:val="00D17A72"/>
    <w:rsid w:val="00D31139"/>
    <w:rsid w:val="00D56C35"/>
    <w:rsid w:val="00DD471F"/>
    <w:rsid w:val="00DE7C0A"/>
    <w:rsid w:val="00DE7F26"/>
    <w:rsid w:val="00E2275B"/>
    <w:rsid w:val="00E272D5"/>
    <w:rsid w:val="00E40D3F"/>
    <w:rsid w:val="00EA7B0B"/>
    <w:rsid w:val="00EC4689"/>
    <w:rsid w:val="00ED3A21"/>
    <w:rsid w:val="00F37076"/>
    <w:rsid w:val="00F4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FAC4F"/>
  <w15:chartTrackingRefBased/>
  <w15:docId w15:val="{B1A1A664-E96B-4A1A-B790-4318FFF32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7A9A"/>
    <w:pPr>
      <w:suppressAutoHyphens/>
      <w:spacing w:before="120" w:after="0" w:line="36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autoRedefine/>
    <w:qFormat/>
    <w:rsid w:val="004F52EA"/>
    <w:pPr>
      <w:keepNext/>
      <w:numPr>
        <w:numId w:val="1"/>
      </w:numPr>
      <w:spacing w:before="360" w:after="240"/>
      <w:ind w:left="431" w:right="-284" w:hanging="431"/>
      <w:jc w:val="both"/>
      <w:outlineLvl w:val="0"/>
    </w:pPr>
    <w:rPr>
      <w:b/>
      <w:cap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0679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F52EA"/>
    <w:rPr>
      <w:rFonts w:ascii="Times New Roman" w:eastAsia="Times New Roman" w:hAnsi="Times New Roman" w:cs="Times New Roman"/>
      <w:b/>
      <w:cap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86E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616F5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16F5"/>
    <w:rPr>
      <w:rFonts w:ascii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616F5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16F5"/>
    <w:rPr>
      <w:rFonts w:ascii="Times New Roman" w:hAnsi="Times New Roman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0679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12</Pages>
  <Words>2758</Words>
  <Characters>16551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33</cp:revision>
  <dcterms:created xsi:type="dcterms:W3CDTF">2021-12-16T13:22:00Z</dcterms:created>
  <dcterms:modified xsi:type="dcterms:W3CDTF">2022-05-12T11:31:00Z</dcterms:modified>
</cp:coreProperties>
</file>