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D0DA5" w14:textId="77777777" w:rsidR="00691B83" w:rsidRDefault="00D55559">
      <w:pPr>
        <w:jc w:val="center"/>
      </w:pPr>
      <w:r>
        <w:rPr>
          <w:rFonts w:ascii="Times New Roman" w:hAnsi="Times New Roman"/>
          <w:b/>
          <w:sz w:val="24"/>
        </w:rPr>
        <w:tab/>
      </w:r>
    </w:p>
    <w:p w14:paraId="5BF4E847" w14:textId="77777777" w:rsidR="00B366AC" w:rsidRDefault="00D5555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14:paraId="0ACAB526" w14:textId="2BD9E90C" w:rsidR="00B366AC" w:rsidRDefault="00B366AC" w:rsidP="00B366AC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Załącznik nr 2 do SWZ</w:t>
      </w:r>
    </w:p>
    <w:p w14:paraId="5DA12CB6" w14:textId="5D7FCC3A" w:rsidR="00691B83" w:rsidRDefault="00D55559" w:rsidP="00B366AC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Załącznik nr 1 do umowy </w:t>
      </w:r>
      <w:r w:rsidR="00B366AC">
        <w:rPr>
          <w:rFonts w:ascii="Times New Roman" w:hAnsi="Times New Roman"/>
          <w:b/>
          <w:sz w:val="24"/>
        </w:rPr>
        <w:t>TZ.LI.280.79.2021</w:t>
      </w:r>
    </w:p>
    <w:p w14:paraId="0B3D1DAF" w14:textId="77777777" w:rsidR="00691B83" w:rsidRDefault="00D55559">
      <w:pPr>
        <w:spacing w:before="17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FORMULARZ CENOWO –TECHNICZNY </w:t>
      </w:r>
    </w:p>
    <w:p w14:paraId="42A874B4" w14:textId="77777777" w:rsidR="00691B83" w:rsidRDefault="00D55559">
      <w:pPr>
        <w:ind w:left="-52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A. Oferuję dostawę przedmiotu zamówienia za cenę:</w:t>
      </w:r>
    </w:p>
    <w:p w14:paraId="5391E4B9" w14:textId="77777777" w:rsidR="00691B83" w:rsidRDefault="00691B83">
      <w:pPr>
        <w:tabs>
          <w:tab w:val="left" w:pos="360"/>
        </w:tabs>
        <w:ind w:left="357"/>
        <w:jc w:val="both"/>
        <w:rPr>
          <w:rFonts w:ascii="Times New Roman" w:hAnsi="Times New Roman"/>
          <w:sz w:val="24"/>
        </w:rPr>
      </w:pPr>
    </w:p>
    <w:tbl>
      <w:tblPr>
        <w:tblW w:w="1035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2329"/>
        <w:gridCol w:w="693"/>
        <w:gridCol w:w="506"/>
        <w:gridCol w:w="1124"/>
        <w:gridCol w:w="1246"/>
        <w:gridCol w:w="743"/>
        <w:gridCol w:w="1299"/>
        <w:gridCol w:w="1182"/>
        <w:gridCol w:w="722"/>
      </w:tblGrid>
      <w:tr w:rsidR="00691B83" w14:paraId="3C69A51B" w14:textId="77777777" w:rsidTr="00D55559">
        <w:trPr>
          <w:cantSplit/>
          <w:trHeight w:val="276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0640D" w14:textId="77777777" w:rsidR="00691B83" w:rsidRDefault="00D5555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B0E34" w14:textId="77777777" w:rsidR="00691B83" w:rsidRDefault="00691B8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C2CC5AB" w14:textId="77777777" w:rsidR="00691B83" w:rsidRDefault="00D55559">
            <w:pPr>
              <w:pStyle w:val="Nagwek6"/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Przedmiot zamówienia</w:t>
            </w:r>
          </w:p>
          <w:p w14:paraId="3CA816CD" w14:textId="77777777" w:rsidR="00691B83" w:rsidRDefault="00691B8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F7C9C" w14:textId="77777777" w:rsidR="00691B83" w:rsidRDefault="00D555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Jednostka miary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C20C0" w14:textId="77777777" w:rsidR="00691B83" w:rsidRDefault="00D555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12271" w14:textId="77777777" w:rsidR="00691B83" w:rsidRDefault="00D5555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Cena </w:t>
            </w:r>
          </w:p>
          <w:p w14:paraId="42F327D6" w14:textId="77777777" w:rsidR="00691B83" w:rsidRDefault="00D5555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jednostkowa</w:t>
            </w:r>
          </w:p>
          <w:p w14:paraId="054C0DF8" w14:textId="77777777" w:rsidR="00691B83" w:rsidRDefault="00D555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netto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092AC" w14:textId="77777777" w:rsidR="00691B83" w:rsidRDefault="00691B8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3C7B76F" w14:textId="77777777" w:rsidR="00691B83" w:rsidRDefault="00D555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Wartość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netto</w:t>
            </w:r>
          </w:p>
          <w:p w14:paraId="7FD50D30" w14:textId="77777777" w:rsidR="00691B83" w:rsidRDefault="00D555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6=4x5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67F1E9" w14:textId="77777777" w:rsidR="00691B83" w:rsidRDefault="00D5555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Stawka VAT</w:t>
            </w:r>
          </w:p>
          <w:p w14:paraId="4DB83AB4" w14:textId="77777777" w:rsidR="00691B83" w:rsidRDefault="00D5555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%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0FB09" w14:textId="77777777" w:rsidR="00691B83" w:rsidRDefault="00D5555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Cena </w:t>
            </w:r>
          </w:p>
          <w:p w14:paraId="339B5479" w14:textId="77777777" w:rsidR="00691B83" w:rsidRDefault="00D5555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jednostkowa</w:t>
            </w:r>
          </w:p>
          <w:p w14:paraId="69047561" w14:textId="77777777" w:rsidR="00691B83" w:rsidRDefault="00D5555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brutto</w:t>
            </w:r>
          </w:p>
          <w:p w14:paraId="6B17F8C1" w14:textId="77777777" w:rsidR="00691B83" w:rsidRDefault="00D5555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8=5+7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F013F" w14:textId="77777777" w:rsidR="00691B83" w:rsidRDefault="00D55559">
            <w:pPr>
              <w:snapToGrid w:val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brutto</w:t>
            </w:r>
          </w:p>
          <w:p w14:paraId="01CF8E8E" w14:textId="77777777" w:rsidR="00691B83" w:rsidRDefault="00D55559">
            <w:pPr>
              <w:snapToGrid w:val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9=6+7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C87B3" w14:textId="77777777" w:rsidR="00691B83" w:rsidRDefault="00D555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Uwagi</w:t>
            </w:r>
          </w:p>
          <w:p w14:paraId="1A0E94A8" w14:textId="77777777" w:rsidR="00691B83" w:rsidRDefault="00691B8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91B83" w14:paraId="139E820D" w14:textId="77777777" w:rsidTr="00D55559">
        <w:trPr>
          <w:cantSplit/>
          <w:trHeight w:val="276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FDFDD" w14:textId="77777777" w:rsidR="00691B83" w:rsidRDefault="00691B8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C0011" w14:textId="77777777" w:rsidR="00691B83" w:rsidRDefault="00691B8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93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4B83C3" w14:textId="77777777" w:rsidR="00691B83" w:rsidRDefault="00691B8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AA5C9" w14:textId="77777777" w:rsidR="00691B83" w:rsidRDefault="00691B8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6D09B" w14:textId="77777777" w:rsidR="00691B83" w:rsidRDefault="00691B8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DBA2D" w14:textId="77777777" w:rsidR="00691B83" w:rsidRDefault="00691B8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DC3187" w14:textId="77777777" w:rsidR="00691B83" w:rsidRDefault="00691B8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4F870" w14:textId="77777777" w:rsidR="00691B83" w:rsidRDefault="00691B8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BA5D8" w14:textId="77777777" w:rsidR="00691B83" w:rsidRDefault="00691B8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64269" w14:textId="77777777" w:rsidR="00691B83" w:rsidRDefault="00691B83">
            <w:pPr>
              <w:rPr>
                <w:rFonts w:ascii="Times New Roman" w:hAnsi="Times New Roman"/>
                <w:sz w:val="24"/>
              </w:rPr>
            </w:pPr>
          </w:p>
        </w:tc>
      </w:tr>
      <w:tr w:rsidR="00691B83" w14:paraId="3D5201C3" w14:textId="77777777" w:rsidTr="00D55559">
        <w:trPr>
          <w:cantSplit/>
          <w:trHeight w:val="17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FE046" w14:textId="77777777" w:rsidR="00691B83" w:rsidRDefault="00D5555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BB613" w14:textId="77777777" w:rsidR="00691B83" w:rsidRDefault="00D5555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4A5CF" w14:textId="77777777" w:rsidR="00691B83" w:rsidRDefault="00D5555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9C4CD" w14:textId="77777777" w:rsidR="00691B83" w:rsidRDefault="00D5555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FB4B4" w14:textId="77777777" w:rsidR="00691B83" w:rsidRDefault="00D5555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43B21" w14:textId="77777777" w:rsidR="00691B83" w:rsidRDefault="00D5555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D1D62" w14:textId="77777777" w:rsidR="00691B83" w:rsidRDefault="00D5555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CFB83" w14:textId="77777777" w:rsidR="00691B83" w:rsidRDefault="00D5555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9B24C" w14:textId="77777777" w:rsidR="00691B83" w:rsidRDefault="00D5555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9E20F" w14:textId="77777777" w:rsidR="00691B83" w:rsidRDefault="00D5555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691B83" w14:paraId="716DD97B" w14:textId="77777777" w:rsidTr="00D55559">
        <w:trPr>
          <w:cantSplit/>
          <w:trHeight w:val="496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A650B" w14:textId="77777777" w:rsidR="00691B83" w:rsidRDefault="00AA6B8D">
            <w:pPr>
              <w:snapToGrid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30A40" w14:textId="77777777" w:rsidR="00D55559" w:rsidRPr="00D55559" w:rsidRDefault="00D55559" w:rsidP="00D55559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</w:pPr>
            <w:r w:rsidRPr="00D5555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Nowa wersja systemu planowania radioterapii (</w:t>
            </w:r>
            <w:proofErr w:type="spellStart"/>
            <w:r w:rsidRPr="00D5555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upgrade</w:t>
            </w:r>
            <w:proofErr w:type="spellEnd"/>
            <w:r w:rsidRPr="00D5555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) wraz z</w:t>
            </w:r>
          </w:p>
          <w:p w14:paraId="7ACCF603" w14:textId="77777777" w:rsidR="00691B83" w:rsidRPr="00D55559" w:rsidRDefault="00D55559" w:rsidP="00D55559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</w:pPr>
            <w:r w:rsidRPr="00D5555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niezbędnym sprzętem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6DD35" w14:textId="77777777" w:rsidR="00691B83" w:rsidRDefault="00D55559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10782" w14:textId="77777777" w:rsidR="00691B83" w:rsidRDefault="00D55559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9C41E" w14:textId="77777777" w:rsidR="00691B83" w:rsidRDefault="00691B8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58E16" w14:textId="77777777" w:rsidR="00691B83" w:rsidRDefault="00691B8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8BE01" w14:textId="77777777" w:rsidR="00691B83" w:rsidRDefault="00691B83">
            <w:pPr>
              <w:snapToGri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E084E" w14:textId="77777777" w:rsidR="00691B83" w:rsidRDefault="00691B83">
            <w:pPr>
              <w:snapToGrid w:val="0"/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146F1" w14:textId="77777777" w:rsidR="00691B83" w:rsidRDefault="00691B8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B64A4" w14:textId="77777777" w:rsidR="00691B83" w:rsidRDefault="00691B83">
            <w:pPr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  <w:p w14:paraId="66D0C04B" w14:textId="77777777" w:rsidR="00691B83" w:rsidRDefault="00691B83">
            <w:pPr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691B83" w14:paraId="2CF0A022" w14:textId="77777777" w:rsidTr="00D55559">
        <w:trPr>
          <w:cantSplit/>
          <w:trHeight w:val="496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D3487" w14:textId="77777777" w:rsidR="00691B83" w:rsidRDefault="00AA6B8D">
            <w:pPr>
              <w:snapToGrid w:val="0"/>
              <w:jc w:val="center"/>
            </w:pPr>
            <w:r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4E7CD" w14:textId="77777777" w:rsidR="00D55559" w:rsidRPr="00D55559" w:rsidRDefault="00D55559" w:rsidP="00D55559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</w:pPr>
            <w:r w:rsidRPr="00D5555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Usługi w ramach realizacji Umowy/gwarancji: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5555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Koszt dostawy, zainstalowania sprzętu, serwisowania sprzętu</w:t>
            </w:r>
          </w:p>
          <w:p w14:paraId="160D6543" w14:textId="77777777" w:rsidR="00691B83" w:rsidRPr="00D55559" w:rsidRDefault="00D55559" w:rsidP="00D55559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</w:pPr>
            <w:r w:rsidRPr="00D5555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i przeszkolenia personelu w zakresie obsługi sprzętu  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28140" w14:textId="77777777" w:rsidR="00691B83" w:rsidRDefault="00D5555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539C8" w14:textId="77777777" w:rsidR="00691B83" w:rsidRDefault="00D5555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69D13" w14:textId="77777777" w:rsidR="00691B83" w:rsidRDefault="00691B8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4BF91" w14:textId="77777777" w:rsidR="00691B83" w:rsidRDefault="00691B8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5D319" w14:textId="77777777" w:rsidR="00691B83" w:rsidRDefault="00691B83">
            <w:pPr>
              <w:snapToGri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0537A" w14:textId="77777777" w:rsidR="00691B83" w:rsidRDefault="00691B83">
            <w:pPr>
              <w:snapToGrid w:val="0"/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F50A7" w14:textId="77777777" w:rsidR="00691B83" w:rsidRDefault="00691B8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5EEA2" w14:textId="77777777" w:rsidR="00691B83" w:rsidRDefault="00691B83">
            <w:pPr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691B83" w14:paraId="272A8CB2" w14:textId="77777777" w:rsidTr="00D55559">
        <w:trPr>
          <w:cantSplit/>
          <w:trHeight w:val="173"/>
        </w:trPr>
        <w:tc>
          <w:tcPr>
            <w:tcW w:w="84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C05AE" w14:textId="77777777" w:rsidR="00691B83" w:rsidRDefault="00D55559">
            <w:pPr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Razem cena oferty        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2A911" w14:textId="77777777" w:rsidR="00691B83" w:rsidRDefault="00691B83">
            <w:pPr>
              <w:snapToGrid w:val="0"/>
              <w:jc w:val="center"/>
              <w:rPr>
                <w:rFonts w:ascii="Times New Roman" w:hAnsi="Times New Roman" w:cs="Tahoma"/>
                <w:b/>
                <w:bCs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CEE9B" w14:textId="77777777" w:rsidR="00691B83" w:rsidRDefault="00691B83">
            <w:pPr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</w:tbl>
    <w:p w14:paraId="26646115" w14:textId="77777777" w:rsidR="00691B83" w:rsidRDefault="00691B83">
      <w:pPr>
        <w:ind w:left="360"/>
        <w:jc w:val="both"/>
        <w:rPr>
          <w:rFonts w:ascii="Times New Roman" w:hAnsi="Times New Roman"/>
          <w:sz w:val="24"/>
        </w:rPr>
      </w:pPr>
    </w:p>
    <w:p w14:paraId="6B64453C" w14:textId="3DEC05F5" w:rsidR="00691B83" w:rsidRDefault="00D55559">
      <w:pPr>
        <w:pStyle w:val="Bezodstpw"/>
        <w:tabs>
          <w:tab w:val="left" w:pos="142"/>
        </w:tabs>
        <w:ind w:left="-52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pl-PL" w:bidi="hi-IN"/>
        </w:rPr>
        <w:t>B. Oświadczam, że okres gwarancji na przedmiot zamówienia wynosi……………..miesięcy*.</w:t>
      </w:r>
    </w:p>
    <w:p w14:paraId="00C0FC6C" w14:textId="2D1C24C8" w:rsidR="00691B83" w:rsidRPr="00B366AC" w:rsidRDefault="00D55559">
      <w:pPr>
        <w:pStyle w:val="Bezodstpw"/>
        <w:tabs>
          <w:tab w:val="left" w:pos="142"/>
        </w:tabs>
        <w:ind w:right="-469"/>
        <w:jc w:val="both"/>
        <w:textAlignment w:val="baseline"/>
        <w:rPr>
          <w:rFonts w:ascii="Times New Roman" w:hAnsi="Times New Roman"/>
          <w:i/>
          <w:iCs/>
          <w:color w:val="FF0000"/>
          <w:sz w:val="20"/>
          <w:szCs w:val="20"/>
        </w:rPr>
      </w:pPr>
      <w:r w:rsidRPr="00B366AC">
        <w:rPr>
          <w:rFonts w:ascii="Times New Roman" w:eastAsia="SimSun" w:hAnsi="Times New Roman" w:cs="Arial"/>
          <w:i/>
          <w:iCs/>
          <w:kern w:val="2"/>
          <w:sz w:val="20"/>
          <w:szCs w:val="20"/>
          <w:lang w:eastAsia="zh-CN" w:bidi="hi-IN"/>
        </w:rPr>
        <w:t xml:space="preserve">* </w:t>
      </w:r>
      <w:r w:rsidR="00B366AC" w:rsidRPr="00B366AC">
        <w:rPr>
          <w:rFonts w:ascii="Times New Roman" w:eastAsia="SimSun" w:hAnsi="Times New Roman" w:cs="Arial"/>
          <w:i/>
          <w:iCs/>
          <w:kern w:val="2"/>
          <w:sz w:val="20"/>
          <w:szCs w:val="20"/>
          <w:lang w:eastAsia="zh-CN" w:bidi="hi-IN"/>
        </w:rPr>
        <w:t>minimalny okres gwarancji jaki może zaoferować wykonawca wynosi 24 miesiące</w:t>
      </w:r>
    </w:p>
    <w:p w14:paraId="06A064D3" w14:textId="77777777" w:rsidR="00691B83" w:rsidRDefault="00691B83">
      <w:pPr>
        <w:pStyle w:val="Bezodstpw"/>
        <w:tabs>
          <w:tab w:val="left" w:pos="142"/>
        </w:tabs>
        <w:ind w:right="-469"/>
        <w:jc w:val="both"/>
        <w:textAlignment w:val="baseline"/>
        <w:rPr>
          <w:rFonts w:eastAsia="SimSun" w:cs="Arial"/>
          <w:color w:val="000000"/>
          <w:kern w:val="2"/>
          <w:lang w:eastAsia="zh-CN" w:bidi="hi-IN"/>
        </w:rPr>
      </w:pPr>
    </w:p>
    <w:p w14:paraId="52489EDC" w14:textId="77777777" w:rsidR="00691B83" w:rsidRDefault="00D55559">
      <w:pPr>
        <w:tabs>
          <w:tab w:val="left" w:pos="142"/>
        </w:tabs>
        <w:ind w:left="-527"/>
        <w:jc w:val="both"/>
        <w:rPr>
          <w:rFonts w:ascii="Times New Roman" w:hAnsi="Times New Roman"/>
          <w:sz w:val="24"/>
          <w:u w:val="single"/>
        </w:rPr>
      </w:pPr>
      <w:bookmarkStart w:id="0" w:name="__DdeLink__2538_1085292982"/>
      <w:r>
        <w:rPr>
          <w:rFonts w:ascii="Times New Roman" w:hAnsi="Times New Roman"/>
          <w:sz w:val="24"/>
          <w:u w:val="single"/>
        </w:rPr>
        <w:t>Oferowany przedmiot zamówienia jest zgodny z niżej wskazanymi parametrami:</w:t>
      </w:r>
      <w:bookmarkEnd w:id="0"/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6529"/>
        <w:gridCol w:w="2968"/>
      </w:tblGrid>
      <w:tr w:rsidR="00691B83" w14:paraId="135B9261" w14:textId="77777777" w:rsidTr="002B572C">
        <w:trPr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349B4" w14:textId="77777777" w:rsidR="00691B83" w:rsidRDefault="00D55559">
            <w:pPr>
              <w:snapToGrid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L.p.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F4891" w14:textId="77777777" w:rsidR="00691B83" w:rsidRDefault="00D5555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MINIMALNE WYMAGANE PARAMETRY / FUNKCJE / WARUNKI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FDC23" w14:textId="77777777" w:rsidR="00691B83" w:rsidRDefault="00D5555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Oferowana parametry / </w:t>
            </w:r>
          </w:p>
          <w:p w14:paraId="66ACEF0C" w14:textId="77777777" w:rsidR="00691B83" w:rsidRDefault="00D5555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funkcje / warunki*</w:t>
            </w:r>
          </w:p>
        </w:tc>
      </w:tr>
      <w:tr w:rsidR="00691B83" w14:paraId="0D24CA81" w14:textId="77777777" w:rsidTr="002B57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B3FBF" w14:textId="77777777" w:rsidR="00691B83" w:rsidRDefault="00D55559">
            <w:pPr>
              <w:tabs>
                <w:tab w:val="left" w:pos="175"/>
              </w:tabs>
              <w:snapToGrid w:val="0"/>
              <w:ind w:right="3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9582E" w14:textId="77777777" w:rsidR="00691B83" w:rsidRDefault="00D55559" w:rsidP="00AA6B8D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 w:rsidRPr="00D55559">
              <w:rPr>
                <w:rFonts w:ascii="Times New Roman" w:hAnsi="Times New Roman"/>
                <w:b/>
                <w:bCs/>
                <w:sz w:val="24"/>
              </w:rPr>
              <w:t>Nowa wersja systemu planowania radioterapii (</w:t>
            </w:r>
            <w:proofErr w:type="spellStart"/>
            <w:r w:rsidRPr="00D55559">
              <w:rPr>
                <w:rFonts w:ascii="Times New Roman" w:hAnsi="Times New Roman"/>
                <w:b/>
                <w:bCs/>
                <w:sz w:val="24"/>
              </w:rPr>
              <w:t>upgrade</w:t>
            </w:r>
            <w:proofErr w:type="spellEnd"/>
            <w:r w:rsidRPr="00D55559">
              <w:rPr>
                <w:rFonts w:ascii="Times New Roman" w:hAnsi="Times New Roman"/>
                <w:b/>
                <w:bCs/>
                <w:sz w:val="24"/>
              </w:rPr>
              <w:t>) wraz z</w:t>
            </w:r>
            <w:r w:rsidR="00AA6B8D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D55559">
              <w:rPr>
                <w:rFonts w:ascii="Times New Roman" w:hAnsi="Times New Roman"/>
                <w:b/>
                <w:bCs/>
                <w:sz w:val="24"/>
              </w:rPr>
              <w:t>niezbędnym sprzętem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8B5BA" w14:textId="77777777" w:rsidR="00691B83" w:rsidRDefault="00691B83">
            <w:pPr>
              <w:snapToGrid w:val="0"/>
              <w:rPr>
                <w:rFonts w:ascii="Times New Roman" w:hAnsi="Times New Roman"/>
                <w:color w:val="00A933"/>
                <w:sz w:val="18"/>
                <w:szCs w:val="18"/>
              </w:rPr>
            </w:pPr>
          </w:p>
          <w:p w14:paraId="76C07250" w14:textId="77777777" w:rsidR="00691B83" w:rsidRDefault="00D55559">
            <w:pPr>
              <w:snapToGrid w:val="0"/>
              <w:rPr>
                <w:color w:val="00A933"/>
              </w:rPr>
            </w:pPr>
            <w:r>
              <w:rPr>
                <w:rFonts w:ascii="Times New Roman" w:hAnsi="Times New Roman"/>
                <w:color w:val="00A933"/>
                <w:sz w:val="18"/>
                <w:szCs w:val="18"/>
              </w:rPr>
              <w:t>Typ ……………………....</w:t>
            </w:r>
          </w:p>
          <w:p w14:paraId="4FEE6DC8" w14:textId="77777777" w:rsidR="00691B83" w:rsidRDefault="00691B83">
            <w:pPr>
              <w:snapToGrid w:val="0"/>
              <w:rPr>
                <w:rFonts w:ascii="Times New Roman" w:hAnsi="Times New Roman"/>
                <w:color w:val="00A933"/>
                <w:sz w:val="18"/>
                <w:szCs w:val="18"/>
              </w:rPr>
            </w:pPr>
          </w:p>
          <w:p w14:paraId="08F68247" w14:textId="77777777" w:rsidR="00691B83" w:rsidRDefault="00D55559">
            <w:pPr>
              <w:snapToGrid w:val="0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Times New Roman" w:hAnsi="Times New Roman"/>
                <w:color w:val="00A933"/>
                <w:sz w:val="18"/>
                <w:szCs w:val="18"/>
              </w:rPr>
              <w:t>Producent…………………..</w:t>
            </w:r>
          </w:p>
          <w:p w14:paraId="73F0917E" w14:textId="77777777" w:rsidR="00691B83" w:rsidRDefault="00691B83">
            <w:pPr>
              <w:snapToGrid w:val="0"/>
              <w:rPr>
                <w:rFonts w:ascii="Times New Roman" w:hAnsi="Times New Roman"/>
                <w:color w:val="00A933"/>
                <w:sz w:val="18"/>
                <w:szCs w:val="18"/>
              </w:rPr>
            </w:pPr>
          </w:p>
          <w:p w14:paraId="6F0A7559" w14:textId="77777777" w:rsidR="00691B83" w:rsidRDefault="00D55559">
            <w:pPr>
              <w:snapToGrid w:val="0"/>
              <w:rPr>
                <w:rFonts w:ascii="Times New Roman" w:hAnsi="Times New Roman"/>
                <w:color w:val="00A933"/>
                <w:sz w:val="18"/>
                <w:szCs w:val="18"/>
              </w:rPr>
            </w:pPr>
            <w:r>
              <w:rPr>
                <w:rFonts w:ascii="Times New Roman" w:hAnsi="Times New Roman"/>
                <w:color w:val="00A933"/>
                <w:sz w:val="18"/>
                <w:szCs w:val="18"/>
              </w:rPr>
              <w:t>Kraj pochodzenia ………..</w:t>
            </w:r>
          </w:p>
          <w:p w14:paraId="7F44CACB" w14:textId="77777777" w:rsidR="00691B83" w:rsidRDefault="00691B8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B8D" w14:paraId="52A419E9" w14:textId="77777777" w:rsidTr="002B572C"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97AF9" w14:textId="77777777" w:rsidR="00AA6B8D" w:rsidRDefault="00AA6B8D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Rok produkcji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F8091" w14:textId="77777777" w:rsidR="00AA6B8D" w:rsidRDefault="00AA6B8D" w:rsidP="00D55559">
            <w:pPr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t>2021/2022</w:t>
            </w:r>
          </w:p>
        </w:tc>
      </w:tr>
      <w:tr w:rsidR="00AA6B8D" w14:paraId="4217E4A4" w14:textId="77777777" w:rsidTr="002B572C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2D44F" w14:textId="77777777" w:rsidR="00AA6B8D" w:rsidRDefault="00AA6B8D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Sprzęt posiada oznakowanie CE</w:t>
            </w:r>
          </w:p>
        </w:tc>
      </w:tr>
      <w:tr w:rsidR="00F76939" w14:paraId="1F151E5D" w14:textId="77777777" w:rsidTr="002B57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B50DB" w14:textId="77777777" w:rsidR="00F76939" w:rsidRPr="00445120" w:rsidRDefault="00F76939" w:rsidP="00AA6B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99CE7" w14:textId="77777777" w:rsidR="00F76939" w:rsidRPr="00445120" w:rsidRDefault="00F76939" w:rsidP="00AA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Unowocześnienie (</w:t>
            </w:r>
            <w:proofErr w:type="spellStart"/>
            <w:r w:rsidRPr="004451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upgrade</w:t>
            </w:r>
            <w:proofErr w:type="spellEnd"/>
            <w:r w:rsidRPr="004451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) oprogramowania wykorzystywanego Systemu Planowania Leczenia </w:t>
            </w:r>
            <w:proofErr w:type="spellStart"/>
            <w:r w:rsidRPr="004451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Eclipse</w:t>
            </w:r>
            <w:proofErr w:type="spellEnd"/>
            <w:r w:rsidRPr="004451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firmy </w:t>
            </w:r>
            <w:proofErr w:type="spellStart"/>
            <w:r w:rsidRPr="004451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Varian</w:t>
            </w:r>
            <w:proofErr w:type="spellEnd"/>
            <w:r w:rsidRPr="004451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451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Medical</w:t>
            </w:r>
            <w:proofErr w:type="spellEnd"/>
            <w:r w:rsidRPr="004451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Systems (VMS) do najnowszej wersji</w:t>
            </w:r>
          </w:p>
        </w:tc>
      </w:tr>
      <w:tr w:rsidR="00F76939" w14:paraId="44A6CDA9" w14:textId="77777777" w:rsidTr="002B57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AA477" w14:textId="77777777" w:rsidR="00F76939" w:rsidRPr="00445120" w:rsidRDefault="00F76939" w:rsidP="00AA6B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1.1.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41211" w14:textId="77777777" w:rsidR="00F76939" w:rsidRPr="00445120" w:rsidRDefault="00F76939" w:rsidP="00AA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Wymagane cechy systemu po dokonaniu unowocześnienia:</w:t>
            </w:r>
          </w:p>
          <w:p w14:paraId="18F5EFCB" w14:textId="77777777" w:rsidR="00F76939" w:rsidRPr="00445120" w:rsidRDefault="00F76939" w:rsidP="00F7693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Pełna obsługa polskiej strony kodowej pozwalająca na użytkowanie w systemie wszystkich polskich znaków językowych we wszystkich polach, np. imię i nazwisko pacjenta, identyfikatory pacjenta, kursy leczenia, pola leczenia, obrazy typu DRR, a także w nazwach i komentarzach wszystkich tych obiektów</w:t>
            </w:r>
          </w:p>
          <w:p w14:paraId="2DFCFB84" w14:textId="77777777" w:rsidR="00F76939" w:rsidRPr="00445120" w:rsidRDefault="00F76939" w:rsidP="00F7693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Pulpit użytkownika </w:t>
            </w:r>
            <w:r w:rsidRPr="00445120">
              <w:rPr>
                <w:rFonts w:ascii="Times New Roman" w:hAnsi="Times New Roman" w:cs="Times New Roman"/>
                <w:color w:val="000000" w:themeColor="text1"/>
              </w:rPr>
              <w:t>– indywidualnie personalizowany pulpit dla każdego użytkownika systemu pozwalający w szybki i przejrzysty sposób wyświetlić np. najistotniejsze zadania lub spotkania do realizacji zarówno dla poszczególnego użytkownika, jak i pacjenta czy aparatu</w:t>
            </w:r>
          </w:p>
          <w:p w14:paraId="5D49B657" w14:textId="77777777" w:rsidR="00F76939" w:rsidRPr="00445120" w:rsidRDefault="00F76939" w:rsidP="00F7693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Konturowanie struktur anatomicznych pozwalające na efektywne zastosowanie rozszerzonych narzędzi do konturowania, w tym konturowanie umożliwiające modelowanie stołu terapeutycznego oraz akcesoriów unieruchamiających pacjenta, konturowanie oparte na bazie obrazów PET z automatycznym uwzględnianiem informacji o wartościach SUV, funkcjonalność konturowania w oparciu o badania 4D CT lub 4D CBCT (wiele serii obrazowych wykonanych dla różnych faz cyklu oddechowego pacjenta) pozwalające na tworzenie obiektów typu </w:t>
            </w:r>
            <w:r w:rsidRPr="0044512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Maximum </w:t>
            </w:r>
            <w:proofErr w:type="spellStart"/>
            <w:r w:rsidRPr="0044512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Intensity</w:t>
            </w:r>
            <w:proofErr w:type="spellEnd"/>
            <w:r w:rsidRPr="0044512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44512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Projection</w:t>
            </w:r>
            <w:proofErr w:type="spellEnd"/>
            <w:r w:rsidRPr="0044512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, Minimum </w:t>
            </w:r>
            <w:proofErr w:type="spellStart"/>
            <w:r w:rsidRPr="0044512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Intensity</w:t>
            </w:r>
            <w:proofErr w:type="spellEnd"/>
            <w:r w:rsidRPr="0044512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44512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Projection</w:t>
            </w:r>
            <w:proofErr w:type="spellEnd"/>
            <w:r w:rsidRPr="0044512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44512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Average</w:t>
            </w:r>
            <w:proofErr w:type="spellEnd"/>
            <w:r w:rsidRPr="0044512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44512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Intensity</w:t>
            </w:r>
            <w:proofErr w:type="spellEnd"/>
            <w:r w:rsidRPr="0044512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44512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Projection</w:t>
            </w:r>
            <w:proofErr w:type="spellEnd"/>
            <w:r w:rsidRPr="0044512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oraz deformacyjnej propagacji obrysów struktur na inne serie obrazowe z badania 4D CT; wizualizacja statystyki dla krzywej funkcji oddechowej zaimportowanej z badania CT lub zarchiwizowanej podczas napromieniania na wykorzystywanych przez Zamawiającego akceleratorach 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TrueBeam</w:t>
            </w:r>
            <w:proofErr w:type="spellEnd"/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 firmy VMS</w:t>
            </w:r>
          </w:p>
          <w:p w14:paraId="6FE51B11" w14:textId="77777777" w:rsidR="00F76939" w:rsidRPr="00445120" w:rsidRDefault="00F76939" w:rsidP="00F7693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narzędzie do realizacji elastycznej, deformacyjnej fuzji obrazów różnych modalności CT-CT, CT-NMR, CT-PET, CT-CBCT</w:t>
            </w:r>
          </w:p>
          <w:p w14:paraId="434C57DB" w14:textId="77777777" w:rsidR="00F76939" w:rsidRPr="00445120" w:rsidRDefault="00F76939" w:rsidP="00F7693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fuzja skanów poprzecznych i wzdłużnych</w:t>
            </w:r>
          </w:p>
          <w:p w14:paraId="62D34FFD" w14:textId="77777777" w:rsidR="00F76939" w:rsidRPr="00445120" w:rsidRDefault="00F76939" w:rsidP="00F7693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propagacja (przenoszenie) okonturowanych struktur pomiędzy poddanymi fuzji zestawami obrazów</w:t>
            </w:r>
          </w:p>
          <w:p w14:paraId="5FB0782C" w14:textId="77777777" w:rsidR="00F76939" w:rsidRPr="00445120" w:rsidRDefault="00F76939" w:rsidP="00F7693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narzędzie do oceny planów leczenia pod względem ich wrażliwości na ewentualny ruch pacjenta (zmiana położenia 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izocentrum</w:t>
            </w:r>
            <w:proofErr w:type="spellEnd"/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) oraz niedokładności na skanach CT. Po obliczeniu rozkładu dawek musi istnieć możliwość wprowadzenia wartości przesunięcia 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izocentrum</w:t>
            </w:r>
            <w:proofErr w:type="spellEnd"/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 lub procentowego błędu kalibracji CT, a następnie obli</w:t>
            </w:r>
            <w:r w:rsidRPr="00445120">
              <w:rPr>
                <w:rFonts w:ascii="Times New Roman" w:hAnsi="Times New Roman" w:cs="Times New Roman"/>
                <w:color w:val="000000" w:themeColor="text1"/>
              </w:rPr>
              <w:lastRenderedPageBreak/>
              <w:t>czenia dawki „niepewności” i jej porównania z dawkami nominalnymi oraz wizualizacja „niepewności” za pomocą histogramów DVH</w:t>
            </w:r>
          </w:p>
          <w:p w14:paraId="0FFF12F8" w14:textId="77777777" w:rsidR="00F76939" w:rsidRPr="00445120" w:rsidRDefault="00F76939" w:rsidP="00F7693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rozbudowany moduł lekarskich zleceń radioterapeutycznych o możliwość dokładnego definiowania założeń co do dawek zarówno dla 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targetów</w:t>
            </w:r>
            <w:proofErr w:type="spellEnd"/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 terapeutycznych jak i dla wielu narządów krytycznych</w:t>
            </w:r>
          </w:p>
          <w:p w14:paraId="4787658C" w14:textId="77777777" w:rsidR="00F76939" w:rsidRPr="00445120" w:rsidRDefault="00F76939" w:rsidP="00F7693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rozbudowany moduł przygotowania do napromieniania o możliwość dodawania i generowania nowych obrazów DRR, bezpośrednią walidację poprawności przygotowania planu leczenia do realizacji na aparacie wraz z hiperłączami do odpowiednich aplikacji pozwalających na ostateczne zatwierdzenie planu leczenia</w:t>
            </w:r>
          </w:p>
          <w:p w14:paraId="304F8134" w14:textId="77777777" w:rsidR="00F76939" w:rsidRPr="00445120" w:rsidRDefault="00F76939" w:rsidP="00F7693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rozbudowanie opcji optymalizacji dynamicznych planów leczenia IMRT oraz VMAT o automatyczne uwzględnianie obliczania dawki w objętości terapeutycznej wraz z kontynuacją optymalizacji planu leczenia</w:t>
            </w:r>
          </w:p>
          <w:p w14:paraId="751C7D75" w14:textId="77777777" w:rsidR="00F76939" w:rsidRPr="00445120" w:rsidRDefault="00F76939" w:rsidP="00F76939">
            <w:pPr>
              <w:numPr>
                <w:ilvl w:val="0"/>
                <w:numId w:val="3"/>
              </w:numPr>
              <w:contextualSpacing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możliwość wykorzystania mocy obliczeniowej procesorów GPU dla posiadanych opcji: IMRT, </w:t>
            </w:r>
            <w:proofErr w:type="spellStart"/>
            <w:r w:rsidRPr="00445120">
              <w:rPr>
                <w:rFonts w:ascii="Times New Roman" w:eastAsia="Times New Roman" w:hAnsi="Times New Roman" w:cs="Times New Roman"/>
                <w:color w:val="000000" w:themeColor="text1"/>
              </w:rPr>
              <w:t>RapidArc</w:t>
            </w:r>
            <w:proofErr w:type="spellEnd"/>
            <w:r w:rsidRPr="004451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oraz </w:t>
            </w:r>
            <w:proofErr w:type="spellStart"/>
            <w:r w:rsidRPr="00445120">
              <w:rPr>
                <w:rFonts w:ascii="Times New Roman" w:eastAsia="Times New Roman" w:hAnsi="Times New Roman" w:cs="Times New Roman"/>
                <w:color w:val="000000" w:themeColor="text1"/>
              </w:rPr>
              <w:t>AcurosXB</w:t>
            </w:r>
            <w:proofErr w:type="spellEnd"/>
          </w:p>
          <w:p w14:paraId="6105DBFA" w14:textId="77777777" w:rsidR="00F76939" w:rsidRPr="00445120" w:rsidRDefault="00F76939" w:rsidP="00F76939">
            <w:pPr>
              <w:numPr>
                <w:ilvl w:val="0"/>
                <w:numId w:val="3"/>
              </w:numPr>
              <w:contextualSpacing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obsługa optymalizacji planu </w:t>
            </w:r>
            <w:proofErr w:type="spellStart"/>
            <w:r w:rsidRPr="00445120">
              <w:rPr>
                <w:rFonts w:ascii="Times New Roman" w:eastAsia="Times New Roman" w:hAnsi="Times New Roman" w:cs="Times New Roman"/>
                <w:color w:val="000000" w:themeColor="text1"/>
              </w:rPr>
              <w:t>wieloenergetycznego</w:t>
            </w:r>
            <w:proofErr w:type="spellEnd"/>
            <w:r w:rsidRPr="004451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który jest dowolną kombinacją wiązek fotonowych o różnych energiach w polach planu typu IMRT lub </w:t>
            </w:r>
            <w:proofErr w:type="spellStart"/>
            <w:r w:rsidRPr="00445120">
              <w:rPr>
                <w:rFonts w:ascii="Times New Roman" w:eastAsia="Times New Roman" w:hAnsi="Times New Roman" w:cs="Times New Roman"/>
                <w:color w:val="000000" w:themeColor="text1"/>
              </w:rPr>
              <w:t>RapidArc</w:t>
            </w:r>
            <w:proofErr w:type="spellEnd"/>
          </w:p>
          <w:p w14:paraId="38D4E402" w14:textId="77777777" w:rsidR="00F76939" w:rsidRPr="00445120" w:rsidRDefault="00F76939" w:rsidP="00F7693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obsługa i integracja akceleratorów firmy VMS typu 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TrueBeam</w:t>
            </w:r>
            <w:proofErr w:type="spellEnd"/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 oraz firmy Siemens typu 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Oncor</w:t>
            </w:r>
            <w:proofErr w:type="spellEnd"/>
            <w:r w:rsidRPr="00445120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Artiste</w:t>
            </w:r>
            <w:proofErr w:type="spellEnd"/>
          </w:p>
          <w:p w14:paraId="5A3BE090" w14:textId="77777777" w:rsidR="00F76939" w:rsidRPr="00445120" w:rsidRDefault="00F76939" w:rsidP="00F7693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integracja uprawnień użytkowników systemu z kontrolerem domeny Windows Active Directory</w:t>
            </w:r>
          </w:p>
          <w:p w14:paraId="4622EB39" w14:textId="77777777" w:rsidR="00F76939" w:rsidRPr="00445120" w:rsidRDefault="00F76939" w:rsidP="00F7693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szyfrowana komunikacja pomiędzy serwerem bazy danych a oprogramowaniem uruchomionym na stacji roboczej systemu </w:t>
            </w:r>
          </w:p>
        </w:tc>
      </w:tr>
      <w:tr w:rsidR="00F76939" w14:paraId="6FD6B8B5" w14:textId="77777777" w:rsidTr="002B57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CB212" w14:textId="77777777" w:rsidR="00F76939" w:rsidRPr="00445120" w:rsidRDefault="00F76939" w:rsidP="00AA6B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lastRenderedPageBreak/>
              <w:t>1.2.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8490A" w14:textId="77777777" w:rsidR="00F76939" w:rsidRPr="00445120" w:rsidRDefault="00F76939" w:rsidP="00AA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Uaktualnienie oprogramowania wykorzystywanego systemu planowania leczenia 3D 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Eclipse</w:t>
            </w:r>
            <w:proofErr w:type="spellEnd"/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 Planner Desktop firmy VMS obejmującego algorytmy obliczania rozkładu dawki oraz wszystkie aktywne moduły dla 4 jednoczasowych użytkowników</w:t>
            </w:r>
          </w:p>
        </w:tc>
      </w:tr>
      <w:tr w:rsidR="00F76939" w14:paraId="6EB0F582" w14:textId="77777777" w:rsidTr="002B57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8DAD0" w14:textId="77777777" w:rsidR="00F76939" w:rsidRPr="00445120" w:rsidRDefault="00F76939" w:rsidP="00AA6B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1.3.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F1623" w14:textId="77777777" w:rsidR="00F76939" w:rsidRPr="00445120" w:rsidRDefault="00F76939" w:rsidP="00AA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Uaktualnienie oprogramowania wykorzystywanego systemu planowania leczenia 3D 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Eclipse</w:t>
            </w:r>
            <w:proofErr w:type="spellEnd"/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Physicians</w:t>
            </w:r>
            <w:proofErr w:type="spellEnd"/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 Desktop firmy VMS dla 6 jednoczasowych użytkowników systemu</w:t>
            </w:r>
          </w:p>
        </w:tc>
      </w:tr>
      <w:tr w:rsidR="00F76939" w14:paraId="69D852D2" w14:textId="77777777" w:rsidTr="002B57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7704B" w14:textId="77777777" w:rsidR="00F76939" w:rsidRPr="00445120" w:rsidRDefault="00F76939" w:rsidP="00AA6B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1.4.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BAEA9" w14:textId="77777777" w:rsidR="00F76939" w:rsidRPr="00445120" w:rsidRDefault="00F76939" w:rsidP="00AA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Uaktualnienie oprogramowania wykorzystywanego systemu planowania leczenia 3D 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Eclipse</w:t>
            </w:r>
            <w:proofErr w:type="spellEnd"/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BrachyVision</w:t>
            </w:r>
            <w:proofErr w:type="spellEnd"/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 firmy VMS dla 3 użytkownika systemu</w:t>
            </w:r>
          </w:p>
        </w:tc>
      </w:tr>
      <w:tr w:rsidR="00F76939" w14:paraId="3D196F5E" w14:textId="77777777" w:rsidTr="002B57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E42CB" w14:textId="77777777" w:rsidR="00F76939" w:rsidRPr="00445120" w:rsidRDefault="00F76939" w:rsidP="00AA6B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1.5.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52CEE" w14:textId="77777777" w:rsidR="00F76939" w:rsidRPr="00445120" w:rsidRDefault="00F76939" w:rsidP="00AA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Uaktualnienie wykorzystywanego modułu oprogramowania systemu 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Eclipse</w:t>
            </w:r>
            <w:proofErr w:type="spellEnd"/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 Interactive IMRT Planning 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Sliding</w:t>
            </w:r>
            <w:proofErr w:type="spellEnd"/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Window</w:t>
            </w:r>
            <w:proofErr w:type="spellEnd"/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 firmy VMS dla 3 jednoczasowych użytkowników</w:t>
            </w:r>
          </w:p>
        </w:tc>
      </w:tr>
      <w:tr w:rsidR="00F76939" w14:paraId="66011747" w14:textId="77777777" w:rsidTr="002B57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238E0" w14:textId="77777777" w:rsidR="00F76939" w:rsidRPr="00445120" w:rsidRDefault="00F76939" w:rsidP="00AA6B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1.6.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CA70C" w14:textId="77777777" w:rsidR="00F76939" w:rsidRPr="00445120" w:rsidRDefault="00F76939" w:rsidP="00AA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Uaktualnienie wykorzystywanego oprogramowania systemu 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Eclipse</w:t>
            </w:r>
            <w:proofErr w:type="spellEnd"/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 Interactive VMAT Planning do planowania radioterapii w technice 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RapidArc</w:t>
            </w:r>
            <w:proofErr w:type="spellEnd"/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 firmy VMS dla 2 jednoczasowych użytkowników</w:t>
            </w:r>
          </w:p>
        </w:tc>
      </w:tr>
      <w:tr w:rsidR="00F76939" w14:paraId="3AB0F528" w14:textId="77777777" w:rsidTr="002B57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6E72B" w14:textId="77777777" w:rsidR="00F76939" w:rsidRPr="00445120" w:rsidRDefault="00F76939" w:rsidP="00AA6B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1.7.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F4E6F" w14:textId="77777777" w:rsidR="00F76939" w:rsidRPr="00445120" w:rsidRDefault="00F76939" w:rsidP="00AA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Uaktualnienie wykorzystywanego modułu oprogramowania systemu 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Eclipse</w:t>
            </w:r>
            <w:proofErr w:type="spellEnd"/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 4D 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Capabilities</w:t>
            </w:r>
            <w:proofErr w:type="spellEnd"/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 firmy VMS dla wszystkich stacji roboczych TPS 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Eclipse</w:t>
            </w:r>
            <w:proofErr w:type="spellEnd"/>
          </w:p>
        </w:tc>
      </w:tr>
      <w:tr w:rsidR="00F76939" w14:paraId="313348E5" w14:textId="77777777" w:rsidTr="002B57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9CAAF" w14:textId="77777777" w:rsidR="00F76939" w:rsidRPr="00445120" w:rsidRDefault="00F76939" w:rsidP="00AA6B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1.8.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17C88" w14:textId="77777777" w:rsidR="00F76939" w:rsidRPr="00445120" w:rsidRDefault="00F76939" w:rsidP="00AA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Oprogramowanie modułu umożliwiającego krzywoliniową/deformacyjną fuzję obrazów dla wszystkich stacji roboczych systemu 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Eclipse</w:t>
            </w:r>
            <w:proofErr w:type="spellEnd"/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 firmy VMS</w:t>
            </w:r>
          </w:p>
        </w:tc>
      </w:tr>
      <w:tr w:rsidR="00F76939" w14:paraId="5152BC4A" w14:textId="77777777" w:rsidTr="002B57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04AB7" w14:textId="77777777" w:rsidR="00F76939" w:rsidRPr="00445120" w:rsidRDefault="00F76939" w:rsidP="00AA6B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1.9.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F19EF" w14:textId="77777777" w:rsidR="00F76939" w:rsidRPr="00445120" w:rsidRDefault="00F76939" w:rsidP="00AA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Uaktualnienie wykorzystywanego modułu oprogramowania systemu Portal 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Dosimetry</w:t>
            </w:r>
            <w:proofErr w:type="spellEnd"/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 firmy VMS dla 2 jednoczasowych użytkowników</w:t>
            </w:r>
          </w:p>
        </w:tc>
      </w:tr>
      <w:tr w:rsidR="00F76939" w14:paraId="6F3BB0CB" w14:textId="77777777" w:rsidTr="002B57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E543F" w14:textId="77777777" w:rsidR="00F76939" w:rsidRPr="00445120" w:rsidRDefault="00F76939" w:rsidP="00AA6B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1.10.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2EE45" w14:textId="77777777" w:rsidR="00F76939" w:rsidRPr="00445120" w:rsidRDefault="00F76939" w:rsidP="00AA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Uaktualnienie oprogramowania algorytmów optymalizujących dla planów dynamicznych IMRT i VMAT oraz obliczeniowych dla wiązek fotonowych AAA, 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AcurosXB</w:t>
            </w:r>
            <w:proofErr w:type="spellEnd"/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 i elektronowych 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eMC</w:t>
            </w:r>
            <w:proofErr w:type="spellEnd"/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76939" w14:paraId="4153D8A3" w14:textId="77777777" w:rsidTr="002B57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A52E1" w14:textId="77777777" w:rsidR="00F76939" w:rsidRPr="00AA6B8D" w:rsidRDefault="00F76939" w:rsidP="00AA6B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6B8D">
              <w:rPr>
                <w:rFonts w:ascii="Times New Roman" w:hAnsi="Times New Roman" w:cs="Times New Roman"/>
                <w:color w:val="000000" w:themeColor="text1"/>
              </w:rPr>
              <w:t>1.11.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A7AC0" w14:textId="77777777" w:rsidR="00F76939" w:rsidRPr="00445120" w:rsidRDefault="00F76939" w:rsidP="00AA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Możliwość optymalizacji dynamicznych planów leczenia IMRT i VMAT z wykorzystaniem mocy obliczeniowej procesorów graficznych GPU</w:t>
            </w:r>
          </w:p>
        </w:tc>
      </w:tr>
      <w:tr w:rsidR="00F76939" w14:paraId="1ABF9808" w14:textId="77777777" w:rsidTr="002B57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ACA98" w14:textId="77777777" w:rsidR="00F76939" w:rsidRPr="00AA6B8D" w:rsidRDefault="00F76939" w:rsidP="00AA6B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6B8D">
              <w:rPr>
                <w:rFonts w:ascii="Times New Roman" w:hAnsi="Times New Roman" w:cs="Times New Roman"/>
                <w:color w:val="000000" w:themeColor="text1"/>
              </w:rPr>
              <w:t>1.12.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AF9D7" w14:textId="77777777" w:rsidR="00F76939" w:rsidRPr="00445120" w:rsidRDefault="00F76939" w:rsidP="00AA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</w:rPr>
              <w:t xml:space="preserve">Możliwość obliczania rozkładu dawki za pomocą posiadanego algorytmu </w:t>
            </w:r>
            <w:proofErr w:type="spellStart"/>
            <w:r w:rsidRPr="00445120">
              <w:rPr>
                <w:rFonts w:ascii="Times New Roman" w:hAnsi="Times New Roman" w:cs="Times New Roman"/>
              </w:rPr>
              <w:t>AcurosXB</w:t>
            </w:r>
            <w:proofErr w:type="spellEnd"/>
            <w:r w:rsidRPr="00445120">
              <w:rPr>
                <w:rFonts w:ascii="Times New Roman" w:hAnsi="Times New Roman" w:cs="Times New Roman"/>
              </w:rPr>
              <w:t xml:space="preserve"> z wykorzystaniem mocy obliczeniowej procesorów graficznych GPU</w:t>
            </w:r>
          </w:p>
        </w:tc>
      </w:tr>
      <w:tr w:rsidR="00AA6B8D" w14:paraId="7EC55C8E" w14:textId="77777777" w:rsidTr="002B57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8261A" w14:textId="77777777" w:rsidR="00AA6B8D" w:rsidRPr="00AA6B8D" w:rsidRDefault="00AA6B8D" w:rsidP="00AA6B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1.13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A79F4" w14:textId="77777777" w:rsidR="00AA6B8D" w:rsidRPr="003C2C94" w:rsidRDefault="00AA6B8D" w:rsidP="00AA6B8D">
            <w:r w:rsidRPr="003C2C94">
              <w:t xml:space="preserve">Rozbudowa posiadanego oprogramowania systemu </w:t>
            </w:r>
            <w:proofErr w:type="spellStart"/>
            <w:r w:rsidRPr="003C2C94">
              <w:t>Eclipse</w:t>
            </w:r>
            <w:proofErr w:type="spellEnd"/>
            <w:r w:rsidRPr="003C2C94">
              <w:t xml:space="preserve"> Interactive VMAT Planning do planowania radioterapii w technice </w:t>
            </w:r>
            <w:proofErr w:type="spellStart"/>
            <w:r w:rsidRPr="003C2C94">
              <w:t>RapidArc</w:t>
            </w:r>
            <w:proofErr w:type="spellEnd"/>
            <w:r w:rsidRPr="003C2C94">
              <w:t xml:space="preserve"> firmy VMS dla jednej stacji planowania leczenia </w:t>
            </w:r>
            <w:proofErr w:type="spellStart"/>
            <w:r w:rsidRPr="003C2C94">
              <w:t>Eclipse</w:t>
            </w:r>
            <w:proofErr w:type="spellEnd"/>
            <w:r w:rsidRPr="003C2C94">
              <w:t xml:space="preserve"> posiadanej przez Zamawiającego</w:t>
            </w:r>
          </w:p>
        </w:tc>
      </w:tr>
      <w:tr w:rsidR="00AA6B8D" w14:paraId="7863D909" w14:textId="77777777" w:rsidTr="002B57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CA865" w14:textId="77777777" w:rsidR="00AA6B8D" w:rsidRPr="00AA6B8D" w:rsidRDefault="00AA6B8D" w:rsidP="00AA6B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1.14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531C9" w14:textId="77777777" w:rsidR="00AA6B8D" w:rsidRDefault="00AA6B8D" w:rsidP="00AA6B8D">
            <w:r w:rsidRPr="003C2C94">
              <w:t xml:space="preserve">Oferowane oprogramowanie stanowi integralny element posiadanego systemu planowania leczenia </w:t>
            </w:r>
            <w:proofErr w:type="spellStart"/>
            <w:r w:rsidRPr="003C2C94">
              <w:t>Eclipse</w:t>
            </w:r>
            <w:proofErr w:type="spellEnd"/>
          </w:p>
        </w:tc>
      </w:tr>
      <w:tr w:rsidR="00F76939" w14:paraId="41A17691" w14:textId="77777777" w:rsidTr="002B57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A3990" w14:textId="77777777" w:rsidR="00F76939" w:rsidRPr="00445120" w:rsidRDefault="00F76939" w:rsidP="00AA6B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F1691" w14:textId="77777777" w:rsidR="00F76939" w:rsidRPr="00445120" w:rsidRDefault="00F76939" w:rsidP="00AA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Unowocześnienie (</w:t>
            </w:r>
            <w:proofErr w:type="spellStart"/>
            <w:r w:rsidRPr="004451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upgrade</w:t>
            </w:r>
            <w:proofErr w:type="spellEnd"/>
            <w:r w:rsidRPr="004451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) posiadanego zintegrowanego systemu weryfikacji i zarządzania Aria, firmy </w:t>
            </w:r>
            <w:proofErr w:type="spellStart"/>
            <w:r w:rsidRPr="004451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Varian</w:t>
            </w:r>
            <w:proofErr w:type="spellEnd"/>
            <w:r w:rsidRPr="004451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451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Medical</w:t>
            </w:r>
            <w:proofErr w:type="spellEnd"/>
            <w:r w:rsidRPr="004451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Systems (VMS), do wersji wymaganej przez system planowania leczenia oferowany w pkt 1</w:t>
            </w:r>
          </w:p>
        </w:tc>
      </w:tr>
      <w:tr w:rsidR="00F76939" w14:paraId="193C9451" w14:textId="77777777" w:rsidTr="002B57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E73DC" w14:textId="77777777" w:rsidR="00F76939" w:rsidRPr="00445120" w:rsidRDefault="00F76939" w:rsidP="00AA6B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2.1.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FC14C" w14:textId="77777777" w:rsidR="00F76939" w:rsidRPr="00445120" w:rsidRDefault="00F76939" w:rsidP="00AA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Wymagane cechy systemu po dokonaniu unowocześnienia:</w:t>
            </w:r>
          </w:p>
          <w:p w14:paraId="7D675C8B" w14:textId="77777777" w:rsidR="00F76939" w:rsidRPr="00445120" w:rsidRDefault="00F76939" w:rsidP="00F7693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Pełna obsługa polskiej strony kodowej pozwalająca na użytkowanie w systemie wszystkich polskich znaków językowych we wszystkich polach, np. imię i nazwisko pacjenta, identyfikatory pacjenta, kursy leczenia, pola leczenia, obrazy typu DRR, a także w nazwach i komentarzach wszystkich tych obiektów</w:t>
            </w:r>
          </w:p>
          <w:p w14:paraId="01563BD5" w14:textId="77777777" w:rsidR="00F76939" w:rsidRPr="00445120" w:rsidRDefault="00F76939" w:rsidP="00F7693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Wizualizacja przebiegu procesu leczenia (</w:t>
            </w:r>
            <w:r w:rsidRPr="0044512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Visual </w:t>
            </w:r>
            <w:proofErr w:type="spellStart"/>
            <w:r w:rsidRPr="0044512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Care</w:t>
            </w:r>
            <w:proofErr w:type="spellEnd"/>
            <w:r w:rsidRPr="0044512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44512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Path</w:t>
            </w:r>
            <w:proofErr w:type="spellEnd"/>
            <w:r w:rsidRPr="00445120">
              <w:rPr>
                <w:rFonts w:ascii="Times New Roman" w:hAnsi="Times New Roman" w:cs="Times New Roman"/>
                <w:color w:val="000000" w:themeColor="text1"/>
              </w:rPr>
              <w:t>) – graficzna prezentacja kolejności realizacji kolejnych etapów poszczególnych procedur związanych z realizacją leczenia wraz z wizualnymi statusami</w:t>
            </w:r>
          </w:p>
          <w:p w14:paraId="64420D41" w14:textId="77777777" w:rsidR="00F76939" w:rsidRPr="00445120" w:rsidRDefault="00F76939" w:rsidP="00F7693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Eskalacja kolejności zadań i realizacji poszczególnych procedur (</w:t>
            </w:r>
            <w:proofErr w:type="spellStart"/>
            <w:r w:rsidRPr="0044512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Workflow</w:t>
            </w:r>
            <w:proofErr w:type="spellEnd"/>
            <w:r w:rsidRPr="0044512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Management</w:t>
            </w:r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) – możliwość wymuszania przez system zachowania ścisłej ścieżki realizacji poszczególnych procedur terapeutycznych </w:t>
            </w:r>
          </w:p>
          <w:p w14:paraId="55035D44" w14:textId="77777777" w:rsidR="00F76939" w:rsidRPr="00445120" w:rsidRDefault="00F76939" w:rsidP="00F7693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Koncepcja list kontrolnych (</w:t>
            </w:r>
            <w:proofErr w:type="spellStart"/>
            <w:r w:rsidRPr="0044512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Checklist</w:t>
            </w:r>
            <w:proofErr w:type="spellEnd"/>
            <w:r w:rsidRPr="00445120">
              <w:rPr>
                <w:rFonts w:ascii="Times New Roman" w:hAnsi="Times New Roman" w:cs="Times New Roman"/>
                <w:color w:val="000000" w:themeColor="text1"/>
              </w:rPr>
              <w:t>) dla poszczególnych zadań i spotkań – możliwość definiowania własnych list kontrolnych, których wypełnienie może wpływać na dalszą realizację procedur</w:t>
            </w:r>
          </w:p>
          <w:p w14:paraId="7D1DD929" w14:textId="77777777" w:rsidR="00F76939" w:rsidRPr="00445120" w:rsidRDefault="00F76939" w:rsidP="00F7693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Pulpit użytkownika </w:t>
            </w:r>
            <w:r w:rsidRPr="00445120">
              <w:rPr>
                <w:rFonts w:ascii="Times New Roman" w:hAnsi="Times New Roman" w:cs="Times New Roman"/>
                <w:color w:val="000000" w:themeColor="text1"/>
              </w:rPr>
              <w:t>– indywidualnie personalizowany pulpit dla każdego użytkownika systemu pozwalający w szybki i przejrzysty sposób wyświetlić np. najistotniejsze zadania lub spotkania do realizacji zarówno dla poszczególnego użytkownika, jak i pacjenta czy aparatu</w:t>
            </w:r>
          </w:p>
          <w:p w14:paraId="7D20E377" w14:textId="77777777" w:rsidR="00F76939" w:rsidRPr="00445120" w:rsidRDefault="00F76939" w:rsidP="00F7693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Pulpit Pacjenta </w:t>
            </w:r>
            <w:r w:rsidRPr="00445120">
              <w:rPr>
                <w:rFonts w:ascii="Times New Roman" w:hAnsi="Times New Roman" w:cs="Times New Roman"/>
                <w:color w:val="000000" w:themeColor="text1"/>
              </w:rPr>
              <w:t>– scentralizowane wszystkie informacje demograficzne i kliniczne dla poszczególnego pacjenta z prezentacją graficzną przebiegu każdego etapu leczenia, a także z informacją o sumie dawek wynikających z odbytych sesji terapeutycznych czy innych wynikach badań lekarskich i diagnostycznych</w:t>
            </w:r>
          </w:p>
          <w:p w14:paraId="71C349E2" w14:textId="77777777" w:rsidR="00F76939" w:rsidRPr="00445120" w:rsidRDefault="00F76939" w:rsidP="00F7693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tworzenie list roboczych dla użytkowników przypisanych do poszczególnych pacjentów wraz z informacją o przekroczeniu terminu realizacji</w:t>
            </w:r>
          </w:p>
          <w:p w14:paraId="6BF65477" w14:textId="77777777" w:rsidR="00F76939" w:rsidRPr="00445120" w:rsidRDefault="00F76939" w:rsidP="00F7693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moduł klinicznych przeglądów okresowych pacjenta i realizacji napromieniania wraz z generowaniem statystyk dokładności realizacji</w:t>
            </w:r>
          </w:p>
          <w:p w14:paraId="641352B0" w14:textId="77777777" w:rsidR="00F76939" w:rsidRPr="00445120" w:rsidRDefault="00F76939" w:rsidP="00F7693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moduł podsumowujący realizację procedur radioterapeutycznych z bezpośrednim i szybkim dostępem do informacji np. o przesunięciach pacjenta wynikających z geometrycznej weryfikacji ułożenia pacjenta, a także </w:t>
            </w:r>
            <w:r w:rsidRPr="00445120">
              <w:rPr>
                <w:rFonts w:ascii="Times New Roman" w:hAnsi="Times New Roman" w:cs="Times New Roman"/>
                <w:color w:val="000000" w:themeColor="text1"/>
              </w:rPr>
              <w:lastRenderedPageBreak/>
              <w:t>bezpośredni dostęp do obrazów weryfikacyjnych</w:t>
            </w:r>
          </w:p>
          <w:p w14:paraId="545814B6" w14:textId="77777777" w:rsidR="00F76939" w:rsidRPr="00445120" w:rsidRDefault="00F76939" w:rsidP="00F7693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obsługa i integracja akceleratorów firmy VMS typu 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TrueBeam</w:t>
            </w:r>
            <w:proofErr w:type="spellEnd"/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 oraz firmy Siemens typu 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Oncor</w:t>
            </w:r>
            <w:proofErr w:type="spellEnd"/>
            <w:r w:rsidRPr="00445120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Artiste</w:t>
            </w:r>
            <w:proofErr w:type="spellEnd"/>
          </w:p>
          <w:p w14:paraId="521F5DBD" w14:textId="77777777" w:rsidR="00F76939" w:rsidRPr="00445120" w:rsidRDefault="00F76939" w:rsidP="00F7693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integracja uprawnień użytkowników systemu z kontrolerem domeny Windows Active Directory</w:t>
            </w:r>
          </w:p>
          <w:p w14:paraId="185BEA6A" w14:textId="77777777" w:rsidR="00F76939" w:rsidRPr="00445120" w:rsidRDefault="00F76939" w:rsidP="00F7693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szyfrowana komunikacja pomiędzy serwerem bazy danych a oprogramowaniem uruchomionym na stacji roboczej systemu </w:t>
            </w:r>
          </w:p>
        </w:tc>
      </w:tr>
      <w:tr w:rsidR="00F76939" w14:paraId="0C7D67B6" w14:textId="77777777" w:rsidTr="002B57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2968E" w14:textId="77777777" w:rsidR="00F76939" w:rsidRPr="00445120" w:rsidRDefault="00F76939" w:rsidP="00AA6B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lastRenderedPageBreak/>
              <w:t>2.2.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6A918" w14:textId="77777777" w:rsidR="00F76939" w:rsidRPr="00445120" w:rsidRDefault="00F76939" w:rsidP="00AA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Jedna, wspólna baza danych zawierająca wszystkie dane o pacjentach i napromienianiu: dane obrazowe, terapeutyczne oraz plany leczenia (skany CT, NMR, PET, obrazy: 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PortalVision</w:t>
            </w:r>
            <w:proofErr w:type="spellEnd"/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, plany leczenia 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Eclipse</w:t>
            </w:r>
            <w:proofErr w:type="spellEnd"/>
            <w:r w:rsidRPr="0044512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1E31B997" w14:textId="77777777" w:rsidR="00F76939" w:rsidRPr="00445120" w:rsidRDefault="00F76939" w:rsidP="00F7693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relacyjna baza danych, służąca do przechowywania danych o radioterapii musi znajdować się w pamięci serwera systemu. Dane zapamiętane na serwerze muszą być dostępne w dowolnym czasie na dowolnej stacji systemu wyposażonej w odpowiednie oprogramowanie</w:t>
            </w:r>
          </w:p>
          <w:p w14:paraId="74A98E59" w14:textId="77777777" w:rsidR="00F76939" w:rsidRPr="00445120" w:rsidRDefault="00F76939" w:rsidP="00F7693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oprogramowanie bazy danych, służące do przechowywania danych obrazowych oraz planów leczenia musi znajdować się w pamięci serwera systemu. Dane zapamiętane na serwerze muszą być dostępne bezpośrednio i automatycznie w dowolnym czasie na dowolnej stacji roboczej systemu:</w:t>
            </w:r>
          </w:p>
          <w:p w14:paraId="27C6EAE3" w14:textId="77777777" w:rsidR="00F76939" w:rsidRPr="00445120" w:rsidRDefault="00F76939" w:rsidP="00F7693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TPS wyposażonych w oprogramowanie do planowania leczenia 3D </w:t>
            </w:r>
          </w:p>
          <w:p w14:paraId="152DD85D" w14:textId="77777777" w:rsidR="00F76939" w:rsidRPr="00445120" w:rsidRDefault="00F76939" w:rsidP="00F7693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stacjach sterujących procesem napromieniania na akceleratorze 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Oncor</w:t>
            </w:r>
            <w:proofErr w:type="spellEnd"/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 - firmy Siemens</w:t>
            </w:r>
          </w:p>
          <w:p w14:paraId="1AD22FB8" w14:textId="77777777" w:rsidR="00F76939" w:rsidRPr="00445120" w:rsidRDefault="00F76939" w:rsidP="00F7693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stacjach sterujących procesem napromieniania na akceleratorach 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TrueBeam</w:t>
            </w:r>
            <w:proofErr w:type="spellEnd"/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 wraz z systemami EPID oraz IGRT On-Board 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Imager</w:t>
            </w:r>
            <w:proofErr w:type="spellEnd"/>
            <w:r w:rsidRPr="00445120">
              <w:rPr>
                <w:rFonts w:ascii="Times New Roman" w:hAnsi="Times New Roman" w:cs="Times New Roman"/>
                <w:color w:val="000000" w:themeColor="text1"/>
              </w:rPr>
              <w:t>, MLC - firmy VMS</w:t>
            </w:r>
          </w:p>
        </w:tc>
      </w:tr>
      <w:tr w:rsidR="00F76939" w14:paraId="4D6EC78E" w14:textId="77777777" w:rsidTr="002B57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057A1" w14:textId="77777777" w:rsidR="00F76939" w:rsidRPr="00445120" w:rsidRDefault="00F76939" w:rsidP="00AA6B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2.3.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EA344" w14:textId="77777777" w:rsidR="00F76939" w:rsidRPr="00445120" w:rsidRDefault="00F76939" w:rsidP="00AA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Zachowanie wszystkich danych alfanumerycznych i obrazowych, zgromadzonych w wykorzystywanym systemie Aria, w oferowanej wersji systemu, w szczególności następujące dane:</w:t>
            </w:r>
          </w:p>
          <w:p w14:paraId="723A3121" w14:textId="77777777" w:rsidR="00F76939" w:rsidRPr="00445120" w:rsidRDefault="00F76939" w:rsidP="00F7693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administracyjne, demograficzne pacjentów</w:t>
            </w:r>
          </w:p>
          <w:p w14:paraId="3D7BBF7E" w14:textId="77777777" w:rsidR="00F76939" w:rsidRPr="00445120" w:rsidRDefault="00F76939" w:rsidP="00F7693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o przeprowadzonej radioterapii pacjentów</w:t>
            </w:r>
          </w:p>
          <w:p w14:paraId="4F6E0C08" w14:textId="77777777" w:rsidR="00F76939" w:rsidRPr="00445120" w:rsidRDefault="00F76939" w:rsidP="00F7693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plany leczenia</w:t>
            </w:r>
          </w:p>
          <w:p w14:paraId="4BD05EC8" w14:textId="77777777" w:rsidR="00F76939" w:rsidRPr="00445120" w:rsidRDefault="00F76939" w:rsidP="00F7693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obrazy CT, NMR, DRR, EPID i inne znajdujące się w bazie systemu Aria</w:t>
            </w:r>
          </w:p>
          <w:p w14:paraId="13D0EA43" w14:textId="77777777" w:rsidR="00F76939" w:rsidRPr="00445120" w:rsidRDefault="00F76939" w:rsidP="00F7693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administracyjne zarządzania systemem (w tym nazwy i uprawnienia użytkowników)</w:t>
            </w:r>
          </w:p>
          <w:p w14:paraId="50B7CA61" w14:textId="77777777" w:rsidR="00F76939" w:rsidRPr="00445120" w:rsidRDefault="00F76939" w:rsidP="00F7693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definicje i parametry urządzeń terapeutycznych</w:t>
            </w:r>
          </w:p>
          <w:p w14:paraId="35DBD45D" w14:textId="77777777" w:rsidR="00F76939" w:rsidRPr="00445120" w:rsidRDefault="00F76939" w:rsidP="00F7693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dozymetryczne o wiązkach promieniowania w systemie 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Eclipse</w:t>
            </w:r>
            <w:proofErr w:type="spellEnd"/>
          </w:p>
        </w:tc>
      </w:tr>
      <w:tr w:rsidR="00F76939" w14:paraId="1CF0DD64" w14:textId="77777777" w:rsidTr="002B57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A6F46" w14:textId="77777777" w:rsidR="00F76939" w:rsidRPr="00445120" w:rsidRDefault="00F76939" w:rsidP="00AA6B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2.4.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B9E5C" w14:textId="77777777" w:rsidR="00F76939" w:rsidRPr="00445120" w:rsidRDefault="00F76939" w:rsidP="00AA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Uaktualnienie do najnowszej wersji wykorzystywanych modułów weryfikacji i zarządzania w systemie Aria do prowadzenia elektronicznej karty pacjenta radioterapeutycznego:</w:t>
            </w:r>
          </w:p>
          <w:p w14:paraId="59B6DF4D" w14:textId="77777777" w:rsidR="00F76939" w:rsidRPr="00445120" w:rsidRDefault="00F76939" w:rsidP="00F7693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Patient</w:t>
            </w:r>
            <w:proofErr w:type="spellEnd"/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 Manager (30 szt.)</w:t>
            </w:r>
          </w:p>
          <w:p w14:paraId="57A1696F" w14:textId="77777777" w:rsidR="00F76939" w:rsidRPr="00445120" w:rsidRDefault="00F76939" w:rsidP="00F7693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Plan 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Parameters</w:t>
            </w:r>
            <w:proofErr w:type="spellEnd"/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 (30 szt.)</w:t>
            </w:r>
          </w:p>
          <w:p w14:paraId="6656A6B5" w14:textId="77777777" w:rsidR="00F76939" w:rsidRPr="00445120" w:rsidRDefault="00F76939" w:rsidP="00F7693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Reference Point (30 szt.)</w:t>
            </w:r>
          </w:p>
          <w:p w14:paraId="2546505D" w14:textId="77777777" w:rsidR="00F76939" w:rsidRPr="00445120" w:rsidRDefault="00F76939" w:rsidP="00F7693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Patient</w:t>
            </w:r>
            <w:proofErr w:type="spellEnd"/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Overview</w:t>
            </w:r>
            <w:proofErr w:type="spellEnd"/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 (30 szt.)</w:t>
            </w:r>
          </w:p>
          <w:p w14:paraId="1585B4C3" w14:textId="77777777" w:rsidR="00F76939" w:rsidRPr="00445120" w:rsidRDefault="00F76939" w:rsidP="00F7693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Treatment</w:t>
            </w:r>
            <w:proofErr w:type="spellEnd"/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Preparation</w:t>
            </w:r>
            <w:proofErr w:type="spellEnd"/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 (30 szt.)</w:t>
            </w:r>
          </w:p>
          <w:p w14:paraId="4574606D" w14:textId="77777777" w:rsidR="00F76939" w:rsidRPr="00445120" w:rsidRDefault="00F76939" w:rsidP="00F7693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RT 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Summary</w:t>
            </w:r>
            <w:proofErr w:type="spellEnd"/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 (30 szt.)</w:t>
            </w:r>
          </w:p>
          <w:p w14:paraId="1CA4094C" w14:textId="77777777" w:rsidR="00F76939" w:rsidRPr="00445120" w:rsidRDefault="00F76939" w:rsidP="00F7693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Image 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Browser</w:t>
            </w:r>
            <w:proofErr w:type="spellEnd"/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 (30 szt.)</w:t>
            </w:r>
          </w:p>
          <w:p w14:paraId="5C0557F6" w14:textId="77777777" w:rsidR="00F76939" w:rsidRPr="00445120" w:rsidRDefault="00F76939" w:rsidP="00F7693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Chart QA (20 szt.)</w:t>
            </w:r>
          </w:p>
          <w:p w14:paraId="540C70C7" w14:textId="77777777" w:rsidR="00F76939" w:rsidRPr="00445120" w:rsidRDefault="00F76939" w:rsidP="00F7693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Time Planner (20 szt.)</w:t>
            </w:r>
          </w:p>
          <w:p w14:paraId="7C4F5828" w14:textId="77777777" w:rsidR="00F76939" w:rsidRPr="00445120" w:rsidRDefault="00F76939" w:rsidP="00F7693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Activity 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Capture</w:t>
            </w:r>
            <w:proofErr w:type="spellEnd"/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 (20 szt.)</w:t>
            </w:r>
          </w:p>
          <w:p w14:paraId="0AF5FCE2" w14:textId="77777777" w:rsidR="00F76939" w:rsidRPr="00445120" w:rsidRDefault="00F76939" w:rsidP="00F7693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Patient</w:t>
            </w:r>
            <w:proofErr w:type="spellEnd"/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Check</w:t>
            </w:r>
            <w:proofErr w:type="spellEnd"/>
            <w:r w:rsidRPr="00445120">
              <w:rPr>
                <w:rFonts w:ascii="Times New Roman" w:hAnsi="Times New Roman" w:cs="Times New Roman"/>
                <w:color w:val="000000" w:themeColor="text1"/>
              </w:rPr>
              <w:t>-In (20 szt.)</w:t>
            </w:r>
          </w:p>
          <w:p w14:paraId="19F31171" w14:textId="77777777" w:rsidR="00F76939" w:rsidRPr="00445120" w:rsidRDefault="00F76939" w:rsidP="00F7693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Outlook 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Sync</w:t>
            </w:r>
            <w:proofErr w:type="spellEnd"/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 (20 szt.)</w:t>
            </w:r>
          </w:p>
        </w:tc>
      </w:tr>
      <w:tr w:rsidR="00F76939" w14:paraId="4B13BCFD" w14:textId="77777777" w:rsidTr="002B57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A07CA" w14:textId="77777777" w:rsidR="00F76939" w:rsidRPr="00445120" w:rsidRDefault="00F76939" w:rsidP="00AA6B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2.5.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9AEA6" w14:textId="77777777" w:rsidR="00F76939" w:rsidRPr="00445120" w:rsidRDefault="00F76939" w:rsidP="00AA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Oprogramowanie służące do prowadzenia elektronicznej karty pacjenta radioterapeutycznego po unowocześnieniu musi posiadać następujące cechy:</w:t>
            </w:r>
          </w:p>
          <w:p w14:paraId="4B6DB6C0" w14:textId="77777777" w:rsidR="00F76939" w:rsidRPr="00445120" w:rsidRDefault="00F76939" w:rsidP="00F7693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jedną, wspólną listę pacjentów (bez konieczności wykonywania operacji typu import/eksport) dla posiadanych przez Zamawiającego stacji systemu zarządzania,</w:t>
            </w:r>
          </w:p>
          <w:p w14:paraId="4B08B02E" w14:textId="77777777" w:rsidR="00F76939" w:rsidRPr="00445120" w:rsidRDefault="00F76939" w:rsidP="00F7693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jeden, wspólny, współdzielony system licencji oprogramowania pozwalający wykorzystać oprogramowanie na dowolnej posiadanej przez Zamawiającego stacji systemu zarządzania radioterapią i planowania leczenia,</w:t>
            </w:r>
          </w:p>
          <w:p w14:paraId="275BA9AE" w14:textId="77777777" w:rsidR="00F76939" w:rsidRPr="00445120" w:rsidRDefault="00F76939" w:rsidP="00F7693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bezpośrednie i automatyczne (bez konieczności wykonywania operacji import/eksport) zapamiętanie diagnozy pacjenta, w tym: kodu z międzynarodowych tabel kodów diagnostycznych, stopnia zaawansowania nowotworu TNM, diagnozy histopatologicznej, informacji czy jest to ognisko pierwotne czy wtórne, we wspólnej bazie danych systemu zarządzania radioterapią i planowania leczenia,</w:t>
            </w:r>
          </w:p>
          <w:p w14:paraId="0289514E" w14:textId="77777777" w:rsidR="00F76939" w:rsidRPr="00445120" w:rsidRDefault="00F76939" w:rsidP="00F7693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definiowanie etapów radioterapii,</w:t>
            </w:r>
          </w:p>
          <w:p w14:paraId="6900CFB0" w14:textId="77777777" w:rsidR="00F76939" w:rsidRPr="00445120" w:rsidRDefault="00F76939" w:rsidP="00F7693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definiowanie obszarów do napromienienia w kolejnych etapach,</w:t>
            </w:r>
          </w:p>
          <w:p w14:paraId="5F2C6F2D" w14:textId="77777777" w:rsidR="00F76939" w:rsidRPr="00445120" w:rsidRDefault="00F76939" w:rsidP="00F7693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określenie całkowitych dawek promieniowania dla zdefiniowanych obszarów oraz dawek frakcyjnych,</w:t>
            </w:r>
          </w:p>
          <w:p w14:paraId="46B1F2D4" w14:textId="77777777" w:rsidR="00F76939" w:rsidRPr="00445120" w:rsidRDefault="00F76939" w:rsidP="00F7693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definiowanie, zmianę i odczyt danych o polach promieniowania, za pomocą których leczony będzie pacjent,</w:t>
            </w:r>
          </w:p>
          <w:p w14:paraId="33BD94EB" w14:textId="77777777" w:rsidR="00F76939" w:rsidRPr="00445120" w:rsidRDefault="00F76939" w:rsidP="00F7693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edycja oraz modyfikacja kształtów pól z kolimatorem wielolistkowym,</w:t>
            </w:r>
          </w:p>
          <w:p w14:paraId="0B06D66A" w14:textId="77777777" w:rsidR="00F76939" w:rsidRPr="00445120" w:rsidRDefault="00F76939" w:rsidP="00F7693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bezpośrednie i automatyczne (bez konieczności wykonywania operacji typu import/eksport) przeglądanie historii napromieniania pacjenta wraz z automatycznie wprowadzonymi informacjami o poprawności napromieniania i podsumowaniami podanych pacjentowi dawek promieniowania zapisanych we wspólnej bazie danych dla posiadanych stacji systemu,</w:t>
            </w:r>
          </w:p>
          <w:p w14:paraId="205C4839" w14:textId="77777777" w:rsidR="00F76939" w:rsidRPr="00445120" w:rsidRDefault="00F76939" w:rsidP="00F7693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planowanie czasu pracy aparatów terapeutycznych, pozostałego sprzętu oraz personelu,</w:t>
            </w:r>
          </w:p>
          <w:p w14:paraId="0F4B7087" w14:textId="77777777" w:rsidR="00F76939" w:rsidRPr="00445120" w:rsidRDefault="00F76939" w:rsidP="00F7693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tworzenie harmonogramu procedur terapeutycznych pacjenta,</w:t>
            </w:r>
          </w:p>
          <w:p w14:paraId="5C2898E6" w14:textId="77777777" w:rsidR="00F76939" w:rsidRPr="00445120" w:rsidRDefault="00F76939" w:rsidP="00F7693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umawianie pacjentów na zabiegi terapeutyczne i wszelkie inne czynności, określone przez użytkownika w wykorzystywanym przez Zamawiającego systemie zarządzania radioterapią,</w:t>
            </w:r>
          </w:p>
          <w:p w14:paraId="1C7E8FB1" w14:textId="77777777" w:rsidR="00F76939" w:rsidRPr="00445120" w:rsidRDefault="00F76939" w:rsidP="00F7693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przeglądanie i zarządzanie terminarzami lekarzy, techników, fizyków a także sprzętu radioterapeutycznego,</w:t>
            </w:r>
          </w:p>
          <w:p w14:paraId="3E5B2E80" w14:textId="77777777" w:rsidR="00F76939" w:rsidRPr="00445120" w:rsidRDefault="00F76939" w:rsidP="00F7693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samodzielne potwierdzanie przez pacjenta faktu przybycia na codzienne napromienianie.</w:t>
            </w:r>
          </w:p>
        </w:tc>
      </w:tr>
      <w:tr w:rsidR="00F76939" w14:paraId="501208FB" w14:textId="77777777" w:rsidTr="002B57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6239B" w14:textId="77777777" w:rsidR="00F76939" w:rsidRPr="00445120" w:rsidRDefault="00F76939" w:rsidP="00AA6B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2.6.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0C826" w14:textId="77777777" w:rsidR="00F76939" w:rsidRPr="00445120" w:rsidRDefault="00F76939" w:rsidP="00AA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Uaktualnienie do najnowszej wersji systemu wykorzystywanych modułów obrazowych Image Management systemu Aria:</w:t>
            </w:r>
          </w:p>
          <w:p w14:paraId="749B47A6" w14:textId="77777777" w:rsidR="00F76939" w:rsidRPr="00445120" w:rsidRDefault="00F76939" w:rsidP="00F7693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Off-Line 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Review</w:t>
            </w:r>
            <w:proofErr w:type="spellEnd"/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 – dla 4 jednoczasowych użytkowników</w:t>
            </w:r>
          </w:p>
          <w:p w14:paraId="04189016" w14:textId="77777777" w:rsidR="00F76939" w:rsidRPr="00445120" w:rsidRDefault="00F76939" w:rsidP="00F7693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lastRenderedPageBreak/>
              <w:t>Import/Export (dostępne dla dowolnej liczby użytkowników i na wszystkich stacjach systemu)</w:t>
            </w:r>
          </w:p>
          <w:p w14:paraId="3D5C5B4F" w14:textId="77777777" w:rsidR="00F76939" w:rsidRPr="00445120" w:rsidRDefault="00F76939" w:rsidP="00F7693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Dicom3 Query 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Retreive&amp;Storage</w:t>
            </w:r>
            <w:proofErr w:type="spellEnd"/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 (dostępne dla dowolnej liczby użytkowników i na wszystkich stacjach systemu)</w:t>
            </w:r>
          </w:p>
          <w:p w14:paraId="1B27ABD6" w14:textId="77777777" w:rsidR="00F76939" w:rsidRPr="00445120" w:rsidRDefault="00F76939" w:rsidP="00F7693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Dicom</w:t>
            </w:r>
            <w:proofErr w:type="spellEnd"/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 RT (dostępne dla dowolnej liczby użytkowników i na wszystkich stacjach systemu Aria)</w:t>
            </w:r>
          </w:p>
          <w:p w14:paraId="5BF7E4D1" w14:textId="77777777" w:rsidR="00F76939" w:rsidRPr="00445120" w:rsidRDefault="00F76939" w:rsidP="00F7693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45120">
              <w:rPr>
                <w:rFonts w:ascii="Times New Roman" w:hAnsi="Times New Roman" w:cs="Times New Roman"/>
              </w:rPr>
              <w:t>Dicom</w:t>
            </w:r>
            <w:proofErr w:type="spellEnd"/>
            <w:r w:rsidRPr="004451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5120">
              <w:rPr>
                <w:rFonts w:ascii="Times New Roman" w:hAnsi="Times New Roman" w:cs="Times New Roman"/>
              </w:rPr>
              <w:t>Worklist</w:t>
            </w:r>
            <w:proofErr w:type="spellEnd"/>
            <w:r w:rsidRPr="00445120">
              <w:rPr>
                <w:rFonts w:ascii="Times New Roman" w:hAnsi="Times New Roman" w:cs="Times New Roman"/>
              </w:rPr>
              <w:t xml:space="preserve"> (dostępne dla 2 podłączonych aparatów TK lub NMR)</w:t>
            </w:r>
          </w:p>
        </w:tc>
      </w:tr>
      <w:tr w:rsidR="00F76939" w14:paraId="0A8EE35F" w14:textId="77777777" w:rsidTr="002B57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F63F7" w14:textId="77777777" w:rsidR="00F76939" w:rsidRPr="00445120" w:rsidRDefault="00F76939" w:rsidP="00AA6B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lastRenderedPageBreak/>
              <w:t>2.7.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AF251" w14:textId="77777777" w:rsidR="00F76939" w:rsidRPr="00445120" w:rsidRDefault="00F76939" w:rsidP="00AA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Uaktualnienie do najnowszej wersji systemu wykorzystywanego oprogramowania raportowania ARIA, umożliwiające generowanie dowolnych raportów zawierających wybrane przez użytkownika informacje z bazy danych systemu zarządzania radioterapią – dla dowolnej stacji systemu</w:t>
            </w:r>
          </w:p>
        </w:tc>
      </w:tr>
      <w:tr w:rsidR="00F76939" w14:paraId="51309562" w14:textId="77777777" w:rsidTr="002B57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5741A" w14:textId="77777777" w:rsidR="00F76939" w:rsidRPr="00445120" w:rsidRDefault="00F76939" w:rsidP="00AA6B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3D2F4" w14:textId="77777777" w:rsidR="00F76939" w:rsidRPr="00445120" w:rsidRDefault="00F76939" w:rsidP="00AA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Pełna bezpośrednia integracja oferowanego w pkt 2 Systemu Zarządzania i weryfikacji z Systemem Planowania Leczenia oferowanym w pkt 1</w:t>
            </w:r>
          </w:p>
        </w:tc>
      </w:tr>
      <w:tr w:rsidR="00F76939" w14:paraId="5CFF32A0" w14:textId="77777777" w:rsidTr="002B57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FBA06" w14:textId="77777777" w:rsidR="00F76939" w:rsidRPr="00445120" w:rsidRDefault="00F76939" w:rsidP="00AA6B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3.1.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067D2" w14:textId="77777777" w:rsidR="00F76939" w:rsidRPr="00445120" w:rsidRDefault="00F76939" w:rsidP="00AA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Jedna, wspólna baza oferowanego systemu zarządzania oraz oferowanego systemu planowania leczenia w zakresie wszystkich danych o pacjentach, napromienianiu i obrazowych oraz planowania leczenia:</w:t>
            </w:r>
          </w:p>
          <w:p w14:paraId="25CBD5DB" w14:textId="77777777" w:rsidR="00F76939" w:rsidRPr="00445120" w:rsidRDefault="00F76939" w:rsidP="00F7693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skany CT, NMR, PET</w:t>
            </w:r>
          </w:p>
          <w:p w14:paraId="17D801FC" w14:textId="77777777" w:rsidR="00F76939" w:rsidRPr="00445120" w:rsidRDefault="00F76939" w:rsidP="00F7693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PortalVision</w:t>
            </w:r>
            <w:proofErr w:type="spellEnd"/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 akceleratorów 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TrueBeam</w:t>
            </w:r>
            <w:proofErr w:type="spellEnd"/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 firmy VMS oraz 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Oncor</w:t>
            </w:r>
            <w:proofErr w:type="spellEnd"/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 firmy Siemens</w:t>
            </w:r>
          </w:p>
          <w:p w14:paraId="54D0E8B4" w14:textId="77777777" w:rsidR="00F76939" w:rsidRPr="00445120" w:rsidRDefault="00F76939" w:rsidP="00F7693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dane o radioterapii, zapisane w pamięci serwera systemu zarządzania radioterapią i planowania leczenia, muszą być dostępne w dowolnym czasie na dowolnej stacji oferowanego systemu zarządzania radioterapią i planowania leczenia:</w:t>
            </w:r>
          </w:p>
          <w:p w14:paraId="6D7C1828" w14:textId="77777777" w:rsidR="00F76939" w:rsidRPr="00445120" w:rsidRDefault="00F76939" w:rsidP="00F7693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stacjach fizycznych planowania leczenia</w:t>
            </w:r>
          </w:p>
          <w:p w14:paraId="4CB79D68" w14:textId="77777777" w:rsidR="00F76939" w:rsidRPr="00445120" w:rsidRDefault="00F76939" w:rsidP="00F7693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stacjach lekarskich planowania leczenia</w:t>
            </w:r>
          </w:p>
          <w:p w14:paraId="3B1E87C2" w14:textId="77777777" w:rsidR="00F76939" w:rsidRPr="00445120" w:rsidRDefault="00F76939" w:rsidP="00F7693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stacjach sterujących procesem napromieniania na posiadanych przez zamawiającego akceleratorze 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Oncor</w:t>
            </w:r>
            <w:proofErr w:type="spellEnd"/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 firmy Siemens</w:t>
            </w:r>
          </w:p>
          <w:p w14:paraId="1D4AE350" w14:textId="77777777" w:rsidR="00F76939" w:rsidRPr="00445120" w:rsidRDefault="00F76939" w:rsidP="00F7693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stacjach sterujących procesem napromieniania na posiadanych przez Zamawiającego akceleratorach serii 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TrueBeam</w:t>
            </w:r>
            <w:proofErr w:type="spellEnd"/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 wraz z systemem EPID oraz systemem IGRT On-Board 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Imager</w:t>
            </w:r>
            <w:proofErr w:type="spellEnd"/>
          </w:p>
        </w:tc>
      </w:tr>
      <w:tr w:rsidR="00F76939" w14:paraId="74E92F4D" w14:textId="77777777" w:rsidTr="002B57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617AA" w14:textId="77777777" w:rsidR="00F76939" w:rsidRPr="00445120" w:rsidRDefault="00F76939" w:rsidP="00AA6B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3.2.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6B20C" w14:textId="77777777" w:rsidR="00F76939" w:rsidRPr="00445120" w:rsidRDefault="00F76939" w:rsidP="00AA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Jedna, wspólna lista pacjentów oferowanych programów systemu zarządzania oraz planowania leczenia</w:t>
            </w:r>
          </w:p>
        </w:tc>
      </w:tr>
      <w:tr w:rsidR="00F76939" w14:paraId="3B91FB74" w14:textId="77777777" w:rsidTr="002B57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89EF9" w14:textId="77777777" w:rsidR="00F76939" w:rsidRPr="00445120" w:rsidRDefault="00F76939" w:rsidP="00AA6B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3.3.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795FE" w14:textId="77777777" w:rsidR="00F76939" w:rsidRPr="00445120" w:rsidRDefault="00F76939" w:rsidP="00AA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Jedna, wspólna lista urządzeń terapeutycznych oferowanego systemu zarządzania oraz planowania leczenia</w:t>
            </w:r>
          </w:p>
        </w:tc>
      </w:tr>
      <w:tr w:rsidR="00F76939" w14:paraId="6C4FA0C9" w14:textId="77777777" w:rsidTr="002B57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8643C" w14:textId="77777777" w:rsidR="00F76939" w:rsidRPr="00445120" w:rsidRDefault="00F76939" w:rsidP="00AA6B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3.4.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A3C7F" w14:textId="77777777" w:rsidR="00F76939" w:rsidRPr="00445120" w:rsidRDefault="00F76939" w:rsidP="00AA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Jeden, wspólny system logowania i uprawnień użytkowników oferowanego systemu zarządzania oraz planowania leczenia zintegrowany z kontrolerem domeny Windows Active Directory</w:t>
            </w:r>
          </w:p>
        </w:tc>
      </w:tr>
      <w:tr w:rsidR="00F76939" w14:paraId="0C438D8A" w14:textId="77777777" w:rsidTr="002B57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83841" w14:textId="77777777" w:rsidR="00F76939" w:rsidRPr="00445120" w:rsidRDefault="00F76939" w:rsidP="00AA6B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3.5.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2EB8F" w14:textId="77777777" w:rsidR="00F76939" w:rsidRPr="00445120" w:rsidRDefault="00F76939" w:rsidP="00AA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Pełna i bezpośrednia integracja oferowanego systemu planowania leczenia (w tym lekarskich stacji planowania leczenia) z oferowanym system zarządzania. Stacje robocze systemu planowania leczenia muszą być stacjami roboczymi oferowanego systemu zarządzania</w:t>
            </w:r>
          </w:p>
        </w:tc>
      </w:tr>
      <w:tr w:rsidR="00F76939" w14:paraId="06D5B938" w14:textId="77777777" w:rsidTr="002B57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9B0A4" w14:textId="77777777" w:rsidR="00F76939" w:rsidRPr="00445120" w:rsidRDefault="00F76939" w:rsidP="00AA6B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A3E53" w14:textId="77777777" w:rsidR="00F76939" w:rsidRPr="00445120" w:rsidRDefault="00F76939" w:rsidP="00AA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Pełna, bezpośrednia integracja wykorzystywanych urządzeń radioterapeutycznych Pełnej Zintegrowanej Linii Radioterapeutycznej firmy VMS z oferowanym system zarządzania</w:t>
            </w:r>
          </w:p>
        </w:tc>
      </w:tr>
      <w:tr w:rsidR="00F76939" w14:paraId="6E937DEB" w14:textId="77777777" w:rsidTr="002B57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F3C42" w14:textId="77777777" w:rsidR="00F76939" w:rsidRPr="00445120" w:rsidRDefault="00F76939" w:rsidP="00AA6B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4.1.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7A28B" w14:textId="77777777" w:rsidR="00F76939" w:rsidRPr="00445120" w:rsidRDefault="00F76939" w:rsidP="00AA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Pełna, bezpośrednia integracja wykorzystywanych akceleratorów: </w:t>
            </w:r>
            <w:proofErr w:type="spellStart"/>
            <w:r w:rsidRPr="004451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Oncor</w:t>
            </w:r>
            <w:proofErr w:type="spellEnd"/>
            <w:r w:rsidRPr="004451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4451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TrueBeam</w:t>
            </w:r>
            <w:proofErr w:type="spellEnd"/>
            <w:r w:rsidRPr="004451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S/N 2418 oraz </w:t>
            </w:r>
            <w:proofErr w:type="spellStart"/>
            <w:r w:rsidRPr="004451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TrueBeam</w:t>
            </w:r>
            <w:proofErr w:type="spellEnd"/>
            <w:r w:rsidRPr="004451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S/N 2848, firmy VMS z oferowanym systemem zarządzania</w:t>
            </w:r>
          </w:p>
        </w:tc>
      </w:tr>
      <w:tr w:rsidR="00F76939" w14:paraId="6B00450E" w14:textId="77777777" w:rsidTr="002B57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28EE4" w14:textId="77777777" w:rsidR="00F76939" w:rsidRPr="00445120" w:rsidRDefault="00F76939" w:rsidP="00AA6B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4.1.1.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097AC" w14:textId="77777777" w:rsidR="00F76939" w:rsidRPr="00445120" w:rsidRDefault="00F76939" w:rsidP="00AA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Napromienianie we wszystkich aktualnie dostępnych u Zamawiającego trybach:</w:t>
            </w:r>
          </w:p>
          <w:p w14:paraId="5E0768F7" w14:textId="77777777" w:rsidR="00F76939" w:rsidRPr="00445120" w:rsidRDefault="00F76939" w:rsidP="00F7693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bez modulacji intensywności dawki,</w:t>
            </w:r>
          </w:p>
          <w:p w14:paraId="5D52B082" w14:textId="77777777" w:rsidR="00F76939" w:rsidRPr="00445120" w:rsidRDefault="00F76939" w:rsidP="00F7693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IMRT 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Sliding</w:t>
            </w:r>
            <w:proofErr w:type="spellEnd"/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Window</w:t>
            </w:r>
            <w:proofErr w:type="spellEnd"/>
            <w:r w:rsidRPr="00445120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484A50D4" w14:textId="77777777" w:rsidR="00F76939" w:rsidRPr="00445120" w:rsidRDefault="00F76939" w:rsidP="00F7693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IMRT 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Step&amp;Shoot</w:t>
            </w:r>
            <w:proofErr w:type="spellEnd"/>
            <w:r w:rsidRPr="00445120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660BBA8B" w14:textId="77777777" w:rsidR="00F76939" w:rsidRPr="00445120" w:rsidRDefault="00F76939" w:rsidP="00F7693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RapidArc</w:t>
            </w:r>
            <w:proofErr w:type="spellEnd"/>
          </w:p>
        </w:tc>
      </w:tr>
      <w:tr w:rsidR="00F76939" w14:paraId="7E1E49EC" w14:textId="77777777" w:rsidTr="002B57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60CC5" w14:textId="77777777" w:rsidR="00F76939" w:rsidRPr="00445120" w:rsidRDefault="00F76939" w:rsidP="00AA6B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4.1.2.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49D95" w14:textId="77777777" w:rsidR="00F76939" w:rsidRPr="00445120" w:rsidRDefault="00F76939" w:rsidP="00AA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Bezpośrednia komunikacja z bazą oferowanego systemu zarządzania poprzez lokalną sieć komputerową Zintegrowanej Linii Radioterapeutycznej</w:t>
            </w:r>
          </w:p>
        </w:tc>
      </w:tr>
      <w:tr w:rsidR="00F76939" w14:paraId="188C31B1" w14:textId="77777777" w:rsidTr="002B57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6D90B" w14:textId="77777777" w:rsidR="00F76939" w:rsidRPr="00445120" w:rsidRDefault="00F76939" w:rsidP="00AA6B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4.1.3.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17402" w14:textId="77777777" w:rsidR="00F76939" w:rsidRPr="00445120" w:rsidRDefault="00F76939" w:rsidP="00AA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Włączenie oferowanego systemu w proces sterowania napromienianiem, sterowania kolimatorem wielolistkowym akceleratora 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Oncor</w:t>
            </w:r>
            <w:proofErr w:type="spellEnd"/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 firmy Siemens</w:t>
            </w:r>
          </w:p>
        </w:tc>
      </w:tr>
      <w:tr w:rsidR="00F76939" w14:paraId="6770314C" w14:textId="77777777" w:rsidTr="002B57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B1949" w14:textId="77777777" w:rsidR="00F76939" w:rsidRPr="00445120" w:rsidRDefault="00F76939" w:rsidP="00AA6B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4.1.4.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5DD86" w14:textId="77777777" w:rsidR="00F76939" w:rsidRPr="00445120" w:rsidRDefault="00F76939" w:rsidP="00AA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Bezpośredni, automatyczny zapis danych o przeprowadzonym napromienieniu w bazie oferowanego systemu zarządzania</w:t>
            </w:r>
          </w:p>
        </w:tc>
      </w:tr>
      <w:tr w:rsidR="00F76939" w14:paraId="739F385E" w14:textId="77777777" w:rsidTr="002B57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025B9" w14:textId="77777777" w:rsidR="00F76939" w:rsidRPr="00445120" w:rsidRDefault="00F76939" w:rsidP="00AA6B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4.1.5.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40060" w14:textId="77777777" w:rsidR="00F76939" w:rsidRPr="00445120" w:rsidRDefault="00F76939" w:rsidP="00AA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Integracja systemu obrazowego XI akceleratorów 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TrueBeam</w:t>
            </w:r>
            <w:proofErr w:type="spellEnd"/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 firmy VMS z oferowanym systemem – 2 szt.</w:t>
            </w:r>
          </w:p>
        </w:tc>
      </w:tr>
      <w:tr w:rsidR="00F76939" w14:paraId="5F43376A" w14:textId="77777777" w:rsidTr="002B57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251A7" w14:textId="77777777" w:rsidR="00F76939" w:rsidRPr="00445120" w:rsidRDefault="00F76939" w:rsidP="00AA6B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4.1.6.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355E7" w14:textId="77777777" w:rsidR="00F76939" w:rsidRPr="00445120" w:rsidRDefault="00F76939" w:rsidP="00AA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Bezpośrednie i automatyczne zapisywanie uzyskanych obrazów portalowych w bazie danych oferowanego systemu zarządzania</w:t>
            </w:r>
          </w:p>
        </w:tc>
      </w:tr>
      <w:tr w:rsidR="00F76939" w14:paraId="733C4E74" w14:textId="77777777" w:rsidTr="002B57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1B5B3" w14:textId="77777777" w:rsidR="00F76939" w:rsidRPr="00445120" w:rsidRDefault="00F76939" w:rsidP="00AA6B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4.2.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465DA" w14:textId="77777777" w:rsidR="00F76939" w:rsidRPr="00445120" w:rsidRDefault="00F76939" w:rsidP="00AA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Pełna bezpośrednia integracja wykorzystywanych systemów Respiratory </w:t>
            </w:r>
            <w:proofErr w:type="spellStart"/>
            <w:r w:rsidRPr="004451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Gating</w:t>
            </w:r>
            <w:proofErr w:type="spellEnd"/>
            <w:r w:rsidRPr="004451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dla akceleratorów </w:t>
            </w:r>
            <w:proofErr w:type="spellStart"/>
            <w:r w:rsidRPr="004451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TrueBeam</w:t>
            </w:r>
            <w:proofErr w:type="spellEnd"/>
            <w:r w:rsidRPr="004451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firmy VMS z oferowanym systemem zarządzania w tym:</w:t>
            </w:r>
          </w:p>
          <w:p w14:paraId="54141D28" w14:textId="77777777" w:rsidR="00F76939" w:rsidRPr="00445120" w:rsidRDefault="00F76939" w:rsidP="00F76939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weryfikacja i modyfikacja parametrów funkcji oddechowej pacjenta w module </w:t>
            </w:r>
            <w:proofErr w:type="spellStart"/>
            <w:r w:rsidRPr="0044512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Treatment</w:t>
            </w:r>
            <w:proofErr w:type="spellEnd"/>
            <w:r w:rsidRPr="0044512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44512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Preparation</w:t>
            </w:r>
            <w:proofErr w:type="spellEnd"/>
            <w:r w:rsidRPr="0044512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445120">
              <w:rPr>
                <w:rFonts w:ascii="Times New Roman" w:hAnsi="Times New Roman" w:cs="Times New Roman"/>
                <w:color w:val="000000" w:themeColor="text1"/>
              </w:rPr>
              <w:t>umożliwiającej określenie parametrów wstrzymania wiązki terapeutycznej,</w:t>
            </w:r>
          </w:p>
          <w:p w14:paraId="22AF73E1" w14:textId="77777777" w:rsidR="00F76939" w:rsidRPr="00445120" w:rsidRDefault="00F76939" w:rsidP="00F76939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archiwizacja w bazie danych oferowanego systemu zarządzania krzywej z funkcją oddechową pacjenta dla dowolnej frakcji terapeutycznej,</w:t>
            </w:r>
          </w:p>
          <w:p w14:paraId="3FFD4B3E" w14:textId="77777777" w:rsidR="00F76939" w:rsidRPr="00445120" w:rsidRDefault="00F76939" w:rsidP="00F76939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wizualizacja w module </w:t>
            </w:r>
            <w:r w:rsidRPr="0044512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Off-Line </w:t>
            </w:r>
            <w:proofErr w:type="spellStart"/>
            <w:r w:rsidRPr="0044512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Review</w:t>
            </w:r>
            <w:proofErr w:type="spellEnd"/>
            <w:r w:rsidRPr="0044512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445120">
              <w:rPr>
                <w:rFonts w:ascii="Times New Roman" w:hAnsi="Times New Roman" w:cs="Times New Roman"/>
                <w:color w:val="000000" w:themeColor="text1"/>
              </w:rPr>
              <w:t>funkcji oddechowej pacjenta</w:t>
            </w:r>
          </w:p>
        </w:tc>
      </w:tr>
      <w:tr w:rsidR="00F76939" w14:paraId="15920D74" w14:textId="77777777" w:rsidTr="002B57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ABC89" w14:textId="77777777" w:rsidR="00F76939" w:rsidRPr="00445120" w:rsidRDefault="00F76939" w:rsidP="00AA6B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4.3.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FD27A" w14:textId="77777777" w:rsidR="00F76939" w:rsidRPr="00445120" w:rsidRDefault="00F76939" w:rsidP="00AA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Pełna bezpośrednia integracja wykorzystywanego systemu Respiratory </w:t>
            </w:r>
            <w:proofErr w:type="spellStart"/>
            <w:r w:rsidRPr="004451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Gating</w:t>
            </w:r>
            <w:proofErr w:type="spellEnd"/>
            <w:r w:rsidRPr="004451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for </w:t>
            </w:r>
            <w:proofErr w:type="spellStart"/>
            <w:r w:rsidRPr="004451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Scanners</w:t>
            </w:r>
            <w:proofErr w:type="spellEnd"/>
            <w:r w:rsidRPr="004451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(RGSC) dla tomografu komputerowego firmy Siemens z oferowanym systemem zarządzania w tym:</w:t>
            </w:r>
          </w:p>
          <w:p w14:paraId="6D7A4BCA" w14:textId="77777777" w:rsidR="00F76939" w:rsidRPr="00445120" w:rsidRDefault="00F76939" w:rsidP="00F76939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archiwizacja w bazie danych oferowanego systemu zarządzania krzywej z funkcją oddechową pacjenta,</w:t>
            </w:r>
          </w:p>
          <w:p w14:paraId="07BA6A70" w14:textId="77777777" w:rsidR="00F76939" w:rsidRPr="00445120" w:rsidRDefault="00F76939" w:rsidP="00F76939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zachowanie jednej wspólnej listy pacjentów systemu RGSC oraz systemu weryfikacji i zarządzania</w:t>
            </w:r>
          </w:p>
        </w:tc>
      </w:tr>
      <w:tr w:rsidR="00F76939" w14:paraId="6605EBC8" w14:textId="77777777" w:rsidTr="002B57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AC88D" w14:textId="77777777" w:rsidR="00F76939" w:rsidRPr="00445120" w:rsidRDefault="00F76939" w:rsidP="00AA6B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C7F8B" w14:textId="77777777" w:rsidR="00F76939" w:rsidRPr="00445120" w:rsidRDefault="00F76939" w:rsidP="00AA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Aktualizacja oprogramowania akceleratorów </w:t>
            </w:r>
            <w:proofErr w:type="spellStart"/>
            <w:r w:rsidRPr="004451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TrueBeam</w:t>
            </w:r>
            <w:proofErr w:type="spellEnd"/>
            <w:r w:rsidRPr="004451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firmy Siemens do najnowszej wersji wymaganej przez oferowany system weryfikacji i zarządzania – 2 szt.</w:t>
            </w:r>
          </w:p>
        </w:tc>
      </w:tr>
      <w:tr w:rsidR="00F76939" w14:paraId="7DF219DA" w14:textId="77777777" w:rsidTr="002B57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35444" w14:textId="77777777" w:rsidR="00F76939" w:rsidRPr="00445120" w:rsidRDefault="00F76939" w:rsidP="00AA6B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46ACE" w14:textId="77777777" w:rsidR="00F76939" w:rsidRPr="00445120" w:rsidRDefault="00F76939" w:rsidP="00AA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Wymiana serwerów i stacji roboczych wykorzystywanego systemu Aria w zakresie koniecznym do spełnienia wymogów oferowanego systemu</w:t>
            </w:r>
          </w:p>
        </w:tc>
      </w:tr>
      <w:tr w:rsidR="00F76939" w14:paraId="40BD86BB" w14:textId="77777777" w:rsidTr="002B57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6C92A" w14:textId="77777777" w:rsidR="00F76939" w:rsidRPr="00445120" w:rsidRDefault="00F76939" w:rsidP="00AA6B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6.1.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02B99" w14:textId="77777777" w:rsidR="00F76939" w:rsidRPr="00445120" w:rsidRDefault="00F76939" w:rsidP="00AA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bookmarkStart w:id="1" w:name="_Hlk3380921"/>
            <w:r w:rsidRPr="00445120">
              <w:rPr>
                <w:rFonts w:ascii="Times New Roman" w:hAnsi="Times New Roman" w:cs="Times New Roman"/>
                <w:color w:val="000000" w:themeColor="text1"/>
              </w:rPr>
              <w:t>Serwer dla oferowanych systemów weryfikacji i zarządzania oraz planowania leczenia – w ilości i o parametrach technicznych zgodnych z wymogami producenta oferowanego oprogramowania, zapewniającym prawidłowe funkcjonowanie oferowanego systemu przez okres minimum 3 lat (zachowując poziom przyrostu liczby danych z ostatnich 3 lat), zapewniający możliwość uruchomienia wirtualizacji serwerów, o parametrach minimalnych:</w:t>
            </w:r>
          </w:p>
          <w:p w14:paraId="5DC5502A" w14:textId="77777777" w:rsidR="00F76939" w:rsidRPr="00445120" w:rsidRDefault="00F76939" w:rsidP="00F7693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lastRenderedPageBreak/>
              <w:t>4 procesory min. 10-rdzeniowe,</w:t>
            </w:r>
          </w:p>
          <w:p w14:paraId="75A15550" w14:textId="77777777" w:rsidR="00F76939" w:rsidRPr="00445120" w:rsidRDefault="00F76939" w:rsidP="00F7693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min. 384GB pamięci,</w:t>
            </w:r>
          </w:p>
          <w:p w14:paraId="4952DA25" w14:textId="77777777" w:rsidR="00F76939" w:rsidRPr="00445120" w:rsidRDefault="00F76939" w:rsidP="00F7693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min. 8x dysk twardy 2,5” Hot Plug min. 1,9TB SDD,</w:t>
            </w:r>
          </w:p>
          <w:p w14:paraId="0A878F7E" w14:textId="77777777" w:rsidR="00F76939" w:rsidRPr="00445120" w:rsidRDefault="00F76939" w:rsidP="00F7693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min. 8x dysk twardy 2,5” Hot Plug min. 2,4TB SAS, 10 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kprm</w:t>
            </w:r>
            <w:proofErr w:type="spellEnd"/>
            <w:r w:rsidRPr="00445120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0D988448" w14:textId="77777777" w:rsidR="00F76939" w:rsidRPr="00445120" w:rsidRDefault="00F76939" w:rsidP="00F7693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zintegrowany kontroler RAID z min. 8GB pamięci cache,</w:t>
            </w:r>
          </w:p>
          <w:p w14:paraId="2F1777C7" w14:textId="77777777" w:rsidR="00F76939" w:rsidRPr="00445120" w:rsidRDefault="00F76939" w:rsidP="00F7693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karta sieciowa LAN min. 4x 10Gb,</w:t>
            </w:r>
          </w:p>
          <w:p w14:paraId="325ADAEB" w14:textId="77777777" w:rsidR="00F76939" w:rsidRPr="00445120" w:rsidRDefault="00F76939" w:rsidP="00F7693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napęd DVD-ROM</w:t>
            </w:r>
          </w:p>
          <w:p w14:paraId="628D4A1A" w14:textId="77777777" w:rsidR="00F76939" w:rsidRPr="00445120" w:rsidRDefault="00F76939" w:rsidP="00F7693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podwójny nadmiarowy zasilacz</w:t>
            </w:r>
          </w:p>
          <w:p w14:paraId="6160B464" w14:textId="77777777" w:rsidR="00F76939" w:rsidRPr="00445120" w:rsidRDefault="00F76939" w:rsidP="00F7693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karta zdalnego zarządzania typu 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iDRAC</w:t>
            </w:r>
            <w:bookmarkEnd w:id="1"/>
            <w:proofErr w:type="spellEnd"/>
          </w:p>
          <w:p w14:paraId="55F53E36" w14:textId="77777777" w:rsidR="00F76939" w:rsidRPr="00445120" w:rsidRDefault="00F76939" w:rsidP="00F7693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oprogramowanie Microsoft Windows Server 2016 Datacenter lub nowsze – min. 4 szt.</w:t>
            </w:r>
          </w:p>
          <w:p w14:paraId="3C608E4F" w14:textId="77777777" w:rsidR="00F76939" w:rsidRPr="00445120" w:rsidRDefault="00F76939" w:rsidP="00F7693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licencje dostępowe Microsoft Windows Server 2016 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UserCAL</w:t>
            </w:r>
            <w:proofErr w:type="spellEnd"/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 lub nowszego – min. 60 szt.</w:t>
            </w:r>
          </w:p>
          <w:p w14:paraId="5F404DBB" w14:textId="77777777" w:rsidR="00F76939" w:rsidRPr="00445120" w:rsidRDefault="00F76939" w:rsidP="00F7693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przewód zasilający PDU 2m – 2 szt.</w:t>
            </w:r>
          </w:p>
          <w:p w14:paraId="40F2E164" w14:textId="77777777" w:rsidR="00F76939" w:rsidRPr="00445120" w:rsidRDefault="00F76939" w:rsidP="00F7693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przewód zasilający PDU 4m – 2 szt.</w:t>
            </w:r>
          </w:p>
        </w:tc>
      </w:tr>
      <w:tr w:rsidR="00F76939" w14:paraId="61CFB1C7" w14:textId="77777777" w:rsidTr="002B57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67FC3" w14:textId="77777777" w:rsidR="00F76939" w:rsidRPr="00445120" w:rsidRDefault="00F76939" w:rsidP="00AA6B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lastRenderedPageBreak/>
              <w:t>6.2.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02EC9" w14:textId="77777777" w:rsidR="00F76939" w:rsidRPr="00445120" w:rsidRDefault="00F76939" w:rsidP="00AA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Przestrzeń dyskowa do przechowywania wszystkich danych w bazie oferowanego systemu zarządzania oraz planowania leczenia, pozwalająca zmagazynować wszystkie obecne dane oraz utrzymać funkcjonalność systemu przez okres kolejnych 3 lat (zachowując poziom przyrostu liczby danych z ostatnich 3 lat), jako odpowiednia przestrzeń dyskowa zintegrowana z oferowanymi serwerami (dyski wbudowane w oferowane serwery) lub niezależna macierz dyskowa </w:t>
            </w:r>
          </w:p>
        </w:tc>
      </w:tr>
      <w:tr w:rsidR="00F76939" w14:paraId="6FCBBDCD" w14:textId="77777777" w:rsidTr="002B57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41A8C" w14:textId="77777777" w:rsidR="00F76939" w:rsidRPr="00445120" w:rsidRDefault="00F76939" w:rsidP="00AA6B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6.3.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B6559" w14:textId="77777777" w:rsidR="00F76939" w:rsidRPr="00445120" w:rsidRDefault="00F76939" w:rsidP="00AA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bookmarkStart w:id="2" w:name="_Hlk3380997"/>
            <w:r w:rsidRPr="00445120">
              <w:rPr>
                <w:rFonts w:ascii="Times New Roman" w:hAnsi="Times New Roman" w:cs="Times New Roman"/>
                <w:color w:val="000000" w:themeColor="text1"/>
              </w:rPr>
              <w:t>Streamer (napęd taśmowy) umożliwiający wykonywanie kopii bezpieczeństwa oferowanego systemu bezpośrednio na taśmie typu LTO-7 – 1 szt., wraz z taśmą czyszczącą – 1 szt. i taśmami LTO-7 – min. 10 szt</w:t>
            </w:r>
            <w:bookmarkEnd w:id="2"/>
            <w:r w:rsidRPr="0044512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76939" w14:paraId="5FA8E192" w14:textId="77777777" w:rsidTr="002B57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D63B2" w14:textId="77777777" w:rsidR="00F76939" w:rsidRPr="00445120" w:rsidRDefault="00F76939" w:rsidP="00AA6B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6.4.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6982E" w14:textId="77777777" w:rsidR="00F76939" w:rsidRPr="00445120" w:rsidRDefault="00F76939" w:rsidP="00AA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Oprogramowania do wykonywania kopii zapasowych na napędach taśmowych z możliwością obsługi min. 4 wirtualnych serwerów – 1 szt.</w:t>
            </w:r>
          </w:p>
        </w:tc>
      </w:tr>
      <w:tr w:rsidR="00F76939" w14:paraId="6BD77BA7" w14:textId="77777777" w:rsidTr="002B57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2751A" w14:textId="77777777" w:rsidR="00F76939" w:rsidRPr="00445120" w:rsidRDefault="00F76939" w:rsidP="00AA6B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6.5.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36932" w14:textId="77777777" w:rsidR="00F76939" w:rsidRPr="00445120" w:rsidRDefault="00F76939" w:rsidP="00AA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Zasilacz awaryjnego zasilania UPS 3000VA z kartą zdalnego zarządzania – 1 szt.</w:t>
            </w:r>
          </w:p>
        </w:tc>
      </w:tr>
      <w:tr w:rsidR="00F76939" w14:paraId="6534AFC8" w14:textId="77777777" w:rsidTr="002B57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A35D" w14:textId="77777777" w:rsidR="00F76939" w:rsidRPr="00445120" w:rsidRDefault="00F76939" w:rsidP="00AA6B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6.6.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AFDA1" w14:textId="77777777" w:rsidR="00F76939" w:rsidRPr="00445120" w:rsidRDefault="00F76939" w:rsidP="00AA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Komputer - stacja robocza zastępująca dotychczas wykorzystywaną stację fizyczną systemu 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Eclipse</w:t>
            </w:r>
            <w:proofErr w:type="spellEnd"/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 – 4 szt., w konfiguracji wymaganej przez producenta oferowanego systemu planowania leczenia, w tym minimum:</w:t>
            </w:r>
          </w:p>
          <w:p w14:paraId="2380D0F9" w14:textId="77777777" w:rsidR="00F76939" w:rsidRPr="00445120" w:rsidRDefault="00F76939" w:rsidP="00F7693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2 procesory min. 6-rdzeniowe </w:t>
            </w:r>
          </w:p>
          <w:p w14:paraId="1FDD9EE0" w14:textId="77777777" w:rsidR="00F76939" w:rsidRPr="00445120" w:rsidRDefault="00F76939" w:rsidP="00F7693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min. 32 GB RAM</w:t>
            </w:r>
          </w:p>
          <w:p w14:paraId="1424B69E" w14:textId="77777777" w:rsidR="00F76939" w:rsidRPr="00445120" w:rsidRDefault="00F76939" w:rsidP="00F7693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twardy dysk min. 1 TB</w:t>
            </w:r>
          </w:p>
          <w:p w14:paraId="5F7E8A90" w14:textId="77777777" w:rsidR="00F76939" w:rsidRPr="00445120" w:rsidRDefault="00F76939" w:rsidP="00F7693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karta graficzna min. 1GB </w:t>
            </w:r>
          </w:p>
          <w:p w14:paraId="149694E0" w14:textId="77777777" w:rsidR="00F76939" w:rsidRPr="00445120" w:rsidRDefault="00F76939" w:rsidP="00F7693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karta sieciową 100/1000 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Mbps</w:t>
            </w:r>
            <w:proofErr w:type="spellEnd"/>
          </w:p>
          <w:p w14:paraId="6FDA11B1" w14:textId="77777777" w:rsidR="00F76939" w:rsidRPr="00445120" w:rsidRDefault="00F76939" w:rsidP="00F7693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mysz i klawiatura</w:t>
            </w:r>
          </w:p>
          <w:p w14:paraId="1BE5959C" w14:textId="77777777" w:rsidR="00F76939" w:rsidRPr="00445120" w:rsidRDefault="00F76939" w:rsidP="00F7693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system operacyjny </w:t>
            </w:r>
          </w:p>
          <w:p w14:paraId="51A94123" w14:textId="77777777" w:rsidR="00F76939" w:rsidRPr="00445120" w:rsidRDefault="00F76939" w:rsidP="00F7693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monitor LCD 27” o rozdzielczości 2560x1440</w:t>
            </w:r>
          </w:p>
        </w:tc>
      </w:tr>
      <w:tr w:rsidR="00F76939" w14:paraId="4C2197C3" w14:textId="77777777" w:rsidTr="002B57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88438" w14:textId="77777777" w:rsidR="00F76939" w:rsidRPr="00445120" w:rsidRDefault="00F76939" w:rsidP="00AA6B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6.7.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515C9" w14:textId="77777777" w:rsidR="00F76939" w:rsidRPr="00445120" w:rsidRDefault="00F76939" w:rsidP="00AA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Doposażenie fizycznych stacji planowania leczenia o specjalistyczne dedykowane karty umożliwiające wykorzystanie mocy obliczeniowej procesorów graficznych GPU </w:t>
            </w:r>
            <w:r w:rsidRPr="0044512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pl-PL"/>
              </w:rPr>
              <w:t xml:space="preserve">do obliczeń optymalizacji dynamicznych planów leczenia IMRT i VMAT, w konfiguracji wymaganej przez producenta systemu planowania leczenia </w:t>
            </w:r>
            <w:r w:rsidRPr="00445120">
              <w:rPr>
                <w:rFonts w:ascii="Times New Roman" w:hAnsi="Times New Roman" w:cs="Times New Roman"/>
                <w:color w:val="000000" w:themeColor="text1"/>
              </w:rPr>
              <w:t>– 4 szt.</w:t>
            </w:r>
          </w:p>
        </w:tc>
      </w:tr>
      <w:tr w:rsidR="00F76939" w14:paraId="4E262927" w14:textId="77777777" w:rsidTr="002B57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7E237" w14:textId="77777777" w:rsidR="00F76939" w:rsidRPr="00445120" w:rsidRDefault="00F76939" w:rsidP="00AA6B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6.8.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E31AB" w14:textId="77777777" w:rsidR="00F76939" w:rsidRPr="00445120" w:rsidRDefault="00F76939" w:rsidP="00AA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Komputer - stacja robocza zastępująca dotychczas wykorzystywaną stację lekarską systemu 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Eclipse</w:t>
            </w:r>
            <w:proofErr w:type="spellEnd"/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 – 6 szt., w konfiguracji wymaganej przez producenta oferowanego systemu planowania leczenia, w tym minimum:</w:t>
            </w:r>
          </w:p>
          <w:p w14:paraId="57045738" w14:textId="77777777" w:rsidR="00F76939" w:rsidRPr="00445120" w:rsidRDefault="00F76939" w:rsidP="00F7693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procesor </w:t>
            </w:r>
          </w:p>
          <w:p w14:paraId="5C92E0F9" w14:textId="77777777" w:rsidR="00F76939" w:rsidRPr="00445120" w:rsidRDefault="00F76939" w:rsidP="00F7693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min. 8 GB RAM</w:t>
            </w:r>
          </w:p>
          <w:p w14:paraId="09CDA44D" w14:textId="77777777" w:rsidR="00F76939" w:rsidRPr="00445120" w:rsidRDefault="00F76939" w:rsidP="00F7693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twardy dysk min. 250 GB</w:t>
            </w:r>
          </w:p>
          <w:p w14:paraId="3124CA68" w14:textId="77777777" w:rsidR="00F76939" w:rsidRPr="00445120" w:rsidRDefault="00F76939" w:rsidP="00F7693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karta graficzna 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OpenGL</w:t>
            </w:r>
            <w:proofErr w:type="spellEnd"/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 2.1</w:t>
            </w:r>
            <w:r w:rsidR="008C031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B75C69A" w14:textId="77777777" w:rsidR="00F76939" w:rsidRPr="00445120" w:rsidRDefault="00F76939" w:rsidP="00F7693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karta sieciową 100/1000 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Mbps</w:t>
            </w:r>
            <w:proofErr w:type="spellEnd"/>
          </w:p>
          <w:p w14:paraId="20510572" w14:textId="77777777" w:rsidR="00F76939" w:rsidRPr="00445120" w:rsidRDefault="00F76939" w:rsidP="00F7693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mysz i klawiatura</w:t>
            </w:r>
          </w:p>
          <w:p w14:paraId="5F4AB7DC" w14:textId="77777777" w:rsidR="00F76939" w:rsidRPr="00445120" w:rsidRDefault="00F76939" w:rsidP="00F7693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system operacyjny </w:t>
            </w:r>
          </w:p>
          <w:p w14:paraId="507C5DC5" w14:textId="77777777" w:rsidR="00F76939" w:rsidRPr="00445120" w:rsidRDefault="00F76939" w:rsidP="00F7693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monitor LCD 27” o rozdzielczości 2560x1440</w:t>
            </w:r>
          </w:p>
        </w:tc>
      </w:tr>
      <w:tr w:rsidR="00F76939" w14:paraId="64D09FE9" w14:textId="77777777" w:rsidTr="002B57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5AE29" w14:textId="77777777" w:rsidR="00F76939" w:rsidRPr="00445120" w:rsidRDefault="00F76939" w:rsidP="00AA6B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6.9.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7316F" w14:textId="77777777" w:rsidR="00F76939" w:rsidRPr="00445120" w:rsidRDefault="00F76939" w:rsidP="00AA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Komputer - stacja robocza zastępująca dotychczas wykorzystywaną stację robocza systemu ARIA – 20 szt., w konfiguracji wymaganej przez producenta oferowanego systemu planowania leczenia, w tym minimum:</w:t>
            </w:r>
          </w:p>
          <w:p w14:paraId="7B3067A8" w14:textId="77777777" w:rsidR="00F76939" w:rsidRPr="00445120" w:rsidRDefault="00F76939" w:rsidP="00F7693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procesor 4-rdzeniowy </w:t>
            </w:r>
          </w:p>
          <w:p w14:paraId="0B058D4C" w14:textId="77777777" w:rsidR="00F76939" w:rsidRPr="00445120" w:rsidRDefault="00F76939" w:rsidP="00F7693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min. 8 GB RAM</w:t>
            </w:r>
          </w:p>
          <w:p w14:paraId="6F0A5A6C" w14:textId="77777777" w:rsidR="00F76939" w:rsidRPr="00445120" w:rsidRDefault="00F76939" w:rsidP="00F7693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twardy dysk min. 250 GB</w:t>
            </w:r>
          </w:p>
          <w:p w14:paraId="7B3BDBD0" w14:textId="77777777" w:rsidR="00F76939" w:rsidRPr="00445120" w:rsidRDefault="00F76939" w:rsidP="00F7693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karta graficzna </w:t>
            </w:r>
          </w:p>
          <w:p w14:paraId="426CC10F" w14:textId="77777777" w:rsidR="00F76939" w:rsidRPr="00445120" w:rsidRDefault="00F76939" w:rsidP="00F7693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karta sieciową 100/1000 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</w:rPr>
              <w:t>Mbps</w:t>
            </w:r>
            <w:proofErr w:type="spellEnd"/>
          </w:p>
          <w:p w14:paraId="61373816" w14:textId="77777777" w:rsidR="00F76939" w:rsidRPr="00445120" w:rsidRDefault="00F76939" w:rsidP="00F7693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mysz i klawiatura</w:t>
            </w:r>
          </w:p>
          <w:p w14:paraId="1E6F8374" w14:textId="77777777" w:rsidR="00F76939" w:rsidRPr="00445120" w:rsidRDefault="00F76939" w:rsidP="00F7693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system operacyjny </w:t>
            </w:r>
          </w:p>
          <w:p w14:paraId="3712BC5A" w14:textId="77777777" w:rsidR="00F76939" w:rsidRPr="00445120" w:rsidRDefault="00F76939" w:rsidP="00F7693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monitor LCD min. 23”</w:t>
            </w:r>
          </w:p>
        </w:tc>
      </w:tr>
      <w:tr w:rsidR="00F76939" w14:paraId="3CB7792E" w14:textId="77777777" w:rsidTr="002B57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397F8" w14:textId="77777777" w:rsidR="00F76939" w:rsidRPr="00445120" w:rsidRDefault="00F76939" w:rsidP="00AA6B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6.10.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9D544" w14:textId="77777777" w:rsidR="00F76939" w:rsidRPr="00445120" w:rsidRDefault="00F76939" w:rsidP="00AA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Kabel 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  <w:lang w:val="en-US"/>
              </w:rPr>
              <w:t>patchord</w:t>
            </w:r>
            <w:proofErr w:type="spellEnd"/>
            <w:r w:rsidRPr="0044512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CAT.6 3m – 20 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  <w:lang w:val="en-US"/>
              </w:rPr>
              <w:t>szt</w:t>
            </w:r>
            <w:proofErr w:type="spellEnd"/>
            <w:r w:rsidRPr="00445120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</w:tr>
      <w:tr w:rsidR="00F76939" w14:paraId="5198F238" w14:textId="77777777" w:rsidTr="002B57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0ADA1" w14:textId="77777777" w:rsidR="00F76939" w:rsidRPr="00445120" w:rsidRDefault="00F76939" w:rsidP="00AA6B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6.11.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1E41C" w14:textId="77777777" w:rsidR="00F76939" w:rsidRPr="00445120" w:rsidRDefault="00F76939" w:rsidP="00AA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Kabel 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  <w:lang w:val="en-US"/>
              </w:rPr>
              <w:t>patchord</w:t>
            </w:r>
            <w:proofErr w:type="spellEnd"/>
            <w:r w:rsidRPr="0044512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CAT.6 5m – 20 </w:t>
            </w:r>
            <w:proofErr w:type="spellStart"/>
            <w:r w:rsidRPr="00445120">
              <w:rPr>
                <w:rFonts w:ascii="Times New Roman" w:hAnsi="Times New Roman" w:cs="Times New Roman"/>
                <w:color w:val="000000" w:themeColor="text1"/>
                <w:lang w:val="en-US"/>
              </w:rPr>
              <w:t>szt</w:t>
            </w:r>
            <w:proofErr w:type="spellEnd"/>
            <w:r w:rsidRPr="00445120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</w:tr>
      <w:tr w:rsidR="00F76939" w:rsidRPr="00525BDE" w14:paraId="451514EE" w14:textId="77777777" w:rsidTr="002B57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12555" w14:textId="77777777" w:rsidR="00F76939" w:rsidRPr="00525BDE" w:rsidRDefault="00F76939" w:rsidP="00AA6B8D">
            <w:pPr>
              <w:rPr>
                <w:rFonts w:ascii="Times New Roman" w:hAnsi="Times New Roman" w:cs="Times New Roman"/>
              </w:rPr>
            </w:pPr>
            <w:r w:rsidRPr="00525BDE">
              <w:rPr>
                <w:rFonts w:ascii="Times New Roman" w:hAnsi="Times New Roman" w:cs="Times New Roman"/>
              </w:rPr>
              <w:t>6.12.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229AA" w14:textId="77777777" w:rsidR="00F76939" w:rsidRPr="00525BDE" w:rsidRDefault="00525BDE" w:rsidP="00525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25BDE">
              <w:rPr>
                <w:rFonts w:ascii="Times New Roman" w:hAnsi="Times New Roman" w:cs="Times New Roman"/>
                <w:lang w:val="en-US"/>
              </w:rPr>
              <w:t>Komputer</w:t>
            </w:r>
            <w:proofErr w:type="spellEnd"/>
            <w:r w:rsidRPr="00525BD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25BDE">
              <w:rPr>
                <w:rFonts w:ascii="Times New Roman" w:hAnsi="Times New Roman" w:cs="Times New Roman"/>
                <w:lang w:val="en-US"/>
              </w:rPr>
              <w:t>przenośny</w:t>
            </w:r>
            <w:proofErr w:type="spellEnd"/>
            <w:r w:rsidRPr="00525BD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25BDE">
              <w:rPr>
                <w:rFonts w:ascii="Times New Roman" w:hAnsi="Times New Roman" w:cs="Times New Roman"/>
                <w:lang w:val="en-US"/>
              </w:rPr>
              <w:t>umożliwiający</w:t>
            </w:r>
            <w:proofErr w:type="spellEnd"/>
            <w:r w:rsidRPr="00525BD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25BDE">
              <w:rPr>
                <w:rFonts w:ascii="Times New Roman" w:hAnsi="Times New Roman" w:cs="Times New Roman"/>
                <w:lang w:val="en-US"/>
              </w:rPr>
              <w:t>uruchomienie</w:t>
            </w:r>
            <w:proofErr w:type="spellEnd"/>
            <w:r w:rsidRPr="00525BD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25BDE">
              <w:rPr>
                <w:rFonts w:ascii="Times New Roman" w:hAnsi="Times New Roman" w:cs="Times New Roman"/>
                <w:lang w:val="en-US"/>
              </w:rPr>
              <w:t>oferowanego</w:t>
            </w:r>
            <w:proofErr w:type="spellEnd"/>
            <w:r w:rsidRPr="00525BD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25BDE">
              <w:rPr>
                <w:rFonts w:ascii="Times New Roman" w:hAnsi="Times New Roman" w:cs="Times New Roman"/>
                <w:lang w:val="en-US"/>
              </w:rPr>
              <w:t>oprogramowania</w:t>
            </w:r>
            <w:proofErr w:type="spellEnd"/>
          </w:p>
        </w:tc>
      </w:tr>
      <w:tr w:rsidR="00F76939" w:rsidRPr="00525BDE" w14:paraId="21CC759D" w14:textId="77777777" w:rsidTr="002B57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0D4D0" w14:textId="77777777" w:rsidR="00F76939" w:rsidRPr="00525BDE" w:rsidRDefault="00F76939" w:rsidP="00AA6B8D">
            <w:pPr>
              <w:rPr>
                <w:rFonts w:ascii="Times New Roman" w:hAnsi="Times New Roman" w:cs="Times New Roman"/>
              </w:rPr>
            </w:pPr>
            <w:r w:rsidRPr="00525BDE">
              <w:rPr>
                <w:rFonts w:ascii="Times New Roman" w:hAnsi="Times New Roman" w:cs="Times New Roman"/>
              </w:rPr>
              <w:t>6.13.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10E0B" w14:textId="77777777" w:rsidR="00F76939" w:rsidRPr="00525BDE" w:rsidRDefault="00F76939" w:rsidP="00AA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25BDE">
              <w:rPr>
                <w:rFonts w:ascii="Times New Roman" w:hAnsi="Times New Roman" w:cs="Times New Roman"/>
                <w:lang w:val="en-US"/>
              </w:rPr>
              <w:t>Drukarka</w:t>
            </w:r>
            <w:proofErr w:type="spellEnd"/>
            <w:r w:rsidRPr="00525BDE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="00525BDE" w:rsidRPr="00525BDE">
              <w:rPr>
                <w:rFonts w:ascii="Times New Roman" w:hAnsi="Times New Roman" w:cs="Times New Roman"/>
                <w:lang w:val="en-US"/>
              </w:rPr>
              <w:t>10</w:t>
            </w:r>
            <w:r w:rsidRPr="00525BD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25BDE">
              <w:rPr>
                <w:rFonts w:ascii="Times New Roman" w:hAnsi="Times New Roman" w:cs="Times New Roman"/>
                <w:lang w:val="en-US"/>
              </w:rPr>
              <w:t>szt</w:t>
            </w:r>
            <w:proofErr w:type="spellEnd"/>
            <w:r w:rsidRPr="00525BDE">
              <w:rPr>
                <w:rFonts w:ascii="Times New Roman" w:hAnsi="Times New Roman" w:cs="Times New Roman"/>
                <w:lang w:val="en-US"/>
              </w:rPr>
              <w:t>.:</w:t>
            </w:r>
          </w:p>
          <w:p w14:paraId="7404BE12" w14:textId="77777777" w:rsidR="00F76939" w:rsidRPr="00525BDE" w:rsidRDefault="00F76939" w:rsidP="00F76939">
            <w:pPr>
              <w:widowControl w:val="0"/>
              <w:numPr>
                <w:ilvl w:val="0"/>
                <w:numId w:val="17"/>
              </w:numPr>
              <w:textAlignment w:val="auto"/>
              <w:rPr>
                <w:rFonts w:ascii="Times New Roman" w:eastAsia="Times New Roman" w:hAnsi="Times New Roman" w:cs="Times New Roman"/>
                <w:bCs/>
              </w:rPr>
            </w:pPr>
            <w:r w:rsidRPr="00525BDE">
              <w:rPr>
                <w:rFonts w:ascii="Times New Roman" w:eastAsia="Times New Roman" w:hAnsi="Times New Roman" w:cs="Times New Roman"/>
                <w:bCs/>
              </w:rPr>
              <w:t>format A4, kolorowa laserowa</w:t>
            </w:r>
          </w:p>
          <w:p w14:paraId="74FC9EF7" w14:textId="77777777" w:rsidR="00F76939" w:rsidRPr="00525BDE" w:rsidRDefault="00F76939" w:rsidP="00F76939">
            <w:pPr>
              <w:widowControl w:val="0"/>
              <w:numPr>
                <w:ilvl w:val="0"/>
                <w:numId w:val="17"/>
              </w:numPr>
              <w:textAlignment w:val="auto"/>
              <w:rPr>
                <w:rFonts w:ascii="Times New Roman" w:eastAsia="Times New Roman" w:hAnsi="Times New Roman" w:cs="Times New Roman"/>
                <w:bCs/>
              </w:rPr>
            </w:pPr>
            <w:r w:rsidRPr="00525BDE">
              <w:rPr>
                <w:rFonts w:ascii="Times New Roman" w:eastAsia="Times New Roman" w:hAnsi="Times New Roman" w:cs="Times New Roman"/>
                <w:bCs/>
              </w:rPr>
              <w:t>opcja druku dwustronnego</w:t>
            </w:r>
          </w:p>
          <w:p w14:paraId="1A6B4F43" w14:textId="77777777" w:rsidR="00F76939" w:rsidRPr="00525BDE" w:rsidRDefault="00F76939" w:rsidP="00F76939">
            <w:pPr>
              <w:widowControl w:val="0"/>
              <w:numPr>
                <w:ilvl w:val="0"/>
                <w:numId w:val="17"/>
              </w:numPr>
              <w:textAlignment w:val="auto"/>
              <w:rPr>
                <w:rFonts w:ascii="Times New Roman" w:eastAsia="Times New Roman" w:hAnsi="Times New Roman" w:cs="Times New Roman"/>
                <w:bCs/>
              </w:rPr>
            </w:pPr>
            <w:r w:rsidRPr="00525BDE">
              <w:rPr>
                <w:rFonts w:ascii="Times New Roman" w:eastAsia="Times New Roman" w:hAnsi="Times New Roman" w:cs="Times New Roman"/>
                <w:bCs/>
              </w:rPr>
              <w:t>moduł pracy sieciowej</w:t>
            </w:r>
          </w:p>
        </w:tc>
      </w:tr>
      <w:tr w:rsidR="00F76939" w14:paraId="52A5C4A9" w14:textId="77777777" w:rsidTr="002B57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8CB52" w14:textId="77777777" w:rsidR="00F76939" w:rsidRPr="00445120" w:rsidRDefault="00F76939" w:rsidP="00AA6B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6.14.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CE6FA" w14:textId="77777777" w:rsidR="00F76939" w:rsidRPr="00445120" w:rsidRDefault="00F76939" w:rsidP="00AA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Oprogramowanie biurowe typu Microsoft Office zawierające przynajmniej aplikację typu Word – 3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445120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</w:tr>
      <w:tr w:rsidR="00525BDE" w14:paraId="0238E68C" w14:textId="77777777" w:rsidTr="002B57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657F1" w14:textId="77777777" w:rsidR="00525BDE" w:rsidRPr="00445120" w:rsidRDefault="00525BDE" w:rsidP="00AA6B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6.15.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89C82" w14:textId="77777777" w:rsidR="00525BDE" w:rsidRPr="00445120" w:rsidRDefault="00525BDE" w:rsidP="00525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Oprogramowanie antywirusowe z aktualizacją na 3 lata - 5 szt.</w:t>
            </w:r>
          </w:p>
        </w:tc>
      </w:tr>
      <w:tr w:rsidR="00F76939" w14:paraId="079BB829" w14:textId="77777777" w:rsidTr="002B57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128A1" w14:textId="77777777" w:rsidR="00F76939" w:rsidRPr="00445120" w:rsidRDefault="00AA6B8D" w:rsidP="00AA6B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II</w:t>
            </w:r>
            <w:r w:rsidR="00525BDE"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082EE" w14:textId="77777777" w:rsidR="00F76939" w:rsidRPr="00445120" w:rsidRDefault="00F76939" w:rsidP="00AA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b/>
                <w:color w:val="000000"/>
              </w:rPr>
              <w:t>DODATKOWE FUNKCJONALNOŚCI DO POSIADANEGO SYSTEMU</w:t>
            </w:r>
          </w:p>
        </w:tc>
      </w:tr>
      <w:tr w:rsidR="00F76939" w14:paraId="0FE96A8E" w14:textId="77777777" w:rsidTr="002B57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4AC3F" w14:textId="77777777" w:rsidR="00F76939" w:rsidRPr="00445120" w:rsidRDefault="00525BDE" w:rsidP="00AA6B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0E54B" w14:textId="77777777" w:rsidR="00F76939" w:rsidRPr="00445120" w:rsidRDefault="00F76939" w:rsidP="00AA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Szkolenia w zakresie zmian funkcjonalnych w nowej wersji oprogramowania dla przedstawicieli Zamawia</w:t>
            </w:r>
            <w:r w:rsidRPr="004451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jącego, tj. techników radioterapii, fizyków medycznych, radioterapeutów</w:t>
            </w:r>
          </w:p>
        </w:tc>
      </w:tr>
      <w:tr w:rsidR="00F76939" w14:paraId="33955B32" w14:textId="77777777" w:rsidTr="002B572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98A41" w14:textId="77777777" w:rsidR="00F76939" w:rsidRPr="00445120" w:rsidRDefault="00525BDE" w:rsidP="00AA6B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8</w:t>
            </w:r>
            <w:r w:rsidR="00F76939" w:rsidRPr="0044512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4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989B8" w14:textId="77777777" w:rsidR="00F76939" w:rsidRPr="00445120" w:rsidRDefault="00F76939" w:rsidP="00AA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Liczba przeglądów gwarancyjnych : min. 2 / rok</w:t>
            </w:r>
          </w:p>
        </w:tc>
      </w:tr>
      <w:tr w:rsidR="00F76939" w14:paraId="1F90E63E" w14:textId="77777777" w:rsidTr="002B572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850AE" w14:textId="77777777" w:rsidR="00F76939" w:rsidRPr="00445120" w:rsidRDefault="00525BDE" w:rsidP="00AA6B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4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BC994" w14:textId="77777777" w:rsidR="00F76939" w:rsidRPr="00445120" w:rsidRDefault="00F76939" w:rsidP="00AA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Przeglądy gwarancyjne wykonywane w dni robocze, tj. od poniedziałku do piątku, za wyjątkiem dni ustawowo wolnych</w:t>
            </w:r>
          </w:p>
        </w:tc>
      </w:tr>
      <w:tr w:rsidR="00F76939" w14:paraId="54FC2ACF" w14:textId="77777777" w:rsidTr="002B57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DAA33" w14:textId="77777777" w:rsidR="00F76939" w:rsidRPr="00445120" w:rsidRDefault="00525BDE" w:rsidP="00AA6B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7198E" w14:textId="77777777" w:rsidR="00F76939" w:rsidRPr="00445120" w:rsidRDefault="00F76939" w:rsidP="00AA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5120">
              <w:rPr>
                <w:rFonts w:ascii="Times New Roman" w:hAnsi="Times New Roman" w:cs="Times New Roman"/>
                <w:color w:val="000000" w:themeColor="text1"/>
              </w:rPr>
              <w:t>Naprawy gwarancyjne wykonywane w dni robocze, tj. od poniedziałku do piątku, za wyjątkiem dni ustawowo wolnych</w:t>
            </w:r>
          </w:p>
        </w:tc>
      </w:tr>
      <w:tr w:rsidR="00525BDE" w14:paraId="0241E44E" w14:textId="77777777" w:rsidTr="002B57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33950" w14:textId="77777777" w:rsidR="00525BDE" w:rsidRDefault="00525BDE" w:rsidP="00AA6B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AA467" w14:textId="77777777" w:rsidR="00525BDE" w:rsidRPr="00445120" w:rsidRDefault="00525BDE" w:rsidP="00AA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25BDE">
              <w:rPr>
                <w:rFonts w:ascii="Times New Roman" w:hAnsi="Times New Roman" w:cs="Times New Roman"/>
                <w:color w:val="000000" w:themeColor="text1"/>
              </w:rPr>
              <w:t>Czas reakcji serwisowej od zgłoszenia awarii: max 12 godzin</w:t>
            </w:r>
          </w:p>
        </w:tc>
      </w:tr>
    </w:tbl>
    <w:p w14:paraId="34E0327E" w14:textId="77777777" w:rsidR="00691B83" w:rsidRDefault="00D55559">
      <w:pPr>
        <w:spacing w:after="170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*w rubryce „Oferowana parametry/funkcje/warunki*” Wykonawca zobowiązany jest zamieścić wymagane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br/>
        <w:t xml:space="preserve">informacje, tj.:  wielkość, zakres parametru albo opisać daną właściwość, cechę, funkcję, parametr, itp. </w:t>
      </w:r>
    </w:p>
    <w:p w14:paraId="17FDE16C" w14:textId="77777777" w:rsidR="00691B83" w:rsidRDefault="00D55559">
      <w:pPr>
        <w:tabs>
          <w:tab w:val="left" w:pos="360"/>
        </w:tabs>
        <w:jc w:val="both"/>
        <w:rPr>
          <w:szCs w:val="20"/>
        </w:rPr>
      </w:pPr>
      <w:r>
        <w:rPr>
          <w:rFonts w:ascii="Times New Roman" w:hAnsi="Times New Roman"/>
          <w:szCs w:val="20"/>
        </w:rPr>
        <w:t xml:space="preserve">C. Oświadczam, że dostarczony Zamawiającemu przedmiot zamówienia spełniać będzie </w:t>
      </w:r>
      <w:r>
        <w:rPr>
          <w:rFonts w:ascii="Times New Roman" w:hAnsi="Times New Roman"/>
          <w:szCs w:val="20"/>
        </w:rPr>
        <w:br/>
        <w:t>właściwe, ustalone w obowiązujących przepisach prawa wymagania odnośnie dopuszczenia do użytkowania w polskich zakładach opieki zdrowotnej.</w:t>
      </w:r>
    </w:p>
    <w:p w14:paraId="01BDA7F5" w14:textId="77777777" w:rsidR="00691B83" w:rsidRDefault="00691B83">
      <w:pPr>
        <w:tabs>
          <w:tab w:val="left" w:pos="360"/>
        </w:tabs>
        <w:ind w:left="720"/>
        <w:jc w:val="both"/>
        <w:rPr>
          <w:rFonts w:ascii="Times New Roman" w:hAnsi="Times New Roman"/>
          <w:szCs w:val="20"/>
        </w:rPr>
      </w:pPr>
    </w:p>
    <w:p w14:paraId="63E10C90" w14:textId="77777777" w:rsidR="00691B83" w:rsidRDefault="00D55559">
      <w:pPr>
        <w:tabs>
          <w:tab w:val="left" w:pos="360"/>
        </w:tabs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D. Wykonawca zapewnia, że na potwierdzenie stanu faktycznego, o którym mowa w pkt B</w:t>
      </w:r>
      <w:r>
        <w:rPr>
          <w:rFonts w:ascii="Times New Roman" w:hAnsi="Times New Roman"/>
          <w:szCs w:val="20"/>
        </w:rPr>
        <w:br/>
        <w:t>i C posiada stosowne dokumenty, które zostaną niezwłocznie przekazane zamawiającemu, na jego pisemny wniosek.</w:t>
      </w:r>
    </w:p>
    <w:p w14:paraId="4BABD0BF" w14:textId="77777777" w:rsidR="00012EE0" w:rsidRDefault="00012EE0" w:rsidP="00012EE0">
      <w:pPr>
        <w:tabs>
          <w:tab w:val="left" w:pos="360"/>
        </w:tabs>
        <w:jc w:val="both"/>
        <w:rPr>
          <w:szCs w:val="20"/>
        </w:rPr>
      </w:pPr>
    </w:p>
    <w:p w14:paraId="19741777" w14:textId="77777777" w:rsidR="00012EE0" w:rsidRPr="00012EE0" w:rsidRDefault="00012EE0" w:rsidP="00012EE0">
      <w:pPr>
        <w:tabs>
          <w:tab w:val="left" w:pos="360"/>
        </w:tabs>
        <w:jc w:val="both"/>
        <w:rPr>
          <w:szCs w:val="20"/>
        </w:rPr>
      </w:pPr>
    </w:p>
    <w:p w14:paraId="15B4EF2C" w14:textId="77777777" w:rsidR="00012EE0" w:rsidRDefault="00012EE0">
      <w:pPr>
        <w:tabs>
          <w:tab w:val="left" w:pos="360"/>
        </w:tabs>
        <w:jc w:val="both"/>
        <w:rPr>
          <w:szCs w:val="20"/>
        </w:rPr>
      </w:pPr>
    </w:p>
    <w:p w14:paraId="594834A3" w14:textId="77777777" w:rsidR="00691B83" w:rsidRDefault="00691B83">
      <w:pPr>
        <w:tabs>
          <w:tab w:val="left" w:pos="360"/>
        </w:tabs>
        <w:ind w:left="357"/>
        <w:jc w:val="both"/>
        <w:rPr>
          <w:rFonts w:cs="Times New Roman"/>
          <w:color w:val="000000"/>
          <w:szCs w:val="20"/>
          <w:lang w:eastAsia="pl-PL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959"/>
        <w:gridCol w:w="5103"/>
      </w:tblGrid>
      <w:tr w:rsidR="00691B83" w14:paraId="5EB58ED0" w14:textId="77777777">
        <w:trPr>
          <w:trHeight w:val="1020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02C8D" w14:textId="45678336" w:rsidR="00691B83" w:rsidRDefault="00691B8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46222" w14:textId="2395D05F" w:rsidR="00691B83" w:rsidRDefault="00691B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634A0F1" w14:textId="77777777" w:rsidR="00691B83" w:rsidRDefault="00691B83">
      <w:pPr>
        <w:pStyle w:val="Bezodstpw"/>
      </w:pPr>
    </w:p>
    <w:sectPr w:rsidR="00691B83" w:rsidSect="00467A15">
      <w:footerReference w:type="default" r:id="rId7"/>
      <w:pgSz w:w="11906" w:h="16838"/>
      <w:pgMar w:top="284" w:right="1133" w:bottom="777" w:left="1418" w:header="398" w:footer="0" w:gutter="0"/>
      <w:cols w:space="708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B00BF" w14:textId="77777777" w:rsidR="00A86BE0" w:rsidRDefault="00A86BE0">
      <w:r>
        <w:separator/>
      </w:r>
    </w:p>
  </w:endnote>
  <w:endnote w:type="continuationSeparator" w:id="0">
    <w:p w14:paraId="355D0599" w14:textId="77777777" w:rsidR="00A86BE0" w:rsidRDefault="00A8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97927" w14:textId="77777777" w:rsidR="00AA6B8D" w:rsidRDefault="00AA6B8D">
    <w:pPr>
      <w:pStyle w:val="Stopka1"/>
      <w:ind w:right="360"/>
    </w:pPr>
  </w:p>
  <w:p w14:paraId="02B9878B" w14:textId="77777777" w:rsidR="00AA6B8D" w:rsidRDefault="00AA6B8D">
    <w:pPr>
      <w:pStyle w:val="Stopka1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91BF" w14:textId="77777777" w:rsidR="00A86BE0" w:rsidRDefault="00A86BE0">
      <w:r>
        <w:separator/>
      </w:r>
    </w:p>
  </w:footnote>
  <w:footnote w:type="continuationSeparator" w:id="0">
    <w:p w14:paraId="23C056F4" w14:textId="77777777" w:rsidR="00A86BE0" w:rsidRDefault="00A86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3360"/>
    <w:multiLevelType w:val="hybridMultilevel"/>
    <w:tmpl w:val="45821EB2"/>
    <w:lvl w:ilvl="0" w:tplc="9EC0C6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548E8"/>
    <w:multiLevelType w:val="hybridMultilevel"/>
    <w:tmpl w:val="5C884126"/>
    <w:lvl w:ilvl="0" w:tplc="9EC0C6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50BA9"/>
    <w:multiLevelType w:val="hybridMultilevel"/>
    <w:tmpl w:val="3B8A9878"/>
    <w:lvl w:ilvl="0" w:tplc="9EC0C6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C9634F"/>
    <w:multiLevelType w:val="hybridMultilevel"/>
    <w:tmpl w:val="1BE2EFB4"/>
    <w:lvl w:ilvl="0" w:tplc="9EC0C6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0405E8"/>
    <w:multiLevelType w:val="hybridMultilevel"/>
    <w:tmpl w:val="65CA8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C1C22"/>
    <w:multiLevelType w:val="hybridMultilevel"/>
    <w:tmpl w:val="FA52CFE4"/>
    <w:lvl w:ilvl="0" w:tplc="9EC0C6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B4039A"/>
    <w:multiLevelType w:val="hybridMultilevel"/>
    <w:tmpl w:val="56EE4EEE"/>
    <w:lvl w:ilvl="0" w:tplc="9EC0C6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F01C90"/>
    <w:multiLevelType w:val="hybridMultilevel"/>
    <w:tmpl w:val="338C0C10"/>
    <w:lvl w:ilvl="0" w:tplc="9EC0C6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F7D1C"/>
    <w:multiLevelType w:val="multilevel"/>
    <w:tmpl w:val="D6587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0246A88"/>
    <w:multiLevelType w:val="hybridMultilevel"/>
    <w:tmpl w:val="5906B360"/>
    <w:lvl w:ilvl="0" w:tplc="9EC0C6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B31B57"/>
    <w:multiLevelType w:val="hybridMultilevel"/>
    <w:tmpl w:val="F982B5C2"/>
    <w:lvl w:ilvl="0" w:tplc="9EC0C6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197C2E"/>
    <w:multiLevelType w:val="hybridMultilevel"/>
    <w:tmpl w:val="63064594"/>
    <w:lvl w:ilvl="0" w:tplc="9EC0C6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2F721F"/>
    <w:multiLevelType w:val="hybridMultilevel"/>
    <w:tmpl w:val="D1C40636"/>
    <w:lvl w:ilvl="0" w:tplc="70D87F6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3851D0">
      <w:start w:val="4"/>
      <w:numFmt w:val="bullet"/>
      <w:lvlText w:val="-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78"/>
        </w:tabs>
        <w:ind w:left="16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98"/>
        </w:tabs>
        <w:ind w:left="23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18"/>
        </w:tabs>
        <w:ind w:left="31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38"/>
        </w:tabs>
        <w:ind w:left="38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58"/>
        </w:tabs>
        <w:ind w:left="45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78"/>
        </w:tabs>
        <w:ind w:left="52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98"/>
        </w:tabs>
        <w:ind w:left="5998" w:hanging="360"/>
      </w:pPr>
      <w:rPr>
        <w:rFonts w:ascii="Wingdings" w:hAnsi="Wingdings" w:hint="default"/>
      </w:rPr>
    </w:lvl>
  </w:abstractNum>
  <w:abstractNum w:abstractNumId="13" w15:restartNumberingAfterBreak="0">
    <w:nsid w:val="55380B0F"/>
    <w:multiLevelType w:val="hybridMultilevel"/>
    <w:tmpl w:val="D39CBEE8"/>
    <w:lvl w:ilvl="0" w:tplc="9EC0C6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875F3"/>
    <w:multiLevelType w:val="multilevel"/>
    <w:tmpl w:val="8FA8BA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F0168C4"/>
    <w:multiLevelType w:val="hybridMultilevel"/>
    <w:tmpl w:val="D8B2E2C2"/>
    <w:lvl w:ilvl="0" w:tplc="9EC0C6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6D0EF0"/>
    <w:multiLevelType w:val="hybridMultilevel"/>
    <w:tmpl w:val="89A03906"/>
    <w:lvl w:ilvl="0" w:tplc="9EC0C6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4E73D2"/>
    <w:multiLevelType w:val="hybridMultilevel"/>
    <w:tmpl w:val="116EE708"/>
    <w:lvl w:ilvl="0" w:tplc="9EC0C6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3663BD"/>
    <w:multiLevelType w:val="hybridMultilevel"/>
    <w:tmpl w:val="1D4EA894"/>
    <w:lvl w:ilvl="0" w:tplc="70D87F68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15"/>
  </w:num>
  <w:num w:numId="8">
    <w:abstractNumId w:val="11"/>
  </w:num>
  <w:num w:numId="9">
    <w:abstractNumId w:val="6"/>
  </w:num>
  <w:num w:numId="10">
    <w:abstractNumId w:val="9"/>
  </w:num>
  <w:num w:numId="11">
    <w:abstractNumId w:val="16"/>
  </w:num>
  <w:num w:numId="12">
    <w:abstractNumId w:val="13"/>
  </w:num>
  <w:num w:numId="13">
    <w:abstractNumId w:val="5"/>
  </w:num>
  <w:num w:numId="14">
    <w:abstractNumId w:val="1"/>
  </w:num>
  <w:num w:numId="15">
    <w:abstractNumId w:val="17"/>
  </w:num>
  <w:num w:numId="16">
    <w:abstractNumId w:val="0"/>
  </w:num>
  <w:num w:numId="17">
    <w:abstractNumId w:val="12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B83"/>
    <w:rsid w:val="00012EE0"/>
    <w:rsid w:val="002B572C"/>
    <w:rsid w:val="00467A15"/>
    <w:rsid w:val="004F6262"/>
    <w:rsid w:val="00525BDE"/>
    <w:rsid w:val="00691B83"/>
    <w:rsid w:val="008C0311"/>
    <w:rsid w:val="008F471E"/>
    <w:rsid w:val="00A86BE0"/>
    <w:rsid w:val="00AA6B8D"/>
    <w:rsid w:val="00B366AC"/>
    <w:rsid w:val="00B6010A"/>
    <w:rsid w:val="00B857BC"/>
    <w:rsid w:val="00C17C9C"/>
    <w:rsid w:val="00D55559"/>
    <w:rsid w:val="00F7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896A6"/>
  <w15:docId w15:val="{6007C233-B4E0-4FF0-AAF6-C1A9ECA9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1A5"/>
    <w:pPr>
      <w:textAlignment w:val="baseline"/>
    </w:pPr>
  </w:style>
  <w:style w:type="paragraph" w:styleId="Nagwek6">
    <w:name w:val="heading 6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  <w:rsid w:val="00DD036B"/>
  </w:style>
  <w:style w:type="character" w:customStyle="1" w:styleId="Znakinumeracji">
    <w:name w:val="Znaki numeracji"/>
    <w:qFormat/>
    <w:rPr>
      <w:rFonts w:ascii="Times New Roman" w:hAnsi="Times New Roman"/>
      <w:b w:val="0"/>
      <w:bCs w:val="0"/>
    </w:rPr>
  </w:style>
  <w:style w:type="paragraph" w:styleId="Nagwek">
    <w:name w:val="header"/>
    <w:basedOn w:val="Normalny"/>
    <w:next w:val="Tekstpodstawowy"/>
    <w:pPr>
      <w:tabs>
        <w:tab w:val="center" w:pos="4680"/>
        <w:tab w:val="right" w:pos="9360"/>
      </w:tabs>
    </w:pPr>
    <w:rPr>
      <w:rFonts w:cs="Mangal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rsid w:val="00441F51"/>
    <w:pPr>
      <w:widowControl w:val="0"/>
      <w:overflowPunct w:val="0"/>
      <w:spacing w:after="120"/>
    </w:pPr>
    <w:rPr>
      <w:rFonts w:ascii="Times New Roman" w:eastAsia="Andale Sans UI" w:hAnsi="Times New Roman" w:cs="Tahoma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qFormat/>
    <w:pPr>
      <w:suppressLineNumbers/>
    </w:pPr>
  </w:style>
  <w:style w:type="paragraph" w:customStyle="1" w:styleId="Nagwek1">
    <w:name w:val="Nagłówek1"/>
    <w:next w:val="Textbody"/>
    <w:qFormat/>
    <w:pPr>
      <w:suppressLineNumbers/>
      <w:tabs>
        <w:tab w:val="center" w:pos="4535"/>
        <w:tab w:val="right" w:pos="9070"/>
      </w:tabs>
    </w:pPr>
  </w:style>
  <w:style w:type="paragraph" w:customStyle="1" w:styleId="Nagwek11">
    <w:name w:val="Nagłówek 11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suppressAutoHyphens/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suppressAutoHyphens/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suppressAutoHyphens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2C5DEF"/>
    <w:pPr>
      <w:ind w:left="720"/>
      <w:contextualSpacing/>
    </w:pPr>
    <w:rPr>
      <w:rFonts w:cs="Mangal"/>
    </w:rPr>
  </w:style>
  <w:style w:type="numbering" w:customStyle="1" w:styleId="Numeracja123">
    <w:name w:val="Numeracja 123"/>
    <w:qFormat/>
  </w:style>
  <w:style w:type="table" w:styleId="Tabela-Siatka">
    <w:name w:val="Table Grid"/>
    <w:basedOn w:val="Standardowy"/>
    <w:uiPriority w:val="39"/>
    <w:rsid w:val="0085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3329</Words>
  <Characters>19975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12</cp:revision>
  <cp:lastPrinted>2021-12-23T10:48:00Z</cp:lastPrinted>
  <dcterms:created xsi:type="dcterms:W3CDTF">2021-12-22T10:19:00Z</dcterms:created>
  <dcterms:modified xsi:type="dcterms:W3CDTF">2021-12-23T10:53:00Z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