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</w:rPr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  <w:lang w:val="pl-PL"/>
        </w:rPr>
      </w:pPr>
      <w:r>
        <w:rPr>
          <w:rFonts w:cs="Tahoma" w:ascii="Tahoma" w:hAnsi="Tahoma"/>
          <w:szCs w:val="20"/>
          <w:lang w:val="pl-PL"/>
        </w:rPr>
        <w:t xml:space="preserve">Projekt postanowień </w:t>
      </w:r>
      <w:r>
        <w:rPr>
          <w:rFonts w:cs="Tahoma" w:ascii="Tahoma" w:hAnsi="Tahoma"/>
          <w:szCs w:val="20"/>
        </w:rPr>
        <w:t>Umow</w:t>
      </w:r>
      <w:r>
        <w:rPr>
          <w:rFonts w:cs="Tahoma" w:ascii="Tahoma" w:hAnsi="Tahoma"/>
          <w:szCs w:val="20"/>
          <w:lang w:val="pl-PL"/>
        </w:rPr>
        <w:t>y</w:t>
      </w:r>
      <w:r>
        <w:rPr>
          <w:rFonts w:cs="Tahoma" w:ascii="Tahoma" w:hAnsi="Tahoma"/>
          <w:szCs w:val="20"/>
        </w:rPr>
        <w:t xml:space="preserve">   …………………………………</w:t>
      </w:r>
      <w:r>
        <w:rPr>
          <w:rFonts w:cs="Tahoma" w:ascii="Tahoma" w:hAnsi="Tahoma"/>
          <w:szCs w:val="20"/>
          <w:lang w:val="pl-PL"/>
        </w:rPr>
        <w:t>,</w:t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  <w:lang w:val="pl-PL"/>
        </w:rPr>
        <w:t>(dalej: Umowa dla Części II)</w:t>
      </w:r>
    </w:p>
    <w:p>
      <w:pPr>
        <w:pStyle w:val="Nagwek11"/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szCs w:val="20"/>
        </w:rPr>
        <w:t>(wzór)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zawarta w ………………………….., dnia .......................... w wyniku przeprowadzonego postępowania pn.</w:t>
      </w:r>
      <w:r>
        <w:rPr>
          <w:rFonts w:cs="Tahoma" w:ascii="Tahoma" w:hAnsi="Tahoma"/>
          <w:i w:val="false"/>
          <w:sz w:val="20"/>
          <w:szCs w:val="20"/>
        </w:rPr>
        <w:t xml:space="preserve"> „Ubezpieczenie mienia i odpowiedzialności cywilnej wraz z ubezpieczeniami komunikacyjnymi oraz następstw nieszczęśliwych wypadków członków OSP Gminy Mykanów”</w:t>
      </w:r>
      <w:bookmarkStart w:id="0" w:name="_Hlk95856937"/>
      <w:r>
        <w:rPr>
          <w:rFonts w:cs="Tahoma" w:ascii="Tahoma" w:hAnsi="Tahoma"/>
          <w:i w:val="false"/>
          <w:sz w:val="20"/>
          <w:szCs w:val="20"/>
        </w:rPr>
        <w:t xml:space="preserve"> </w:t>
      </w:r>
      <w:bookmarkEnd w:id="0"/>
      <w:r>
        <w:rPr>
          <w:rFonts w:cs="Tahoma" w:ascii="Tahoma" w:hAnsi="Tahoma"/>
          <w:b w:val="false"/>
          <w:i w:val="false"/>
          <w:sz w:val="20"/>
          <w:szCs w:val="20"/>
        </w:rPr>
        <w:t xml:space="preserve">w trybie podstawowym bez możliwości negocjacji – numer sprawy GKZ.271.09.2023 pomiędzy: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tabs>
          <w:tab w:val="clear" w:pos="708"/>
          <w:tab w:val="left" w:pos="686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tabs>
          <w:tab w:val="clear" w:pos="708"/>
          <w:tab w:val="left" w:pos="719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Zamawiającym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 xml:space="preserve">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a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Wykonawcą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sz w:val="20"/>
          <w:szCs w:val="20"/>
        </w:rPr>
        <w:t>§1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Przedmiotem Umowy dla Części II jest określenie zasad i warunków na jakich Wykonawca będzie świadczyć usługi </w:t>
      </w:r>
      <w:r>
        <w:rPr>
          <w:rFonts w:cs="Tahoma" w:ascii="Tahoma" w:hAnsi="Tahoma"/>
          <w:i w:val="false"/>
          <w:sz w:val="20"/>
          <w:szCs w:val="20"/>
        </w:rPr>
        <w:t xml:space="preserve">„Ubezpieczenie mienia i odpowiedzialności cywilnej wraz z ubezpieczeniami komunikacyjnymi oraz następstw nieszczęśliwych wypadków członków OSP Gminy Mykanów” </w:t>
      </w:r>
      <w:r>
        <w:rPr>
          <w:rFonts w:cs="Tahoma" w:ascii="Tahoma" w:hAnsi="Tahoma"/>
          <w:b w:val="false"/>
          <w:i w:val="false"/>
          <w:sz w:val="20"/>
          <w:szCs w:val="20"/>
        </w:rPr>
        <w:t xml:space="preserve">(dalej: „Zamówienie dla Części II”), tj. będzie realizował zamówienie publiczne dla Części II, które uzyskał w wyniku przeprowadzenia postępowania w trybie podstawowym bez możliwości negocjacji, w </w:t>
      </w:r>
      <w:r>
        <w:rPr>
          <w:rFonts w:cs="Tahoma" w:ascii="Tahoma" w:hAnsi="Tahoma"/>
          <w:b w:val="false"/>
          <w:bCs w:val="false"/>
          <w:i w:val="false"/>
          <w:sz w:val="20"/>
          <w:szCs w:val="20"/>
        </w:rPr>
        <w:t>sprawie o nr:</w:t>
      </w:r>
      <w:r>
        <w:rPr>
          <w:i w:val="false"/>
          <w:iCs w:val="false"/>
          <w:sz w:val="20"/>
          <w:szCs w:val="20"/>
        </w:rPr>
        <w:t xml:space="preserve"> </w:t>
      </w:r>
      <w:r>
        <w:rPr>
          <w:rFonts w:cs="Tahoma" w:ascii="Tahoma" w:hAnsi="Tahoma"/>
          <w:bCs w:val="false"/>
          <w:i w:val="false"/>
          <w:iCs w:val="false"/>
          <w:sz w:val="20"/>
          <w:szCs w:val="20"/>
        </w:rPr>
        <w:t>GKZ.271.09.2023</w:t>
      </w:r>
    </w:p>
    <w:p>
      <w:pPr>
        <w:pStyle w:val="Nagwek2"/>
        <w:numPr>
          <w:ilvl w:val="1"/>
          <w:numId w:val="1"/>
        </w:numPr>
        <w:spacing w:lineRule="auto" w:line="276" w:before="0" w:after="0"/>
        <w:jc w:val="center"/>
        <w:rPr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Przedmiot i zakres realizacji Zamówienia dla Części II jest zgodny z warunkami przedstawionymi </w:t>
        <w:br/>
        <w:t>w Specyfikacji Warunków Zamówienia (dalej „SWZ”).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Umowa zostaje zawarta na okres od ………………….. r. do</w:t>
      </w:r>
      <w:r>
        <w:rPr>
          <w:sz w:val="20"/>
          <w:szCs w:val="20"/>
          <w:shd w:fill="FFFFFF" w:val="clear"/>
        </w:rPr>
        <w:t xml:space="preserve"> …………… r.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Wartość przedmiotu Zamówienia dla Części II wynosi: ................................................. zł (słownie:..............................................................................................zł). Ww. kwota stanowi łączna wartość składki za ubezpieczenie objęte Zamówieniem dla Części  II. 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Wykonawca przyjmuje do ubezpieczenia pojazdy Zamawiającego w ramach następujących zadań:</w:t>
      </w:r>
    </w:p>
    <w:p>
      <w:pPr>
        <w:pStyle w:val="Normal"/>
        <w:shd w:val="clear" w:fill="FFFFFF"/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hd w:val="clear" w:fill="FFFFFF"/>
        <w:spacing w:lineRule="auto" w:line="276" w:before="0" w:after="0"/>
        <w:ind w:left="284" w:right="0" w:hanging="0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Część I - Ubezpieczenie pojazdów Gminy Mykanów </w:t>
      </w:r>
    </w:p>
    <w:p>
      <w:pPr>
        <w:pStyle w:val="Normal"/>
        <w:shd w:val="clear" w:fill="FFFFFF"/>
        <w:spacing w:lineRule="auto" w:line="240" w:before="0" w:after="0"/>
        <w:ind w:left="567" w:right="0" w:hanging="283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pacing w:lineRule="auto" w:line="276" w:before="0" w:after="0"/>
        <w:ind w:left="284" w:right="0" w:hanging="284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t>1.</w:t>
        <w:tab/>
        <w:t xml:space="preserve">Ubezpieczenie obowiązkowe odpowiedzialności cywilnej posiadacza pojazdu mechanicznego; </w:t>
      </w:r>
    </w:p>
    <w:p>
      <w:pPr>
        <w:pStyle w:val="Normal"/>
        <w:spacing w:lineRule="auto" w:line="276" w:before="0" w:after="0"/>
        <w:ind w:left="284" w:right="0" w:hanging="284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t>2.</w:t>
        <w:tab/>
        <w:t>Ubezpieczenie auto casco;</w:t>
      </w:r>
    </w:p>
    <w:p>
      <w:pPr>
        <w:pStyle w:val="Normal"/>
        <w:spacing w:lineRule="auto" w:line="276" w:before="0" w:after="0"/>
        <w:ind w:left="284" w:right="0" w:hanging="284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t>3.</w:t>
        <w:tab/>
        <w:t>Ubezpieczenie następstw nieszczęśliwych wypadków kierowcy i pasażerów;</w:t>
      </w:r>
    </w:p>
    <w:p>
      <w:pPr>
        <w:pStyle w:val="Normal"/>
        <w:spacing w:lineRule="auto" w:line="276" w:before="0" w:after="0"/>
        <w:jc w:val="left"/>
        <w:rPr>
          <w:rFonts w:eastAsia="Calibri"/>
          <w:b/>
          <w:sz w:val="20"/>
          <w:szCs w:val="20"/>
        </w:rPr>
      </w:pPr>
      <w:r>
        <w:rPr>
          <w:rFonts w:eastAsia="Tahoma"/>
          <w:bCs/>
          <w:sz w:val="20"/>
          <w:szCs w:val="20"/>
          <w:lang w:eastAsia="en-US"/>
        </w:rPr>
        <w:br/>
        <w:br/>
        <w:br/>
      </w:r>
    </w:p>
    <w:p>
      <w:pPr>
        <w:pStyle w:val="Normal"/>
        <w:spacing w:lineRule="auto" w:line="276" w:before="0" w:after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wystawi polisy, stanowiące dokumenty potwierdzające zawarcie umowy ubezpieczenia na każdy rodzaj ubezpieczenia wymieniony w SWZ w których to polisach uwzględni warunki zawarte </w:t>
        <w:br/>
        <w:t>w opisie Programu Ubezpieczenia stanowiącego Załącznik 1.2 do SWZ. W przypadku braku możliwości wystawienia polis ubezpieczeniowych, Wykonawca którego oferta zostanie wybrana jako najkorzystniejsza w Części II zobowiązany będzie do podpisania i przekazania Zamawiającemu noty pokrycia gwarantującej ochronę ubezpieczeniową Zamawiającemu do dnia wystawienia polis ubezpieczeniowych. Wzór noty pokrycia stanowi Załącznik 3.2 do SWZ.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II, klauzulami obligatoryjnymi oraz fakultatywnymi stanowiącymi integralną część polis ubezpieczeniowych mają zastosowanie postanowienia ogólnych warunków ubezpieczenia tj.: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 xml:space="preserve">Owu …………………………………………………………………………………… z dnia… 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>Owu …………………………………………………………………………………… z dnia…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>Owu …………………………………………………………………………………… z dnia…</w:t>
      </w:r>
    </w:p>
    <w:p>
      <w:pPr>
        <w:pStyle w:val="Normal"/>
        <w:spacing w:lineRule="auto" w:line="276" w:before="0" w:after="0"/>
        <w:ind w:left="360" w:right="0" w:hanging="0"/>
        <w:rPr>
          <w:sz w:val="20"/>
          <w:szCs w:val="20"/>
        </w:rPr>
      </w:pPr>
      <w:r>
        <w:rPr>
          <w:sz w:val="20"/>
          <w:szCs w:val="20"/>
        </w:rPr>
        <w:t>oraz przepisy Kodeksu Cywilnego.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Postanowienia Umowy dla Części II oraz postanowienia SWZ są nadrzędne wobec Ogólnych Warunków Ubezpieczenia wskazanych w pkt 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 xml:space="preserve">Wykonawca na wniosek Zamawiającego zobowiązuje się do podziału składki na poszczególnych Ubezpieczonych których dotyczą poszczególne zakresy ochrony. 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Nieopłacenie przez Zamawiającego składki lub raty składki z polisy w terminie przewidzianym w §6 nie powoduje ustania odpowiedzialności Wykonawcy.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Wykonawca potwierdza, iż warunki zaoferowane Zamawiającemu będą przez cały okres trwania umowy dostępne również dla wskazanych przez niego wszystkich Ubezpieczonych w ramach niniejszego postępowania.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Ubezpieczeniem objęte zostanie mienie wyszczególnione w SWZ, z uwzględnieniem ewentualnych zmian lub/i korekt aktualizacyjnych, wprowadzonych przez Ubezpieczającego po rozstrzygnięciu przetargu </w:t>
        <w:br/>
        <w:t>i przed wystawieniem polis ubezpieczeniowych.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gwarantuje niezmienność stawek rocznych, przez cały okres trwania Umowy dla Części II wskazany w §2 ust. 2 we wszystkich rodzajach ubezpieczeń wynikających ze złożonej oferty.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gwarantuje, że stawki przewidziane w przypadku doubezpieczenia, uzupełnienia lub podwyższenia sumy ubezpieczenia (gwarancyjnej) nie będą wyższe niż zastosowane w przedstawionej ofercie, niezależnie od przyczyny i formy prawnej podwyższenia sumy ubezpieczenia (gwarancyjnej), </w:t>
        <w:br/>
        <w:t>a w szczególności będącej wynikiem zawarcia przez Zamawiającego umowy kupna, leasingu, użyczenia lub podobnych.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Składka za każdą polisę ubezpieczeniową będzie płatna jednorazowo w terminie do 14 dni kalendarzowych liczonych od początku okresu ubezpieczenia dla danej polisy ubezpieczeniowej: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§7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Niedopuszczalne są jakiekolwiek zmiany postanowień Umowy dla Części II w stosunku do treści oferty, na podstawie której dokonano wyboru Wykonawcy, chyba że konieczność wprowadzenia takich zmian wynika z okoliczności, których nie można było przewidzieć w chwili zawarcia Umowy dla Części II lub zmiany te są korzystne dla Zamawiającego.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Zmiana Umowy dla Części II wymaga zgody obu stron wyrażonej na piśmie pod rygorem nieważności.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>Zamawiający przewiduje możliwość wprowadzenia wymienionych poniżej zmian zapisów niniejszej Umowy dla Części II w stosunku do treści oferty na podstawie której dokonano wyboru Wykonawcy tj.: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zmiana wysokości składki lub raty składki w przypadku zmiany sumy ubezpieczenia -                       w przypadku zmiany wartości majątku (wzrostu lub spadku) a także rozliczania klauzuli automatycznego pokrycia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razie konieczności zwiększenia aktualnych sum gwarancyjnych lub uzupełnienia limitów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korzystne dla Zamawiającego zmiany zakresu ubezpieczenia wynikające ze zmian OWU Wykonawcy oraz wprowadzenia nowych klauzul za zgodą Zamawiającego i Wykonawcy;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terminów płatności, wysokości i liczby rat składki – w przypadku braku środków na zapłatę składek przez Ubezpieczonych w terminie przewidzianym w umowie oraz dokumentach ubezpieczenia, bez dodatkowej zwyżki wysokości składki przy rozłożeniu jej na raty,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Ubezpieczonych i ich formy prawnej - w przypadku powstania nowych jednostek, przekształcenia, wyodrębniania, połączenia lub likwidacji, w tym zmianie zakresu wykonywanej działalności w szczególności w miejscach jej wykonywania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rozszerzenie zakresu ubezpieczenia na wniosek Zamawiającego i za zgodą Wykonawcy - w </w:t>
      </w:r>
      <w:r>
        <w:rPr>
          <w:sz w:val="20"/>
          <w:szCs w:val="20"/>
        </w:rPr>
        <w:t xml:space="preserve">przypadku ujawnienia się bądź powstania nowego ryzyka ubezpieczeniowego, nie przewidzianego wcześniej </w:t>
        <w:br/>
        <w:t>w specyfikacji,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zmiana zakresu ubezpieczenia wynikająca ze zmian przepisów prawnych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w sytuacji której Wykonawcę, któremu Zamawiający udzielił zamówienia, ma zastąpić nowy Wykonawca, o ile nowy Wykonawca spełnia warunki udziału w postępowaniu, nie zachodzą wobec niego podstawy wykluczenia oraz nie pociąga to za sobą innych istotnych zmian umowy, niż przewidziane przez Zamawiającego w SWZ.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sz w:val="20"/>
          <w:szCs w:val="20"/>
        </w:rPr>
        <w:t>Zmianie umowy dotyczącej poprawienia błędów i oczywistych omyłek słownych, literowych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57" w:right="0" w:hanging="35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Stosownie do treści art. 436 pkt 4) lit. b) Ustawy Pzp Zamawiający dopuszcza możliwość zmian wysokości wynagrodzenia należnego Wykonawcy w przypadku zmiany: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stawki podatku od towarów i usług,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</w:t>
      </w:r>
      <w:r>
        <w:rPr>
          <w:rFonts w:eastAsia="Calibri"/>
          <w:sz w:val="20"/>
          <w:szCs w:val="20"/>
        </w:rPr>
        <w:t>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color w:val="000000"/>
          <w:sz w:val="20"/>
          <w:szCs w:val="20"/>
        </w:rPr>
        <w:t xml:space="preserve">zasad gromadzenia i wysokości wpłat do pracowniczych planów kapitałowych, o których mowa </w:t>
        <w:br/>
        <w:t>w ustawie z dnia 4 października 2018 r. o pracowniczych planach kapitałowych</w:t>
      </w:r>
    </w:p>
    <w:p>
      <w:pPr>
        <w:pStyle w:val="Normal"/>
        <w:spacing w:lineRule="auto" w:line="276" w:before="0" w:after="0"/>
        <w:ind w:left="360" w:right="0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jeżeli zmiany te będą miały wpływ na koszty wykonania Zamówienia </w:t>
      </w:r>
      <w:r>
        <w:rPr>
          <w:sz w:val="20"/>
          <w:szCs w:val="20"/>
        </w:rPr>
        <w:t xml:space="preserve">dla Części II </w:t>
      </w:r>
      <w:r>
        <w:rPr>
          <w:rFonts w:eastAsia="Calibri"/>
          <w:sz w:val="20"/>
          <w:szCs w:val="20"/>
        </w:rPr>
        <w:t>przez Wykonawcę.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>W celu zmiany wynagrodzenia, o której mowa w ust. 4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Fonts w:eastAsia="Calibri"/>
          <w:sz w:val="20"/>
          <w:szCs w:val="20"/>
        </w:rPr>
        <w:t xml:space="preserve">Zmiana wynagrodzenia o której mowa w ust. 4 pkt a) - d) nastąpi wyłącznie po przedłożeniu przez Wykonawcę dowodów potwierdzających wpływ zmian na koszty wykonania zamówienia przez Wykonawcę. </w:t>
      </w:r>
      <w:r>
        <w:rPr>
          <w:rFonts w:eastAsia="TimesNewRoman"/>
          <w:sz w:val="20"/>
          <w:szCs w:val="20"/>
        </w:rPr>
        <w:t>W przypadku wystąpienia zmiany mającej wpływ na obniżenie kosztów wykonania zamówienia, Wykonawca jest zobowiązany do udzielenia w tym zakresie informacji, niezbędnych do określenia obniżenia wynagrodzenia.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Do wniosku należy dołączyć szczegółowy opis i wyliczenie wpływu zmian na wynagrodzenie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(cenę jednostkową rozumianą jako składka za 12 miesięczny okres ochrony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ubezpieczeniowej, o której mowa w formularzu cenowym stanowiącym załącznik do umowy) wraz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ze wskazaniem terminu ich zaistnienia. Zamawiający zastrzega sobie prawo do żądania od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dodatkowych wyjaśnień odnośnie wyliczonych kosztów oraz weryfikacji wyliczeń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dokonanych przez Wykonawcę we własnym zakresie.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sz w:val="20"/>
          <w:szCs w:val="20"/>
        </w:rPr>
        <w:t xml:space="preserve">Jeżeli w okresie od dnia zawarcia Umowy dla Części II do dnia zakończenia realizacji Zamówienia dla Części II </w:t>
      </w:r>
      <w:r>
        <w:rPr>
          <w:bCs/>
          <w:iCs/>
          <w:sz w:val="20"/>
          <w:szCs w:val="20"/>
        </w:rPr>
        <w:t>zmianie ulegną zasady opodatkowania usług ubezpieczeniowych</w:t>
      </w:r>
      <w:r>
        <w:rPr>
          <w:sz w:val="20"/>
          <w:szCs w:val="20"/>
        </w:rPr>
        <w:t>, Zamawiający przewiduje wprowadzenie stosownej zmiany do treści Umowy dla Części II, tj. odpowiednią zmianę wynagrodzenia Wykonawcy.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Zgodnie z art. 439 ust. 1 i 2 Ustawy Pzp, wynagrodzenie wykonawcy (składka ubezpieczeniowa)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może ulec zmianie w przypadku zmiany kosztów związanych z realizacją zamówienia, zgodnie z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poniższymi zasadami: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rPr>
          <w:rStyle w:val="Cf01"/>
          <w:rFonts w:cs="Tahoma"/>
          <w:sz w:val="20"/>
          <w:szCs w:val="20"/>
        </w:rPr>
      </w:pPr>
      <w:r>
        <w:rPr>
          <w:rFonts w:cs="Tahoma"/>
          <w:sz w:val="20"/>
          <w:szCs w:val="20"/>
        </w:rPr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poziom zmiany kosztów, uprawniający strony umowy do żądania zmiany wynagrodzenia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wynosi nie mniej niż 20%.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jako zmianę kosztów przyjmuje się wyrażoną w pkt proc. roczną zmianę, publikowanego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przez Komisję Nadzoru Finansowego w kwartale poprzedzającym miesiąc ustalenia zmiany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wynagrodzenia, wskaźnika kosztów administracyjnych,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zmiana (obniżenie lub wzrost) ww. wskaźnika powyżej progu określonego w lit. a.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uprawnia strony do zmiany wynagrodzenia wykonawcy max o 10%.</w:t>
      </w:r>
    </w:p>
    <w:p>
      <w:pPr>
        <w:pStyle w:val="Normal"/>
        <w:numPr>
          <w:ilvl w:val="1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maksymalna dopuszczalna wartość zmiany wynagrodzenia w efekcie zastosowania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 xml:space="preserve">postanowień o zasadach wprowadzania zmian wysokości wynagrodzenia wynosi 10 pkt proc. 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57" w:right="0" w:hanging="357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 art. 4</w:t>
      </w:r>
      <w:r>
        <w:rPr>
          <w:rStyle w:val="Cf01"/>
          <w:rFonts w:cs="Tahoma"/>
          <w:sz w:val="20"/>
          <w:szCs w:val="20"/>
        </w:rPr>
        <w:t>55</w:t>
      </w:r>
      <w:r>
        <w:rPr>
          <w:rStyle w:val="Cf01"/>
          <w:rFonts w:cs="Tahoma"/>
          <w:sz w:val="20"/>
          <w:szCs w:val="20"/>
        </w:rPr>
        <w:t xml:space="preserve"> ust. </w:t>
      </w:r>
      <w:r>
        <w:rPr>
          <w:rStyle w:val="Cf01"/>
          <w:rFonts w:cs="Tahoma"/>
          <w:sz w:val="20"/>
          <w:szCs w:val="20"/>
        </w:rPr>
        <w:t>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br/>
        <w:t>§8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razie zaistnienia istotnej zmiany okoliczności powodującej, że wykonanie Umowy dla Części II nie leży </w:t>
        <w:br/>
        <w:t xml:space="preserve">w interesie publicznym, czego nie można było przewidzieć w chwili zawarcia ww. Umowy, lub dalsze wykonywanie Umowy może zagrozić istotnemu interesowi bezpieczeństwa państwa lub bezpieczeństwu publicznemu, Zamawiający może wypowiedzieć Umowę dla Części II za uprzednim, jednomiesięcznym wypowiedzeniem, dokonanym w terminie nie dłuższym niż 30 dni od powzięcia wiadomości o tych okolicznościach. </w:t>
      </w:r>
    </w:p>
    <w:p>
      <w:pPr>
        <w:pStyle w:val="Normal"/>
        <w:numPr>
          <w:ilvl w:val="0"/>
          <w:numId w:val="1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przypadku, o którym mowa w ust. 1, Wykonawcy należy się wyłącznie wynagrodzenie przypadające </w:t>
        <w:br/>
        <w:t>z tytułu wykonania części Umowy dla Części II, liczone proporcjonalnie do zrealizowanej usługi.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§9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Zgodnie z art. 436 pkt 4 lit. a ustawy Prawo zamówień publicznych, Zamawiający naliczy Wykonawcy kary umowne z tytułu braku zapłaty lub nieterminowej zapłaty wynagrodzenia należnego podwykonawcom, </w:t>
        <w:br/>
        <w:t xml:space="preserve">w związku ze zmianą wysokości wynagrodzenia Wykonawcy, o której mowa w art. 439 ust. 5 ustawy Prawo zamówień publicznych, o ile została mu przedstawiona umowa pomiędzy Wykonawcą </w:t>
        <w:br/>
        <w:t>a podwykonawcami.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Zamawiający ustala wysokość kary umownej naliczanej Wykonawcy w sytuacji, o której mowa w pkt 1, </w:t>
        <w:br/>
        <w:t>w wysokości 1 000,00 zł (jednego tysiąca złotych) za każdy przypadek braku zapłaty lub nieterminowej zapłaty wynagrodzenia należnego podwykonawcom.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karę umowną za odstąpienie od umowy z przyczyn zależnych od Zamawiającego w wysokości 5 000,00 zł (pięć tysięcy złotych), z zastrzeżeniem § 9 pkt.1 niniejszej Umowy.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odsetki za opóźnienie w zapłacie w ustawowej wysokości.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Niezależnie od roszczeń o kary umowne każda ze Stron może dochodzić odszkodowania za niewykonanie lub nienależyte wykonanie umowy na zasadach ogólnych określonych w przepisach kodeksu cywilnego.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Zapłacenie kary umownej nie zwalnia Wykonawcy z obowiązku dokończenia realizacji Umowy, jak również z innych zobowiązań umownych.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Łączna maksymalna wysokość kar umownych nałożonych na podstawie niniejszej umowy, których może dochodzić każda ze stron umowy, nie może przekroczyć 5 000,00 zł (pięć tysięcy złotych).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§10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się: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przetwarzać powierzone mu dane osobowe zgodnie z niniejszą umową, Rozporządzeniem oraz </w:t>
        <w:br/>
        <w:t>z innymi przepisami prawa powszechnie obowiązującego, które chronią prawa osób, których dane dotyczą,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do zabezpieczenia przetwarzanych danych, poprzez stosowanie odpowiednich środków technicznych </w:t>
        <w:br/>
        <w:t>i organizacyjnych zapewniających adekwatny stopień bezpieczeństwa odpowiadający ryzyku związanym z przetwarzaniem danych osobowych, o których mowa w art. 32 Rozporządzenia,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dołożyć należytej staranności przy przetwarzaniu powierzonych danych osobowych,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 nadania upoważnień do przetwarzania danych osobowych wszystkim osobom, które będą przetwarzały powierzone dane w celu realizacji niniejszej umowy,</w:t>
      </w:r>
    </w:p>
    <w:p>
      <w:pPr>
        <w:pStyle w:val="Normal"/>
        <w:numPr>
          <w:ilvl w:val="1"/>
          <w:numId w:val="11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realizować będzie prawo kontroli w godzinach pracy Wykonawcy informując o kontroli minimum 3 dni przed planowanym jej przeprowadzeniem.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usunięcia uchybień stwierdzonych podczas kontroli w terminie nie dłuższym niż 7 dni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udostępnia Zamawiającemu wszelkie informacje niezbędne do wykazania spełnienia obowiązków określonych w art. 28 Rozporządzenia.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Podwykonawca, winien spełniać te same gwarancje i obowiązki jakie zostały nałożone na Wykonawcę.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ponosi pełną odpowiedzialność wobec Zamawiającego za działanie podwykonawcy w zakresie obowiązku ochrony danych.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Podmiot przetwarzający oświadcza, że w związku ze zobowiązaniem do zachowania w tajemnicy danych poufnych nie będą one wykorzystywane, ujawniane ani udostępniane w innym celu niż wykonanie Umowy, chyba, że konieczność ujawnienia posiadanych informacji wynika z obowiązujących przepisów prawa lub Umowy.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niniejszym paragrafem, zastosowanie będą miały przepisy Kodeksu cywilnego oraz Rozporządzenia.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§11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II zastosowanie mają właściwe przepisy prawa, a w szczególności ustawy o działalności ubezpieczeniowej i reasekuracyjnej, Kodeksu Cywilnego oraz Ustawy Pzp.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Spory wynikające z niniejszej Umowy dla Części II rozstrzygane będą przez sąd właściwy dla siedziby Zamawiającego.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t>§12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Umowa dla Części nr II została sporządzona w dwóch jednoznacznie brzmiących egzemplarzach.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br/>
      </w:r>
    </w:p>
    <w:p>
      <w:pPr>
        <w:pStyle w:val="Normal"/>
        <w:spacing w:lineRule="auto" w:line="276" w:before="0" w:after="0"/>
        <w:ind w:left="72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 xml:space="preserve">Wykonawca </w:t>
        <w:tab/>
        <w:tab/>
        <w:tab/>
        <w:tab/>
        <w:tab/>
        <w:tab/>
        <w:t xml:space="preserve">           </w:t>
        <w:tab/>
        <w:t>Zamawiający</w:t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</w:t>
        <w:tab/>
        <w:tab/>
        <w:tab/>
        <w:tab/>
        <w:t xml:space="preserve"> ………………………………………………..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enter" w:pos="4536" w:leader="none"/>
        <w:tab w:val="left" w:pos="5685" w:leader="none"/>
        <w:tab w:val="right" w:pos="9072" w:leader="none"/>
        <w:tab w:val="right" w:pos="9746" w:leader="none"/>
      </w:tabs>
      <w:spacing w:before="240" w:after="0"/>
      <w:jc w:val="left"/>
      <w:rPr/>
    </w:pPr>
    <w:r>
      <w:rPr>
        <w:rFonts w:cs="Helvetica;Arial" w:ascii="Helvetica;Arial" w:hAnsi="Helvetica;Arial"/>
      </w:rPr>
      <w:tab/>
      <w:tab/>
      <w:tab/>
    </w:r>
    <w:r>
      <w:rPr>
        <w:rFonts w:cs="Tahoma"/>
      </w:rPr>
      <w:t xml:space="preserve">Strona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PAGE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  <w:r>
      <w:rPr>
        <w:rFonts w:cs="Tahoma"/>
      </w:rPr>
      <w:t xml:space="preserve"> z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NUMPAGES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40" w:before="0" w:after="0"/>
      <w:jc w:val="right"/>
      <w:rPr>
        <w:rFonts w:cs="Tahoma"/>
      </w:rPr>
    </w:pPr>
    <w:r>
      <w:rPr>
        <w:rFonts w:cs="Tahoma"/>
      </w:rPr>
      <w:t>Znak sprawy: GKZ.271.09.2023</w:t>
    </w:r>
  </w:p>
  <w:p>
    <w:pPr>
      <w:pStyle w:val="Gwka"/>
      <w:spacing w:lineRule="auto" w:line="240" w:before="0" w:after="0"/>
      <w:jc w:val="right"/>
      <w:rPr/>
    </w:pPr>
    <w:r>
      <w:rPr>
        <w:rFonts w:cs="Tahoma"/>
      </w:rPr>
      <w:t xml:space="preserve">Załącznik </w:t>
    </w:r>
    <w:r>
      <w:rPr>
        <w:rFonts w:cs="Tahoma"/>
        <w:lang w:val="pl-PL"/>
      </w:rPr>
      <w:t xml:space="preserve">7.2 </w:t>
    </w:r>
    <w:r>
      <w:rPr>
        <w:rFonts w:cs="Tahoma"/>
      </w:rPr>
      <w:t xml:space="preserve">– </w:t>
    </w:r>
    <w:r>
      <w:rPr>
        <w:rFonts w:cs="Tahoma"/>
        <w:lang w:val="pl-PL"/>
      </w:rPr>
      <w:t>projekt postanowień</w:t>
    </w:r>
    <w:r>
      <w:rPr>
        <w:rFonts w:cs="Tahoma"/>
      </w:rPr>
      <w:t xml:space="preserve"> </w:t>
    </w:r>
    <w:r>
      <w:rPr>
        <w:rFonts w:cs="Tahoma"/>
        <w:lang w:val="pl-PL"/>
      </w:rPr>
      <w:t>Umowy – Część_ II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120" w:after="0"/>
      <w:jc w:val="both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Nagwek1">
    <w:name w:val="Heading 1"/>
    <w:basedOn w:val="Normal"/>
    <w:next w:val="Normal"/>
    <w:qFormat/>
    <w:pPr>
      <w:numPr>
        <w:ilvl w:val="0"/>
        <w:numId w:val="1"/>
      </w:numPr>
      <w:spacing w:lineRule="auto" w:line="360" w:before="120" w:after="0"/>
      <w:jc w:val="center"/>
      <w:outlineLvl w:val="0"/>
    </w:pPr>
    <w:rPr>
      <w:rFonts w:cs="Times New Roman"/>
      <w:lang w:val="pl-PL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2z0">
    <w:name w:val="WW8Num2z0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>
      <w:rFonts w:ascii="Helvetica;Arial" w:hAnsi="Helvetica;Arial" w:cs="Helvetica;Arial"/>
      <w:sz w:val="22"/>
      <w:szCs w:val="22"/>
    </w:rPr>
  </w:style>
  <w:style w:type="character" w:styleId="WW8Num4z2">
    <w:name w:val="WW8Num4z2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>
      <w:rFonts w:ascii="Helvetica;Arial" w:hAnsi="Helvetica;Arial" w:cs="Helvetica;Arial"/>
      <w:sz w:val="22"/>
      <w:szCs w:val="22"/>
    </w:rPr>
  </w:style>
  <w:style w:type="character" w:styleId="WW8Num3z2">
    <w:name w:val="WW8Num3z2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1z1">
    <w:name w:val="WW8Num11z1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b/>
      <w:bCs/>
    </w:rPr>
  </w:style>
  <w:style w:type="character" w:styleId="WW8Num15z1">
    <w:name w:val="WW8Num15z1"/>
    <w:qFormat/>
    <w:rPr>
      <w:b w:val="false"/>
      <w:bCs/>
      <w:sz w:val="20"/>
      <w:szCs w:val="20"/>
    </w:rPr>
  </w:style>
  <w:style w:type="character" w:styleId="WW8Num15z2">
    <w:name w:val="WW8Num15z2"/>
    <w:qFormat/>
    <w:rPr>
      <w:b w:val="false"/>
      <w:bCs/>
    </w:rPr>
  </w:style>
  <w:style w:type="character" w:styleId="WW8Num15z3">
    <w:name w:val="WW8Num15z3"/>
    <w:qFormat/>
    <w:rPr>
      <w:w w:val="99"/>
      <w:sz w:val="20"/>
      <w:szCs w:val="20"/>
      <w:lang w:val="pl-PL" w:bidi="ar-SA"/>
    </w:rPr>
  </w:style>
  <w:style w:type="character" w:styleId="WW8Num15z4">
    <w:name w:val="WW8Num15z4"/>
    <w:qFormat/>
    <w:rPr>
      <w:b w:val="false"/>
      <w:bCs w:val="false"/>
    </w:rPr>
  </w:style>
  <w:style w:type="character" w:styleId="Domylnaczcionkaakapitu1">
    <w:name w:val="Domyślna czcionka akapitu1"/>
    <w:qFormat/>
    <w:rPr/>
  </w:style>
  <w:style w:type="character" w:styleId="Nagwek1Znak">
    <w:name w:val="Nagłówek 1 Znak"/>
    <w:qFormat/>
    <w:rPr>
      <w:rFonts w:ascii="Tahoma" w:hAnsi="Tahoma" w:eastAsia="Times New Roman" w:cs="Tahoma"/>
      <w:sz w:val="18"/>
      <w:szCs w:val="18"/>
    </w:rPr>
  </w:style>
  <w:style w:type="character" w:styleId="TekstpodstawowyZnak">
    <w:name w:val="Tekst podstawowy Znak"/>
    <w:qFormat/>
    <w:rPr>
      <w:rFonts w:ascii="Verdana" w:hAnsi="Verdana" w:eastAsia="Times New Roman" w:cs="Times New Roman"/>
      <w:sz w:val="24"/>
      <w:szCs w:val="24"/>
    </w:rPr>
  </w:style>
  <w:style w:type="character" w:styleId="TytuZnak">
    <w:name w:val="Tytuł Znak"/>
    <w:qFormat/>
    <w:rPr>
      <w:rFonts w:ascii="Arial" w:hAnsi="Arial" w:eastAsia="Times New Roman" w:cs="Arial"/>
      <w:b/>
      <w:bCs/>
      <w:sz w:val="20"/>
      <w:szCs w:val="24"/>
    </w:rPr>
  </w:style>
  <w:style w:type="character" w:styleId="NagwekZnak">
    <w:name w:val="Nagłówek Znak"/>
    <w:qFormat/>
    <w:rPr>
      <w:rFonts w:ascii="Tahoma" w:hAnsi="Tahoma" w:eastAsia="Times New Roman" w:cs="Tahoma"/>
      <w:sz w:val="18"/>
      <w:szCs w:val="18"/>
    </w:rPr>
  </w:style>
  <w:style w:type="character" w:styleId="StopkaZnak">
    <w:name w:val="Stopka Znak"/>
    <w:qFormat/>
    <w:rPr>
      <w:rFonts w:ascii="Tahoma" w:hAnsi="Tahoma" w:eastAsia="Times New Roman" w:cs="Tahoma"/>
      <w:sz w:val="18"/>
      <w:szCs w:val="18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ascii="Tahoma" w:hAnsi="Tahoma" w:eastAsia="Times New Roman" w:cs="Tahoma"/>
    </w:rPr>
  </w:style>
  <w:style w:type="character" w:styleId="TematkomentarzaZnak">
    <w:name w:val="Temat komentarza Znak"/>
    <w:qFormat/>
    <w:rPr>
      <w:rFonts w:ascii="Tahoma" w:hAnsi="Tahoma" w:eastAsia="Times New Roman" w:cs="Tahoma"/>
      <w:b/>
      <w:bCs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1">
    <w:name w:val="Tekst komentarza Znak1"/>
    <w:qFormat/>
    <w:rPr>
      <w:rFonts w:ascii="Tahoma" w:hAnsi="Tahoma" w:cs="Tahoma"/>
      <w:lang w:eastAsia="zh-CN"/>
    </w:rPr>
  </w:style>
  <w:style w:type="character" w:styleId="Markedcontent">
    <w:name w:val="markedcontent"/>
    <w:qFormat/>
    <w:rPr/>
  </w:style>
  <w:style w:type="character" w:styleId="Cf01">
    <w:name w:val="cf01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120" w:after="0"/>
      <w:jc w:val="both"/>
    </w:pPr>
    <w:rPr>
      <w:rFonts w:ascii="Verdana" w:hAnsi="Verdana" w:cs="Times New Roman"/>
      <w:sz w:val="24"/>
      <w:szCs w:val="24"/>
      <w:lang w:val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spacing w:before="120" w:after="0"/>
      <w:jc w:val="center"/>
    </w:pPr>
    <w:rPr>
      <w:rFonts w:ascii="Arial" w:hAnsi="Arial" w:cs="Times New Roman"/>
      <w:b/>
      <w:bCs/>
      <w:sz w:val="20"/>
      <w:szCs w:val="24"/>
      <w:lang w:val="pl-P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Tekstdymka">
    <w:name w:val="Tekst dymka"/>
    <w:basedOn w:val="Normal"/>
    <w:qFormat/>
    <w:pPr/>
    <w:rPr>
      <w:sz w:val="16"/>
      <w:szCs w:val="16"/>
    </w:rPr>
  </w:style>
  <w:style w:type="paragraph" w:styleId="Tekstkomentarza1">
    <w:name w:val="Tekst komentarza1"/>
    <w:basedOn w:val="Normal"/>
    <w:qFormat/>
    <w:pPr/>
    <w:rPr>
      <w:rFonts w:cs="Times New Roman"/>
      <w:sz w:val="20"/>
      <w:szCs w:val="20"/>
      <w:lang w:val="pl-PL"/>
    </w:rPr>
  </w:style>
  <w:style w:type="paragraph" w:styleId="Tematkomentarza">
    <w:name w:val="Temat komentarza"/>
    <w:basedOn w:val="Tekstkomentarza1"/>
    <w:next w:val="Tekstkomentarza1"/>
    <w:qFormat/>
    <w:pPr/>
    <w:rPr>
      <w:b/>
      <w:bCs/>
    </w:rPr>
  </w:style>
  <w:style w:type="paragraph" w:styleId="Akapitzlist">
    <w:name w:val="Akapit z listą"/>
    <w:basedOn w:val="Normal"/>
    <w:qFormat/>
    <w:pPr>
      <w:snapToGrid w:val="false"/>
      <w:spacing w:before="0" w:after="120"/>
      <w:ind w:left="720" w:right="0" w:hanging="0"/>
      <w:contextualSpacing/>
    </w:pPr>
    <w:rPr>
      <w:rFonts w:eastAsia="Calibri"/>
    </w:rPr>
  </w:style>
  <w:style w:type="paragraph" w:styleId="Zawartotabeli">
    <w:name w:val="Zawartość tabeli"/>
    <w:basedOn w:val="Normal"/>
    <w:qFormat/>
    <w:pPr>
      <w:suppressLineNumbers/>
      <w:suppressAutoHyphens w:val="true"/>
      <w:spacing w:lineRule="auto" w:line="240" w:before="0" w:after="0"/>
      <w:jc w:val="left"/>
    </w:pPr>
    <w:rPr>
      <w:rFonts w:ascii="Times New Roman" w:hAnsi="Times New Roman" w:cs="Times New Roman"/>
      <w:sz w:val="24"/>
      <w:szCs w:val="24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NormalnyWeb">
    <w:name w:val="Normalny (Web)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Pf0">
    <w:name w:val="pf0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</TotalTime>
  <Application>LibreOffice/7.5.0.3$Windows_X86_64 LibreOffice_project/c21113d003cd3efa8c53188764377a8272d9d6de</Application>
  <AppVersion>15.0000</AppVersion>
  <Pages>6</Pages>
  <Words>2339</Words>
  <Characters>15746</Characters>
  <CharactersWithSpaces>17989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2022-12-05T10:44:00Z</dcterms:created>
  <dc:creator>Michał Michnowicz</dc:creator>
  <dc:description/>
  <dc:language>pl-PL</dc:language>
  <cp:lastModifiedBy/>
  <cp:lastPrinted>2022-12-05T08:58:00Z</cp:lastPrinted>
  <dcterms:modified xsi:type="dcterms:W3CDTF">2023-06-06T16:36:37Z</dcterms:modified>
  <cp:revision>10</cp:revision>
  <dc:subject/>
  <dc:title>Umowa nr  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