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hanging="0" w:right="-426"/>
        <w:jc w:val="righ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1390650</wp:posOffset>
            </wp:positionH>
            <wp:positionV relativeFrom="paragraph">
              <wp:posOffset>-630555</wp:posOffset>
            </wp:positionV>
            <wp:extent cx="2543175" cy="17049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hanging="0" w:right="-426"/>
        <w:jc w:val="right"/>
        <w:rPr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b/>
          <w:bCs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 pn.: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Zakup pojazdu z napędem elektrycznym na potrzeby Straży Miejskiej w Cieszynie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ascii="Times New Roman" w:hAnsi="Times New Roman"/>
          <w:b/>
          <w:bCs/>
          <w:strike w:val="false"/>
          <w:dstrike w:val="false"/>
        </w:rPr>
        <w:t>OŚWIADCZENIA DOTYCZĄCE WYKLUCZENIA Z POSTĘPOWANIA</w:t>
      </w:r>
      <w:r>
        <w:rPr>
          <w:rFonts w:ascii="Times New Roman" w:hAnsi="Times New Roman"/>
          <w:strike w:val="false"/>
          <w:dstrike w:val="false"/>
        </w:rPr>
        <w:t xml:space="preserve"> </w:t>
      </w:r>
      <w:r>
        <w:rPr>
          <w:rFonts w:ascii="Times New Roman" w:hAnsi="Times New Roman"/>
          <w:color w:val="FF420E"/>
        </w:rPr>
        <w:t>(pozostawić właściwe oświadczenie)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hanging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2024, poz. 507).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737" w:right="0"/>
        <w:jc w:val="both"/>
        <w:textAlignment w:val="baseline"/>
        <w:rPr>
          <w:color w:val="FF0000"/>
          <w:shd w:fill="auto" w:val="clear"/>
        </w:rPr>
      </w:pPr>
      <w:r>
        <w:rPr>
          <w:rFonts w:cs="Times New Roman" w:ascii="Times New Roman" w:hAnsi="Times New Roman"/>
          <w:color w:val="FF0000"/>
          <w:sz w:val="24"/>
          <w:szCs w:val="24"/>
          <w:shd w:fill="auto" w:val="clear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>
      <w:pPr>
        <w:pStyle w:val="Textbody"/>
        <w:spacing w:lineRule="auto" w:line="264"/>
        <w:rPr>
          <w:bCs/>
          <w:iCs/>
          <w:sz w:val="20"/>
        </w:rPr>
      </w:pPr>
      <w:r>
        <w:rPr>
          <w:bCs/>
          <w:iCs/>
          <w:sz w:val="20"/>
        </w:rPr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  <w:t xml:space="preserve">1 </w:t>
      </w:r>
      <w:r>
        <w:rPr>
          <w:bCs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bCs/>
          <w:iCs/>
          <w:sz w:val="20"/>
          <w:vertAlign w:val="superscript"/>
        </w:rPr>
      </w:pPr>
      <w:r>
        <w:rPr>
          <w:bCs/>
          <w:iCs/>
          <w:sz w:val="20"/>
          <w:vertAlign w:val="superscript"/>
        </w:rPr>
      </w:r>
    </w:p>
    <w:p>
      <w:pPr>
        <w:pStyle w:val="Textbody"/>
        <w:spacing w:lineRule="auto" w:line="264"/>
        <w:rPr>
          <w:iCs/>
          <w:sz w:val="20"/>
        </w:rPr>
      </w:pPr>
      <w:r>
        <w:rPr>
          <w:bCs/>
          <w:iCs/>
          <w:sz w:val="20"/>
          <w:vertAlign w:val="superscript"/>
        </w:rPr>
        <w:t xml:space="preserve">2 </w:t>
      </w:r>
      <w:r>
        <w:rPr>
          <w:iCs/>
          <w:sz w:val="20"/>
          <w:vertAlign w:val="superscript"/>
        </w:rPr>
        <w:t xml:space="preserve"> </w:t>
      </w:r>
      <w:r>
        <w:rPr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20"/>
          <w:szCs w:val="20"/>
        </w:rPr>
      </w:pPr>
      <w:r>
        <w:rPr>
          <w:rFonts w:cs="Times New Roman" w:ascii="Times New Roman" w:hAnsi="Times New Roman"/>
          <w:i/>
          <w:iCs/>
          <w:sz w:val="14"/>
          <w:szCs w:val="14"/>
        </w:rPr>
        <w:t>„</w:t>
      </w:r>
      <w:r>
        <w:rPr>
          <w:rFonts w:cs="Times New Roman" w:ascii="Times New Roman" w:hAnsi="Times New Roman"/>
          <w:i/>
          <w:iCs/>
          <w:sz w:val="14"/>
          <w:szCs w:val="14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14"/>
          <w:szCs w:val="14"/>
        </w:rPr>
        <w:t>podrobiony, przerobiony, poświadczający nieprawdę albo nierzetelny dokument albo nierzetelne, pisemne oświadczenie dotyczące okoliczności o istotnym znaczeniu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iCs/>
          <w:sz w:val="14"/>
          <w:szCs w:val="14"/>
        </w:rPr>
        <w:t>dla uzyskania wymienionego wsparcia finansowego, instrumentu płatniczego lub zamówienia, podlega karze pozbawienia wolności od 3 miesięcy do lat 5.”</w:t>
      </w:r>
    </w:p>
    <w:sectPr>
      <w:footerReference w:type="default" r:id="rId3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 xml:space="preserve">nr zamówienia 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8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.2024</w:t>
    </w:r>
  </w:p>
  <w:p>
    <w:pPr>
      <w:pStyle w:val="Footer"/>
      <w:jc w:val="left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ysiwygdot--c1">
    <w:name w:val="wysiwyg__dot--c1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LibreOffice/7.6.2.1$Windows_X86_64 LibreOffice_project/56f7684011345957bbf33a7ee678afaf4d2ba333</Application>
  <AppVersion>15.0000</AppVersion>
  <Pages>3</Pages>
  <Words>471</Words>
  <Characters>3223</Characters>
  <CharactersWithSpaces>3811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2024-06-05T12:26:47Z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