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448320EF" w:rsidR="007205D0" w:rsidRPr="00963696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3696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963696" w:rsidRPr="00963696">
              <w:rPr>
                <w:rFonts w:eastAsia="Times New Roman" w:cstheme="minorHAnsi"/>
                <w:b/>
                <w:lang w:eastAsia="pl-PL"/>
              </w:rPr>
              <w:t>2</w:t>
            </w:r>
            <w:r w:rsidRPr="00963696">
              <w:rPr>
                <w:rFonts w:eastAsia="Times New Roman" w:cstheme="minorHAnsi"/>
                <w:b/>
                <w:lang w:eastAsia="pl-PL"/>
              </w:rPr>
              <w:t>.202</w:t>
            </w:r>
            <w:r w:rsidR="00963696" w:rsidRPr="00963696">
              <w:rPr>
                <w:rFonts w:eastAsia="Times New Roman" w:cstheme="minorHAnsi"/>
                <w:b/>
                <w:lang w:eastAsia="pl-PL"/>
              </w:rPr>
              <w:t>2</w:t>
            </w:r>
          </w:p>
          <w:p w14:paraId="4D556808" w14:textId="1591A40F" w:rsidR="007205D0" w:rsidRPr="00963696" w:rsidRDefault="007205D0" w:rsidP="00963696">
            <w:pPr>
              <w:spacing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3696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963696">
              <w:rPr>
                <w:rFonts w:eastAsia="Times New Roman" w:cstheme="minorHAnsi"/>
                <w:b/>
              </w:rPr>
              <w:t>„</w:t>
            </w:r>
            <w:bookmarkStart w:id="1" w:name="_Hlk25334315"/>
            <w:r w:rsidR="00963696" w:rsidRPr="00DF1078">
              <w:rPr>
                <w:rFonts w:eastAsia="Times New Roman" w:cstheme="minorHAnsi"/>
                <w:b/>
                <w:lang w:eastAsia="pl-PL"/>
              </w:rPr>
              <w:t>Bieżące utrzymanie dróg i ulic na terenie Gminy Dopiewo</w:t>
            </w:r>
            <w:bookmarkEnd w:id="1"/>
            <w:r w:rsidR="00D04621" w:rsidRPr="00963696">
              <w:rPr>
                <w:rFonts w:eastAsia="Calibri" w:cstheme="minorHAnsi"/>
                <w:b/>
                <w:bCs/>
                <w:kern w:val="3"/>
              </w:rPr>
              <w:t>”</w:t>
            </w:r>
          </w:p>
          <w:p w14:paraId="7E2D7BA5" w14:textId="46BFF637" w:rsidR="00EC2AEA" w:rsidRPr="00AA0F1B" w:rsidRDefault="00EC2AEA" w:rsidP="00EC2AE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6EFD9ABB" w:rsidR="00FA2F3F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1225D812" w:rsidR="00441D91" w:rsidRPr="00AA0F1B" w:rsidRDefault="00404E15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2.1. </w:t>
      </w: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05"/>
        <w:gridCol w:w="640"/>
        <w:gridCol w:w="1344"/>
        <w:gridCol w:w="1360"/>
        <w:gridCol w:w="1707"/>
      </w:tblGrid>
      <w:tr w:rsidR="00FB14DA" w:rsidRPr="00FB14DA" w14:paraId="27298185" w14:textId="77777777" w:rsidTr="00FB14DA">
        <w:trPr>
          <w:trHeight w:val="6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29A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4E5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robót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B1C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E64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B96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[brutto]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0B9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zł [brutto] </w:t>
            </w:r>
          </w:p>
        </w:tc>
      </w:tr>
      <w:tr w:rsidR="00FB14DA" w:rsidRPr="00FB14DA" w14:paraId="5BF77432" w14:textId="77777777" w:rsidTr="00FB14D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8B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-1-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ECA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C62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3111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440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774C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-6-</w:t>
            </w:r>
          </w:p>
        </w:tc>
      </w:tr>
      <w:tr w:rsidR="00FB14DA" w:rsidRPr="00FB14DA" w14:paraId="11E07379" w14:textId="77777777" w:rsidTr="00FB14D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78B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089B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Utwardzanie nawierzchni dróg gruntowych (stawka VAT 23 %)</w:t>
            </w:r>
          </w:p>
        </w:tc>
      </w:tr>
      <w:tr w:rsidR="00FB14DA" w:rsidRPr="00FB14DA" w14:paraId="4EEC543F" w14:textId="77777777" w:rsidTr="00FB14DA">
        <w:trPr>
          <w:trHeight w:val="126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A6B2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9EE4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kruszywa naturalnego stabilizowanego mechanicznie o frakcji 0-31,5mm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FE0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ED8D" w14:textId="79D5447D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7 100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EFE0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C19F2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70262A4" w14:textId="77777777" w:rsidTr="00FB14DA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68CE2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B8884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kruszywa naturalnego stabilizowanego mechanicznie o frakcji 31,5-63,0mm (granit, bazalt)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DFC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139D" w14:textId="14156C7E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2F99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D7F2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C226B96" w14:textId="77777777" w:rsidTr="00FB14DA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8EEDA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920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Zakup, dostawa wraz z rozgarnięciem oraz zagęszczeniem walcem gruzu betonowego  sortowanego 31,5-63,0mm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148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93E67" w14:textId="4EEAD98B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CF5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C88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5F30584F" w14:textId="77777777" w:rsidTr="00FB14DA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86281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E8F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Zakup, dostawa wraz z rozgarnięciem oraz zagęszczeniem walcem gruzu betonowego  sortowanego 0-31,5mm 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900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EA5D8" w14:textId="6B5C5BDF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38E4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C727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34CE4FB" w14:textId="77777777" w:rsidTr="00FB14D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B8AC0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A1B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Korytowanie drogi wraz z wywozem na składowisko (cena zawiera koszty składowiska)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341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m³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0FD3" w14:textId="3D782DE2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F7B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79D5E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5B48B14D" w14:textId="77777777" w:rsidTr="00FB14DA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9561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963B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prace do drobnych robót naprawczych (łopata, oskardy, ubijarki ręczne)</w:t>
            </w:r>
          </w:p>
          <w:p w14:paraId="0D231A6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B8C0BB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B3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17FB7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52B0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9A2785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EAE8D1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F2690C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B4EA5F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FF7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7B6D17AA" w14:textId="77777777" w:rsidTr="00FB14DA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C6C9D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A020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Równania i profilowanie dróg gruntowych (stawka VAT 23 %)</w:t>
            </w:r>
          </w:p>
        </w:tc>
      </w:tr>
      <w:tr w:rsidR="00FB14DA" w:rsidRPr="00FB14DA" w14:paraId="6F4DF415" w14:textId="77777777" w:rsidTr="00FB14DA">
        <w:trPr>
          <w:trHeight w:val="657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D37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35B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wałowanie nawierzchni dróg gruntowych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FA1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8BA3E" w14:textId="7B718D80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00 000,00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A25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61F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9E980E" w14:textId="77777777" w:rsidTr="00FB14DA">
        <w:trPr>
          <w:trHeight w:val="94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99CD4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C2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Ścinka lub profilowanie poboczy gruntowych w celu szybkiego odpływu wód deszczowych z nawierzchni drogi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2CF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867FA" w14:textId="1B9409C6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BC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B184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5C7088F" w14:textId="77777777" w:rsidTr="00FB14DA">
        <w:trPr>
          <w:trHeight w:val="357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3C497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301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Odtwarzanie rowów odparowujących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FD5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0CF5" w14:textId="24AC885D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F3BC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6603F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BD184C6" w14:textId="77777777" w:rsidTr="00FB14DA">
        <w:trPr>
          <w:trHeight w:val="6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A02E3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9CCC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Remont cząstkowy nawierzchni asfaltowych dróg (stawka VAT 23 %)</w:t>
            </w:r>
          </w:p>
        </w:tc>
      </w:tr>
      <w:tr w:rsidR="00FB14DA" w:rsidRPr="00FB14DA" w14:paraId="63AA56D8" w14:textId="77777777" w:rsidTr="00FB14D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664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EDD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Wyboje 2 – 5 cm emulsją asfaltową i grysami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0E2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FCF79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138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4C8DC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ABCFB21" w14:textId="77777777" w:rsidTr="00FB14D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D27BC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CEE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 z wypełnieniem masą bitumiczną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F5E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721F1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1834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743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CEDD4C1" w14:textId="77777777" w:rsidTr="00FB14DA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FAE27B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32B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Naprawa dróg w destrukcie asfaltowym polegająca na uzupełnianiu ubytków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92DD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EFD8" w14:textId="0C67746B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F6D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EEAA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073E9456" w14:textId="77777777" w:rsidTr="00FB14DA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07A4C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7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17B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B68CA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13E2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77A61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341026" w14:textId="77777777" w:rsidTr="00FB14DA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CD6A7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BB5C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Wymiana włazów studziennych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7C6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8BC7" w14:textId="77777777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126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AF3B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31DBE86D" w14:textId="77777777" w:rsidTr="00FB14DA">
        <w:trPr>
          <w:trHeight w:val="43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5C7C8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87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281D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Remont nawierzchni z kostki brukowej(stawka VAT 23 %)</w:t>
            </w:r>
          </w:p>
        </w:tc>
      </w:tr>
      <w:tr w:rsidR="00FB14DA" w:rsidRPr="00FB14DA" w14:paraId="0863B0F3" w14:textId="77777777" w:rsidTr="00FB14DA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76D6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D66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nawierzchni z kostki brukowej na podsypce piaskowo-cementowej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B4B0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C8F2B" w14:textId="34485D4B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262F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B07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1EE4C2A3" w14:textId="77777777" w:rsidTr="00FB14D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88223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5337B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Sprzątanie dróg i ulic gminnych (stawka VAT 8%)</w:t>
            </w:r>
          </w:p>
        </w:tc>
      </w:tr>
      <w:tr w:rsidR="00FB14DA" w:rsidRPr="00FB14DA" w14:paraId="49375EB3" w14:textId="77777777" w:rsidTr="00FB14DA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AF98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45E4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Zamiatanie ulic przy krawężnikach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1657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FF1A1" w14:textId="0AAE8A30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8826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11C3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7B905EDE" w14:textId="77777777" w:rsidTr="00FB14DA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38D26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211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Zamiatanie placów przy krawężnikach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87D5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6E8B7" w14:textId="193C9B8C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BBB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A32A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1698078A" w14:textId="77777777" w:rsidTr="00FB14DA">
        <w:trPr>
          <w:trHeight w:val="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9457F7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f)</w:t>
            </w:r>
          </w:p>
        </w:tc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F9F89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Czyszczenie wpustów ulicznych (stawka VAT 23 %)</w:t>
            </w:r>
          </w:p>
        </w:tc>
      </w:tr>
      <w:tr w:rsidR="00FB14DA" w:rsidRPr="00FB14DA" w14:paraId="2DF53C0A" w14:textId="77777777" w:rsidTr="00FB14D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885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F9C8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Czyszczenie kratek wpustowych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43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E8AE3" w14:textId="7A4BF6CC" w:rsidR="00FB14DA" w:rsidRPr="00FB14DA" w:rsidRDefault="00FB14DA" w:rsidP="00FB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</w:t>
            </w: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01B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61F8D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14DA" w:rsidRPr="00FB14DA" w14:paraId="688DB2DF" w14:textId="77777777" w:rsidTr="00FB14DA">
        <w:trPr>
          <w:trHeight w:val="330"/>
        </w:trPr>
        <w:tc>
          <w:tcPr>
            <w:tcW w:w="6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D20FA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EC63" w14:textId="77777777" w:rsidR="00FB14DA" w:rsidRPr="00FB14DA" w:rsidRDefault="00FB14DA" w:rsidP="00FB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77C70" w14:textId="77777777" w:rsidR="00FB14DA" w:rsidRPr="00FB14DA" w:rsidRDefault="00FB14DA" w:rsidP="00FB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9185AE5" w14:textId="77777777" w:rsidR="00441D91" w:rsidRPr="00AA0F1B" w:rsidRDefault="00441D91" w:rsidP="00441D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DE8CEF6" w14:textId="77777777" w:rsidR="00DD6401" w:rsidRPr="00AA0F1B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13E5902B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2.2. </w:t>
      </w:r>
      <w:r w:rsidR="00AA0F1B">
        <w:rPr>
          <w:rFonts w:eastAsia="Times New Roman" w:cstheme="minorHAnsi"/>
          <w:b/>
          <w:bCs/>
          <w:lang w:eastAsia="pl-PL"/>
        </w:rPr>
        <w:t>C</w:t>
      </w:r>
      <w:r w:rsidRPr="00AA0F1B">
        <w:rPr>
          <w:rFonts w:eastAsia="Times New Roman" w:cstheme="minorHAnsi"/>
          <w:b/>
          <w:bCs/>
          <w:lang w:eastAsia="pl-PL"/>
        </w:rPr>
        <w:t xml:space="preserve">zas </w:t>
      </w:r>
      <w:r w:rsidR="00190B53" w:rsidRPr="00AA0F1B">
        <w:rPr>
          <w:rFonts w:eastAsia="Times New Roman" w:cstheme="minorHAnsi"/>
          <w:b/>
          <w:bCs/>
          <w:lang w:eastAsia="pl-PL"/>
        </w:rPr>
        <w:t>przystąpienia do wykonywania zleconego „zleceniem” zakresu prac: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365"/>
        <w:gridCol w:w="1440"/>
      </w:tblGrid>
      <w:tr w:rsidR="00AA0F1B" w:rsidRPr="00AA0F1B" w14:paraId="1A11B126" w14:textId="6B60A4E0" w:rsidTr="00AA0F1B">
        <w:trPr>
          <w:trHeight w:val="405"/>
        </w:trPr>
        <w:tc>
          <w:tcPr>
            <w:tcW w:w="6091" w:type="dxa"/>
            <w:vMerge w:val="restart"/>
            <w:shd w:val="clear" w:color="auto" w:fill="auto"/>
          </w:tcPr>
          <w:p w14:paraId="7E7B5177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2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przystąpienie do wykonywania zleconego „zleceniem” zakresu prac </w:t>
            </w:r>
            <w:bookmarkEnd w:id="2"/>
          </w:p>
          <w:p w14:paraId="7423BCDF" w14:textId="5BF135FE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1365" w:type="dxa"/>
            <w:shd w:val="clear" w:color="auto" w:fill="auto"/>
          </w:tcPr>
          <w:p w14:paraId="277E7E5F" w14:textId="44F9BA58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24-48 godz.</w:t>
            </w:r>
          </w:p>
        </w:tc>
        <w:tc>
          <w:tcPr>
            <w:tcW w:w="1440" w:type="dxa"/>
            <w:shd w:val="clear" w:color="auto" w:fill="auto"/>
          </w:tcPr>
          <w:p w14:paraId="4C94A7FB" w14:textId="6DBAD27E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  <w:b/>
                <w:lang w:eastAsia="pl-PL"/>
              </w:rPr>
              <w:t>4</w:t>
            </w:r>
            <w:r w:rsidR="00EB4B1E">
              <w:rPr>
                <w:rFonts w:eastAsia="Times New Roman" w:cstheme="minorHAnsi"/>
                <w:b/>
                <w:lang w:eastAsia="pl-PL"/>
              </w:rPr>
              <w:t>9</w:t>
            </w:r>
            <w:r w:rsidRPr="00AA0F1B">
              <w:rPr>
                <w:rFonts w:eastAsia="Times New Roman" w:cstheme="minorHAnsi"/>
                <w:b/>
                <w:lang w:eastAsia="pl-PL"/>
              </w:rPr>
              <w:t>-96 godz.</w:t>
            </w:r>
          </w:p>
        </w:tc>
      </w:tr>
      <w:tr w:rsidR="00AA0F1B" w:rsidRPr="00AA0F1B" w14:paraId="644CBCEE" w14:textId="77777777" w:rsidTr="00AA0F1B">
        <w:trPr>
          <w:trHeight w:val="405"/>
        </w:trPr>
        <w:tc>
          <w:tcPr>
            <w:tcW w:w="6091" w:type="dxa"/>
            <w:vMerge/>
            <w:shd w:val="clear" w:color="auto" w:fill="auto"/>
          </w:tcPr>
          <w:p w14:paraId="18F21CF2" w14:textId="77777777" w:rsidR="00AA0F1B" w:rsidRPr="00AA0F1B" w:rsidRDefault="00AA0F1B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65" w:type="dxa"/>
            <w:shd w:val="clear" w:color="auto" w:fill="auto"/>
          </w:tcPr>
          <w:p w14:paraId="1B4D3A52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CC31D6C" w14:textId="77777777" w:rsidR="00AA0F1B" w:rsidRPr="00AA0F1B" w:rsidRDefault="00AA0F1B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B604084" w14:textId="21214A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lastRenderedPageBreak/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lastRenderedPageBreak/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proofErr w:type="spellStart"/>
            <w:r w:rsidRPr="00AA0F1B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AA0F1B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C7684"/>
    <w:rsid w:val="000F290F"/>
    <w:rsid w:val="0012756A"/>
    <w:rsid w:val="00190B53"/>
    <w:rsid w:val="001E0217"/>
    <w:rsid w:val="00274C46"/>
    <w:rsid w:val="002911A7"/>
    <w:rsid w:val="00357478"/>
    <w:rsid w:val="003F2863"/>
    <w:rsid w:val="00404E15"/>
    <w:rsid w:val="00441D91"/>
    <w:rsid w:val="00450EC0"/>
    <w:rsid w:val="00487D3D"/>
    <w:rsid w:val="0049107B"/>
    <w:rsid w:val="004E05F9"/>
    <w:rsid w:val="005022BA"/>
    <w:rsid w:val="00717E58"/>
    <w:rsid w:val="007205D0"/>
    <w:rsid w:val="007D0FCB"/>
    <w:rsid w:val="00924BDF"/>
    <w:rsid w:val="00963696"/>
    <w:rsid w:val="009D6E97"/>
    <w:rsid w:val="00AA0F1B"/>
    <w:rsid w:val="00CA02E7"/>
    <w:rsid w:val="00D04621"/>
    <w:rsid w:val="00DA6708"/>
    <w:rsid w:val="00DB11FF"/>
    <w:rsid w:val="00DD6401"/>
    <w:rsid w:val="00DE2688"/>
    <w:rsid w:val="00E11D2F"/>
    <w:rsid w:val="00EB4B1E"/>
    <w:rsid w:val="00EC2AEA"/>
    <w:rsid w:val="00EC4B4B"/>
    <w:rsid w:val="00ED3681"/>
    <w:rsid w:val="00FA2F3F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dcterms:created xsi:type="dcterms:W3CDTF">2021-03-12T14:00:00Z</dcterms:created>
  <dcterms:modified xsi:type="dcterms:W3CDTF">2022-02-04T13:01:00Z</dcterms:modified>
</cp:coreProperties>
</file>