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7116" w14:textId="2F99723D" w:rsidR="00BF71BC" w:rsidRPr="007A3C1A" w:rsidRDefault="00294D6A" w:rsidP="007A3C1A">
      <w:pPr>
        <w:spacing w:after="0" w:line="360" w:lineRule="auto"/>
        <w:rPr>
          <w:rFonts w:cstheme="minorHAnsi"/>
          <w:spacing w:val="20"/>
          <w:sz w:val="24"/>
          <w:szCs w:val="24"/>
        </w:rPr>
      </w:pPr>
      <w:r w:rsidRPr="007A3C1A">
        <w:rPr>
          <w:rFonts w:cstheme="minorHAnsi"/>
          <w:spacing w:val="20"/>
          <w:sz w:val="24"/>
          <w:szCs w:val="24"/>
        </w:rPr>
        <w:t xml:space="preserve">Sandomierz, </w:t>
      </w:r>
      <w:r w:rsidR="0037695A" w:rsidRPr="007A3C1A">
        <w:rPr>
          <w:rFonts w:cstheme="minorHAnsi"/>
          <w:spacing w:val="20"/>
          <w:sz w:val="24"/>
          <w:szCs w:val="24"/>
        </w:rPr>
        <w:t>01</w:t>
      </w:r>
      <w:r w:rsidR="00A41D87" w:rsidRPr="007A3C1A">
        <w:rPr>
          <w:rFonts w:cstheme="minorHAnsi"/>
          <w:spacing w:val="20"/>
          <w:sz w:val="24"/>
          <w:szCs w:val="24"/>
        </w:rPr>
        <w:t>.0</w:t>
      </w:r>
      <w:r w:rsidR="0037695A" w:rsidRPr="007A3C1A">
        <w:rPr>
          <w:rFonts w:cstheme="minorHAnsi"/>
          <w:spacing w:val="20"/>
          <w:sz w:val="24"/>
          <w:szCs w:val="24"/>
        </w:rPr>
        <w:t>2</w:t>
      </w:r>
      <w:r w:rsidR="00A41D87" w:rsidRPr="007A3C1A">
        <w:rPr>
          <w:rFonts w:cstheme="minorHAnsi"/>
          <w:spacing w:val="20"/>
          <w:sz w:val="24"/>
          <w:szCs w:val="24"/>
        </w:rPr>
        <w:t>.2021</w:t>
      </w:r>
      <w:r w:rsidRPr="007A3C1A">
        <w:rPr>
          <w:rFonts w:cstheme="minorHAnsi"/>
          <w:spacing w:val="20"/>
          <w:sz w:val="24"/>
          <w:szCs w:val="24"/>
        </w:rPr>
        <w:t>r.</w:t>
      </w:r>
    </w:p>
    <w:p w14:paraId="000736A8" w14:textId="77777777" w:rsidR="00BF71BC" w:rsidRPr="007A3C1A" w:rsidRDefault="00BF71BC" w:rsidP="007A3C1A">
      <w:pPr>
        <w:spacing w:after="0" w:line="360" w:lineRule="auto"/>
        <w:rPr>
          <w:rFonts w:cstheme="minorHAnsi"/>
          <w:b/>
          <w:bCs/>
          <w:spacing w:val="20"/>
          <w:sz w:val="24"/>
          <w:szCs w:val="24"/>
        </w:rPr>
      </w:pPr>
      <w:r w:rsidRPr="007A3C1A">
        <w:rPr>
          <w:rFonts w:cstheme="minorHAnsi"/>
          <w:b/>
          <w:bCs/>
          <w:spacing w:val="20"/>
          <w:sz w:val="24"/>
          <w:szCs w:val="24"/>
        </w:rPr>
        <w:t>Zamawiający:</w:t>
      </w:r>
    </w:p>
    <w:p w14:paraId="2FC88075" w14:textId="77777777" w:rsidR="00BF71BC" w:rsidRPr="007A3C1A" w:rsidRDefault="00294D6A" w:rsidP="007A3C1A">
      <w:pPr>
        <w:spacing w:after="0" w:line="360" w:lineRule="auto"/>
        <w:rPr>
          <w:rFonts w:cstheme="minorHAnsi"/>
          <w:b/>
          <w:bCs/>
          <w:spacing w:val="20"/>
          <w:sz w:val="24"/>
          <w:szCs w:val="24"/>
        </w:rPr>
      </w:pPr>
      <w:r w:rsidRPr="007A3C1A">
        <w:rPr>
          <w:rFonts w:cstheme="minorHAnsi"/>
          <w:b/>
          <w:bCs/>
          <w:spacing w:val="20"/>
          <w:sz w:val="24"/>
          <w:szCs w:val="24"/>
        </w:rPr>
        <w:t>Gmina</w:t>
      </w:r>
      <w:r w:rsidR="00BF71BC" w:rsidRPr="007A3C1A">
        <w:rPr>
          <w:rFonts w:cstheme="minorHAnsi"/>
          <w:b/>
          <w:bCs/>
          <w:spacing w:val="20"/>
          <w:sz w:val="24"/>
          <w:szCs w:val="24"/>
        </w:rPr>
        <w:t xml:space="preserve"> Sandomierz</w:t>
      </w:r>
    </w:p>
    <w:p w14:paraId="39F4CF8A" w14:textId="77777777" w:rsidR="00BF71BC" w:rsidRPr="007A3C1A" w:rsidRDefault="00BF71BC" w:rsidP="007A3C1A">
      <w:pPr>
        <w:spacing w:after="0" w:line="360" w:lineRule="auto"/>
        <w:rPr>
          <w:rFonts w:cstheme="minorHAnsi"/>
          <w:b/>
          <w:bCs/>
          <w:spacing w:val="20"/>
          <w:sz w:val="24"/>
          <w:szCs w:val="24"/>
        </w:rPr>
      </w:pPr>
      <w:r w:rsidRPr="007A3C1A">
        <w:rPr>
          <w:rFonts w:cstheme="minorHAnsi"/>
          <w:b/>
          <w:bCs/>
          <w:spacing w:val="20"/>
          <w:sz w:val="24"/>
          <w:szCs w:val="24"/>
        </w:rPr>
        <w:t>Plac Poniatowskiego 3</w:t>
      </w:r>
    </w:p>
    <w:p w14:paraId="7FCAA9BC" w14:textId="77777777" w:rsidR="00BF71BC" w:rsidRPr="007A3C1A" w:rsidRDefault="00BF71BC" w:rsidP="007A3C1A">
      <w:pPr>
        <w:spacing w:after="0" w:line="360" w:lineRule="auto"/>
        <w:rPr>
          <w:rFonts w:cstheme="minorHAnsi"/>
          <w:b/>
          <w:bCs/>
          <w:spacing w:val="20"/>
          <w:sz w:val="24"/>
          <w:szCs w:val="24"/>
        </w:rPr>
      </w:pPr>
      <w:r w:rsidRPr="007A3C1A">
        <w:rPr>
          <w:rFonts w:cstheme="minorHAnsi"/>
          <w:b/>
          <w:bCs/>
          <w:spacing w:val="20"/>
          <w:sz w:val="24"/>
          <w:szCs w:val="24"/>
        </w:rPr>
        <w:t>27-600 Sandomierz</w:t>
      </w:r>
    </w:p>
    <w:p w14:paraId="1CDE91E0" w14:textId="57A1742F" w:rsidR="00EA2A88" w:rsidRPr="007A3C1A" w:rsidRDefault="00EA2A88" w:rsidP="007A3C1A">
      <w:pPr>
        <w:spacing w:after="0" w:line="360" w:lineRule="auto"/>
        <w:rPr>
          <w:rFonts w:cstheme="minorHAnsi"/>
          <w:spacing w:val="20"/>
          <w:sz w:val="24"/>
          <w:szCs w:val="24"/>
        </w:rPr>
      </w:pPr>
    </w:p>
    <w:p w14:paraId="67F31340" w14:textId="77777777" w:rsidR="00D645E7" w:rsidRPr="007A3C1A" w:rsidRDefault="00D645E7" w:rsidP="007A3C1A">
      <w:pPr>
        <w:spacing w:after="0" w:line="360" w:lineRule="auto"/>
        <w:rPr>
          <w:rFonts w:cstheme="minorHAnsi"/>
          <w:spacing w:val="20"/>
          <w:sz w:val="24"/>
          <w:szCs w:val="24"/>
        </w:rPr>
      </w:pPr>
    </w:p>
    <w:p w14:paraId="218F0C87" w14:textId="075A6290" w:rsidR="00C220C3" w:rsidRPr="007A3C1A" w:rsidRDefault="00C47C1D" w:rsidP="007A3C1A">
      <w:pPr>
        <w:spacing w:after="0" w:line="360" w:lineRule="auto"/>
        <w:rPr>
          <w:rFonts w:cstheme="minorHAnsi"/>
          <w:spacing w:val="20"/>
          <w:sz w:val="24"/>
          <w:szCs w:val="24"/>
        </w:rPr>
      </w:pPr>
      <w:bookmarkStart w:id="0" w:name="_Hlk26886531"/>
      <w:r w:rsidRPr="007A3C1A">
        <w:rPr>
          <w:rFonts w:cstheme="minorHAnsi"/>
          <w:bCs/>
          <w:spacing w:val="20"/>
          <w:sz w:val="24"/>
          <w:szCs w:val="24"/>
        </w:rPr>
        <w:t>Dotyczy:</w:t>
      </w:r>
      <w:r w:rsidRPr="007A3C1A">
        <w:rPr>
          <w:rFonts w:cstheme="minorHAnsi"/>
          <w:spacing w:val="20"/>
          <w:sz w:val="24"/>
          <w:szCs w:val="24"/>
        </w:rPr>
        <w:t xml:space="preserve"> postępowania o udzielenie zamówienia publicznego prowadzonego w trybie przetargu nieograniczonego na zadanie pn. </w:t>
      </w:r>
      <w:r w:rsidR="00A262E6" w:rsidRPr="007A3C1A">
        <w:rPr>
          <w:rFonts w:cstheme="minorHAnsi"/>
          <w:b/>
          <w:bCs/>
          <w:spacing w:val="20"/>
          <w:sz w:val="24"/>
          <w:szCs w:val="24"/>
        </w:rPr>
        <w:t xml:space="preserve">„Modernizacja miejskiego oświetlenia ulicznego na energooszczędne na terenie Miasta Sandomierza etap I </w:t>
      </w:r>
      <w:proofErr w:type="spellStart"/>
      <w:r w:rsidR="00A262E6" w:rsidRPr="007A3C1A">
        <w:rPr>
          <w:rFonts w:cstheme="minorHAnsi"/>
          <w:b/>
          <w:bCs/>
          <w:spacing w:val="20"/>
          <w:sz w:val="24"/>
          <w:szCs w:val="24"/>
        </w:rPr>
        <w:t>i</w:t>
      </w:r>
      <w:proofErr w:type="spellEnd"/>
      <w:r w:rsidR="00A262E6" w:rsidRPr="007A3C1A">
        <w:rPr>
          <w:rFonts w:cstheme="minorHAnsi"/>
          <w:b/>
          <w:bCs/>
          <w:spacing w:val="20"/>
          <w:sz w:val="24"/>
          <w:szCs w:val="24"/>
        </w:rPr>
        <w:t xml:space="preserve"> II” realizowanego w ramach naborów nr RPSW.03.04.00-IŻ.00-26-136/17 oraz RPSW.03.04.00-IŻ.00-26-035/18 dla Działania 3.4 Strategia Niskoemisyjna, wsparcie zrównoważonej multimodalnej mobilności miejskiej Regionalnego Programu Operacyjnego Województwa Świętokrzyskiego na lata 2014-2020 dla projektów dotyczących modernizacji oświetlenia ulicznego (ulic, placów, terenów publicznych) na energooszczędne.</w:t>
      </w:r>
      <w:r w:rsidR="00766808" w:rsidRPr="007A3C1A">
        <w:rPr>
          <w:rFonts w:cstheme="minorHAnsi"/>
          <w:spacing w:val="20"/>
          <w:sz w:val="24"/>
          <w:szCs w:val="24"/>
        </w:rPr>
        <w:t xml:space="preserve"> </w:t>
      </w:r>
      <w:r w:rsidR="00A262E6" w:rsidRPr="007A3C1A">
        <w:rPr>
          <w:rFonts w:cstheme="minorHAnsi"/>
          <w:spacing w:val="20"/>
          <w:sz w:val="24"/>
          <w:szCs w:val="24"/>
        </w:rPr>
        <w:t>Znak sprawy: RZP.271.1.11.2020.DDR</w:t>
      </w:r>
    </w:p>
    <w:bookmarkEnd w:id="0"/>
    <w:p w14:paraId="07E05BD5" w14:textId="77777777" w:rsidR="00E53727" w:rsidRPr="007A3C1A" w:rsidRDefault="00E53727" w:rsidP="007A3C1A">
      <w:pPr>
        <w:spacing w:after="0" w:line="360" w:lineRule="auto"/>
        <w:rPr>
          <w:rFonts w:cstheme="minorHAnsi"/>
          <w:spacing w:val="20"/>
          <w:sz w:val="24"/>
          <w:szCs w:val="24"/>
        </w:rPr>
      </w:pPr>
    </w:p>
    <w:p w14:paraId="18ACF19D" w14:textId="77777777" w:rsidR="002F1842" w:rsidRPr="007A3C1A" w:rsidRDefault="002F1842" w:rsidP="007A3C1A">
      <w:pPr>
        <w:spacing w:after="0" w:line="360" w:lineRule="auto"/>
        <w:rPr>
          <w:rFonts w:eastAsia="Times New Roman" w:cstheme="minorHAnsi"/>
          <w:b/>
          <w:bCs/>
          <w:spacing w:val="20"/>
          <w:sz w:val="24"/>
          <w:szCs w:val="24"/>
          <w:lang w:eastAsia="pl-PL"/>
        </w:rPr>
      </w:pPr>
    </w:p>
    <w:p w14:paraId="46646224" w14:textId="1B013723" w:rsidR="00C47C1D" w:rsidRPr="007A3C1A" w:rsidRDefault="00C47C1D" w:rsidP="007A3C1A">
      <w:pPr>
        <w:spacing w:after="0" w:line="360" w:lineRule="auto"/>
        <w:rPr>
          <w:rFonts w:eastAsia="Times New Roman" w:cstheme="minorHAnsi"/>
          <w:spacing w:val="20"/>
          <w:sz w:val="24"/>
          <w:szCs w:val="24"/>
          <w:lang w:eastAsia="pl-PL"/>
        </w:rPr>
      </w:pPr>
      <w:r w:rsidRPr="007A3C1A">
        <w:rPr>
          <w:rFonts w:eastAsia="Times New Roman" w:cstheme="minorHAnsi"/>
          <w:b/>
          <w:bCs/>
          <w:spacing w:val="20"/>
          <w:sz w:val="24"/>
          <w:szCs w:val="24"/>
          <w:lang w:eastAsia="pl-PL"/>
        </w:rPr>
        <w:t>Treść zapytań i wyjaśnienia zapisów treści</w:t>
      </w:r>
    </w:p>
    <w:p w14:paraId="1415DF24" w14:textId="77777777" w:rsidR="00C47C1D" w:rsidRPr="007A3C1A" w:rsidRDefault="00C47C1D" w:rsidP="007A3C1A">
      <w:pPr>
        <w:spacing w:after="0" w:line="360" w:lineRule="auto"/>
        <w:rPr>
          <w:rFonts w:eastAsia="Times New Roman" w:cstheme="minorHAnsi"/>
          <w:spacing w:val="20"/>
          <w:sz w:val="24"/>
          <w:szCs w:val="24"/>
          <w:lang w:eastAsia="pl-PL"/>
        </w:rPr>
      </w:pPr>
      <w:r w:rsidRPr="007A3C1A">
        <w:rPr>
          <w:rFonts w:eastAsia="Times New Roman" w:cstheme="minorHAnsi"/>
          <w:b/>
          <w:bCs/>
          <w:spacing w:val="20"/>
          <w:sz w:val="24"/>
          <w:szCs w:val="24"/>
          <w:lang w:eastAsia="pl-PL"/>
        </w:rPr>
        <w:t>specyfikacji istotnych warunków zamówienia</w:t>
      </w:r>
    </w:p>
    <w:p w14:paraId="2B811105" w14:textId="604524CB" w:rsidR="00C47C1D" w:rsidRPr="007A3C1A" w:rsidRDefault="00C47C1D" w:rsidP="007A3C1A">
      <w:pPr>
        <w:spacing w:after="0" w:line="360" w:lineRule="auto"/>
        <w:rPr>
          <w:rFonts w:eastAsia="Times New Roman" w:cstheme="minorHAnsi"/>
          <w:spacing w:val="20"/>
          <w:sz w:val="24"/>
          <w:szCs w:val="24"/>
          <w:lang w:eastAsia="pl-PL"/>
        </w:rPr>
      </w:pPr>
    </w:p>
    <w:p w14:paraId="6A7EBAE8" w14:textId="77777777" w:rsidR="002F1842" w:rsidRPr="007A3C1A" w:rsidRDefault="002F1842" w:rsidP="007A3C1A">
      <w:pPr>
        <w:spacing w:before="100" w:beforeAutospacing="1" w:after="100" w:afterAutospacing="1" w:line="360" w:lineRule="auto"/>
        <w:ind w:firstLine="708"/>
        <w:rPr>
          <w:rFonts w:eastAsia="Times New Roman" w:cstheme="minorHAnsi"/>
          <w:spacing w:val="20"/>
          <w:sz w:val="24"/>
          <w:szCs w:val="24"/>
          <w:lang w:eastAsia="pl-PL"/>
        </w:rPr>
      </w:pPr>
      <w:r w:rsidRPr="007A3C1A">
        <w:rPr>
          <w:rFonts w:eastAsia="Times New Roman" w:cstheme="minorHAnsi"/>
          <w:spacing w:val="20"/>
          <w:sz w:val="24"/>
          <w:szCs w:val="24"/>
          <w:lang w:eastAsia="pl-PL"/>
        </w:rPr>
        <w:t>Zgodnie z art. 38 ust. 2  ustawy z dnia 29 stycznia 2004 r. - Prawo zamówień publicznych (</w:t>
      </w:r>
      <w:proofErr w:type="spellStart"/>
      <w:r w:rsidRPr="007A3C1A">
        <w:rPr>
          <w:rFonts w:eastAsia="Times New Roman" w:cstheme="minorHAnsi"/>
          <w:spacing w:val="20"/>
          <w:sz w:val="24"/>
          <w:szCs w:val="24"/>
          <w:lang w:eastAsia="pl-PL"/>
        </w:rPr>
        <w:t>t.j</w:t>
      </w:r>
      <w:proofErr w:type="spellEnd"/>
      <w:r w:rsidRPr="007A3C1A">
        <w:rPr>
          <w:rFonts w:eastAsia="Times New Roman" w:cstheme="minorHAnsi"/>
          <w:spacing w:val="20"/>
          <w:sz w:val="24"/>
          <w:szCs w:val="24"/>
          <w:lang w:eastAsia="pl-PL"/>
        </w:rPr>
        <w:t>. Dz. U. z 2019r., poz. 1843), zw. dalej ustawą PZP, Zamawiający przekazuje wszystkim Wykonawcom uczestniczącym w postępowaniu treść zapytań i wyjaśnień treści specyfikacji istotnych warunków zamówienia (SIWZ).</w:t>
      </w:r>
    </w:p>
    <w:p w14:paraId="4A40D0CE" w14:textId="77777777" w:rsidR="00C47C1D" w:rsidRPr="007A3C1A" w:rsidRDefault="00C47C1D" w:rsidP="007A3C1A">
      <w:pPr>
        <w:spacing w:after="0" w:line="360" w:lineRule="auto"/>
        <w:rPr>
          <w:rFonts w:cstheme="minorHAnsi"/>
          <w:spacing w:val="20"/>
          <w:sz w:val="24"/>
          <w:szCs w:val="24"/>
        </w:rPr>
      </w:pPr>
    </w:p>
    <w:p w14:paraId="36EA73B4" w14:textId="77777777" w:rsidR="0037695A" w:rsidRPr="007A3C1A" w:rsidRDefault="0037695A" w:rsidP="007A3C1A">
      <w:pPr>
        <w:spacing w:after="0" w:line="360" w:lineRule="auto"/>
        <w:rPr>
          <w:rFonts w:cstheme="minorHAnsi"/>
          <w:b/>
          <w:bCs/>
          <w:color w:val="000000"/>
          <w:spacing w:val="20"/>
          <w:sz w:val="24"/>
          <w:szCs w:val="24"/>
          <w:lang w:eastAsia="pl-PL"/>
        </w:rPr>
      </w:pPr>
      <w:r w:rsidRPr="007A3C1A">
        <w:rPr>
          <w:rFonts w:cstheme="minorHAnsi"/>
          <w:b/>
          <w:bCs/>
          <w:color w:val="000000"/>
          <w:spacing w:val="20"/>
          <w:sz w:val="24"/>
          <w:szCs w:val="24"/>
          <w:lang w:eastAsia="pl-PL"/>
        </w:rPr>
        <w:t>Pytanie nr 1</w:t>
      </w:r>
    </w:p>
    <w:p w14:paraId="5B659E33"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lastRenderedPageBreak/>
        <w:t xml:space="preserve"> Zwracamy się do Państwa z prośbą o zmianę postanowień umowy: </w:t>
      </w:r>
    </w:p>
    <w:p w14:paraId="6472F440"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1) § 2 ust. 3 umowy – aktualne brzmienie: </w:t>
      </w:r>
    </w:p>
    <w:p w14:paraId="29112068"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„3. Potwierdzeniem wykonania przedmiotu umowy jest spisanie protokołu odbioru końcowego całości wykonanego przedmiotu niniejszej umowy”. </w:t>
      </w:r>
    </w:p>
    <w:p w14:paraId="1114F181"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Prosimy o zmianę brzmienia na: </w:t>
      </w:r>
    </w:p>
    <w:p w14:paraId="6B818C6C"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„3. Potwierdzeniem wykonania przedmiotu umowy jest pisemne zgłoszenie przez Kierownika budowy zakończenia całości wykonanego przedmiotu niniejszej umowy i gotowości do odbioru końcowego” </w:t>
      </w:r>
    </w:p>
    <w:p w14:paraId="63F4EBAA"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Uzasadnienie: </w:t>
      </w:r>
    </w:p>
    <w:p w14:paraId="4601D045"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W umowie znajdują się wzajemnie wykluczające postanowienia: </w:t>
      </w:r>
    </w:p>
    <w:p w14:paraId="4E9FB60A"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 5 ust. 7 umowy: </w:t>
      </w:r>
    </w:p>
    <w:p w14:paraId="601788B4"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„7. Wykonawca zgłosi Zamawiającemu gotowość do odbioru końcowego pisemnie, co najmniej 10 dni wcześniej przed terminem zakończenia wykonywania przedmiotu umowy, określonym w § 2 ust. 2 niniejszej umowy”. </w:t>
      </w:r>
    </w:p>
    <w:p w14:paraId="01E450E3" w14:textId="3DBDDAD8"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Zgłoszenie zakończenia robót budowlanych i gotowości do odbioru dokonuje zgodnie </w:t>
      </w:r>
      <w:r w:rsidRPr="007A3C1A">
        <w:rPr>
          <w:rFonts w:eastAsia="Times New Roman" w:cstheme="minorHAnsi"/>
          <w:spacing w:val="20"/>
          <w:sz w:val="24"/>
          <w:szCs w:val="24"/>
        </w:rPr>
        <w:br/>
        <w:t xml:space="preserve">z Prawem budowlanym Kierownik budowy i jest to jego oświadczenie woli. Jak ma tego dokonać na co najmniej 10 dni przed zakończeniem robót, bo chociażby zrobił to </w:t>
      </w:r>
      <w:r w:rsidR="002F1842" w:rsidRPr="007A3C1A">
        <w:rPr>
          <w:rFonts w:eastAsia="Times New Roman" w:cstheme="minorHAnsi"/>
          <w:spacing w:val="20"/>
          <w:sz w:val="24"/>
          <w:szCs w:val="24"/>
        </w:rPr>
        <w:br/>
      </w:r>
      <w:r w:rsidRPr="007A3C1A">
        <w:rPr>
          <w:rFonts w:eastAsia="Times New Roman" w:cstheme="minorHAnsi"/>
          <w:spacing w:val="20"/>
          <w:sz w:val="24"/>
          <w:szCs w:val="24"/>
        </w:rPr>
        <w:t>z największą starannością to i tak nie ma żadnej gwarancji, że nie wystąpią tzw. „siły wyższe”, wskutek czego oświadczenie woli będzie poświadczeniem nieprawdy.</w:t>
      </w:r>
    </w:p>
    <w:p w14:paraId="2EFFD2BB"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 5 ust. 11 umowy: </w:t>
      </w:r>
    </w:p>
    <w:p w14:paraId="2744279B"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„11. Zamawiający powoła komisję odbiorową oraz rozpocznie czynności odbioru końcowego w terminie do 10 dni roboczych od daty zawiadomienia go o osiągnięciu gotowości Wykonawcy do odbioru końcowego i przedłożenia dokumentów, o których mowa w ust. 10 niniejszego paragrafu” </w:t>
      </w:r>
    </w:p>
    <w:p w14:paraId="7CB01D5A"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oraz § 5 ust. 12 umowy: </w:t>
      </w:r>
    </w:p>
    <w:p w14:paraId="0B6300CE" w14:textId="77777777"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t xml:space="preserve">„12. Zamawiający zobowiązany jest do dokonania lub odmowy dokonania odbioru końcowego w terminie 14 dni od dnia rozpoczęcia tego odbioru”. </w:t>
      </w:r>
    </w:p>
    <w:p w14:paraId="7022A318" w14:textId="37815CE5" w:rsidR="0037695A" w:rsidRPr="007A3C1A" w:rsidRDefault="0037695A" w:rsidP="007A3C1A">
      <w:pPr>
        <w:spacing w:after="0" w:line="360" w:lineRule="auto"/>
        <w:rPr>
          <w:rFonts w:eastAsia="Times New Roman" w:cstheme="minorHAnsi"/>
          <w:spacing w:val="20"/>
          <w:sz w:val="24"/>
          <w:szCs w:val="24"/>
        </w:rPr>
      </w:pPr>
      <w:r w:rsidRPr="007A3C1A">
        <w:rPr>
          <w:rFonts w:eastAsia="Times New Roman" w:cstheme="minorHAnsi"/>
          <w:spacing w:val="20"/>
          <w:sz w:val="24"/>
          <w:szCs w:val="24"/>
        </w:rPr>
        <w:lastRenderedPageBreak/>
        <w:t xml:space="preserve">Po dokonaniu zgłoszenia przez Kierownika budowy zakończenia robót i gotowości do odbioru, Wykonawca nie ma żadnego wpływu na czynności podejmowane przez Zamawiającego. Z postanowień umownych wynika, że Zamawiający ma więcej dni (bo to są określone dni robocze) na zwołanie tylko komisji odbiorowej (bo aż 10 dni roboczych), niż Wykonawca, który zgodnie z umową w 140-tym dniu od zawarcia umowy zgłasza zakończenie robót i gotowość do odbioru, a zamawiający w 150-tym dniu od daty zawarcia umowy nawet może nie zwołać komisji. To kiedy w takim razie wykonawca ma zgłosić gotowość do odbioru, aby zamawiający zdążył i dokonał odbioru tak, aby wykonawca nie został obciążony karami umownymi ? W 130-tym dniu od zawarcia umowy, czy też może </w:t>
      </w:r>
      <w:r w:rsidR="002F1842" w:rsidRPr="007A3C1A">
        <w:rPr>
          <w:rFonts w:eastAsia="Times New Roman" w:cstheme="minorHAnsi"/>
          <w:spacing w:val="20"/>
          <w:sz w:val="24"/>
          <w:szCs w:val="24"/>
        </w:rPr>
        <w:br/>
      </w:r>
      <w:r w:rsidRPr="007A3C1A">
        <w:rPr>
          <w:rFonts w:eastAsia="Times New Roman" w:cstheme="minorHAnsi"/>
          <w:spacing w:val="20"/>
          <w:sz w:val="24"/>
          <w:szCs w:val="24"/>
        </w:rPr>
        <w:t>w 110-tym dniu ?. Ten termin na zakończenie robót określony jako 150 dni od daty zawarcia umowy jest terminem mało realnym. Tu są do wykonania prace projektowe. My nie wiemy nawet, na jakim etapie są uzgodnienia zamawiającego z właścicielem linii energetycznych czyli PGE. Nie wiemy czy są warunki energetyczne i co jest w tych warunkach energetycznych, czy są wyjaśnione i uzgodnione wszystkie sprawy własnościowe.</w:t>
      </w:r>
    </w:p>
    <w:p w14:paraId="7BD7BBC3" w14:textId="5B80068E" w:rsidR="0037695A" w:rsidRPr="007A3C1A" w:rsidRDefault="0037695A" w:rsidP="007A3C1A">
      <w:pPr>
        <w:spacing w:after="0" w:line="360" w:lineRule="auto"/>
        <w:rPr>
          <w:rFonts w:cstheme="minorHAnsi"/>
          <w:color w:val="000000"/>
          <w:spacing w:val="20"/>
          <w:sz w:val="24"/>
          <w:szCs w:val="24"/>
          <w:u w:val="single"/>
          <w:lang w:eastAsia="pl-PL"/>
        </w:rPr>
      </w:pPr>
      <w:bookmarkStart w:id="1" w:name="_Hlk61529130"/>
      <w:r w:rsidRPr="007A3C1A">
        <w:rPr>
          <w:rFonts w:cstheme="minorHAnsi"/>
          <w:color w:val="000000"/>
          <w:spacing w:val="20"/>
          <w:sz w:val="24"/>
          <w:szCs w:val="24"/>
          <w:u w:val="single"/>
          <w:lang w:eastAsia="pl-PL"/>
        </w:rPr>
        <w:t>Odpowiedź:</w:t>
      </w:r>
    </w:p>
    <w:bookmarkEnd w:id="1"/>
    <w:p w14:paraId="1E4B2559" w14:textId="77777777" w:rsidR="0037695A" w:rsidRPr="007A3C1A" w:rsidRDefault="0037695A" w:rsidP="007A3C1A">
      <w:pPr>
        <w:spacing w:after="0" w:line="360" w:lineRule="auto"/>
        <w:rPr>
          <w:rFonts w:cstheme="minorHAnsi"/>
          <w:b/>
          <w:bCs/>
          <w:spacing w:val="20"/>
          <w:sz w:val="24"/>
          <w:szCs w:val="24"/>
          <w:lang w:eastAsia="pl-PL"/>
        </w:rPr>
      </w:pPr>
      <w:r w:rsidRPr="007A3C1A">
        <w:rPr>
          <w:rFonts w:cstheme="minorHAnsi"/>
          <w:b/>
          <w:bCs/>
          <w:spacing w:val="20"/>
          <w:sz w:val="24"/>
          <w:szCs w:val="24"/>
          <w:lang w:eastAsia="pl-PL"/>
        </w:rPr>
        <w:t xml:space="preserve">Zamawiający nie wyraża zgody na zmianę treści wzoru umowy oraz udostępnia Warunki wykonania modernizacji oświetlenia drogowego z dnia 20.02.2019r. </w:t>
      </w:r>
    </w:p>
    <w:p w14:paraId="3C4BDD88" w14:textId="77777777" w:rsidR="00904755" w:rsidRPr="007A3C1A" w:rsidRDefault="00904755" w:rsidP="007A3C1A">
      <w:pPr>
        <w:spacing w:after="0" w:line="360" w:lineRule="auto"/>
        <w:rPr>
          <w:rFonts w:cstheme="minorHAnsi"/>
          <w:b/>
          <w:bCs/>
          <w:color w:val="000000"/>
          <w:spacing w:val="20"/>
          <w:sz w:val="24"/>
          <w:szCs w:val="24"/>
          <w:lang w:eastAsia="pl-PL"/>
        </w:rPr>
      </w:pPr>
    </w:p>
    <w:p w14:paraId="30B81852" w14:textId="2D374481" w:rsidR="0037695A" w:rsidRPr="007A3C1A" w:rsidRDefault="0037695A" w:rsidP="007A3C1A">
      <w:pPr>
        <w:spacing w:after="0" w:line="360" w:lineRule="auto"/>
        <w:rPr>
          <w:rFonts w:cstheme="minorHAnsi"/>
          <w:b/>
          <w:bCs/>
          <w:color w:val="000000"/>
          <w:spacing w:val="20"/>
          <w:sz w:val="24"/>
          <w:szCs w:val="24"/>
          <w:lang w:eastAsia="pl-PL"/>
        </w:rPr>
      </w:pPr>
      <w:r w:rsidRPr="007A3C1A">
        <w:rPr>
          <w:rFonts w:cstheme="minorHAnsi"/>
          <w:b/>
          <w:bCs/>
          <w:color w:val="000000"/>
          <w:spacing w:val="20"/>
          <w:sz w:val="24"/>
          <w:szCs w:val="24"/>
          <w:lang w:eastAsia="pl-PL"/>
        </w:rPr>
        <w:t>Pytanie nr 2</w:t>
      </w:r>
    </w:p>
    <w:p w14:paraId="2189BE69" w14:textId="77777777" w:rsidR="0037695A" w:rsidRPr="007A3C1A" w:rsidRDefault="0037695A" w:rsidP="007A3C1A">
      <w:pPr>
        <w:spacing w:after="0" w:line="360" w:lineRule="auto"/>
        <w:rPr>
          <w:rFonts w:cstheme="minorHAnsi"/>
          <w:color w:val="000000"/>
          <w:spacing w:val="20"/>
          <w:sz w:val="24"/>
          <w:szCs w:val="24"/>
          <w:lang w:eastAsia="pl-PL"/>
        </w:rPr>
      </w:pPr>
      <w:r w:rsidRPr="007A3C1A">
        <w:rPr>
          <w:rFonts w:cstheme="minorHAnsi"/>
          <w:color w:val="000000"/>
          <w:spacing w:val="20"/>
          <w:sz w:val="24"/>
          <w:szCs w:val="24"/>
          <w:lang w:eastAsia="pl-PL"/>
        </w:rPr>
        <w:t>Czy w ofercie należy uwzględnić koszt opłat z tytułu zajęcia pasa drogowego dróg gminnych??</w:t>
      </w:r>
    </w:p>
    <w:p w14:paraId="3C5A7399" w14:textId="09E7FBC6" w:rsidR="0037695A" w:rsidRPr="007A3C1A" w:rsidRDefault="0037695A" w:rsidP="007A3C1A">
      <w:pPr>
        <w:spacing w:after="0" w:line="360" w:lineRule="auto"/>
        <w:rPr>
          <w:rFonts w:cstheme="minorHAnsi"/>
          <w:color w:val="000000"/>
          <w:spacing w:val="20"/>
          <w:sz w:val="24"/>
          <w:szCs w:val="24"/>
          <w:u w:val="single"/>
          <w:lang w:eastAsia="pl-PL"/>
        </w:rPr>
      </w:pPr>
      <w:r w:rsidRPr="007A3C1A">
        <w:rPr>
          <w:rFonts w:cstheme="minorHAnsi"/>
          <w:color w:val="000000"/>
          <w:spacing w:val="20"/>
          <w:sz w:val="24"/>
          <w:szCs w:val="24"/>
          <w:u w:val="single"/>
          <w:lang w:eastAsia="pl-PL"/>
        </w:rPr>
        <w:t>Odpowiedź:</w:t>
      </w:r>
    </w:p>
    <w:p w14:paraId="751189EC" w14:textId="77777777" w:rsidR="0037695A" w:rsidRPr="007A3C1A" w:rsidRDefault="0037695A" w:rsidP="007A3C1A">
      <w:pPr>
        <w:spacing w:after="0" w:line="360" w:lineRule="auto"/>
        <w:rPr>
          <w:rFonts w:cstheme="minorHAnsi"/>
          <w:b/>
          <w:bCs/>
          <w:color w:val="000000"/>
          <w:spacing w:val="20"/>
          <w:sz w:val="24"/>
          <w:szCs w:val="24"/>
          <w:lang w:eastAsia="pl-PL"/>
        </w:rPr>
      </w:pPr>
      <w:r w:rsidRPr="007A3C1A">
        <w:rPr>
          <w:rFonts w:cstheme="minorHAnsi"/>
          <w:b/>
          <w:bCs/>
          <w:color w:val="000000"/>
          <w:spacing w:val="20"/>
          <w:sz w:val="24"/>
          <w:szCs w:val="24"/>
          <w:lang w:eastAsia="pl-PL"/>
        </w:rPr>
        <w:t xml:space="preserve">Nie należy uwzględniać kosztu opłat z tytułu zajęcia pasa drogowego dróg gminnych. </w:t>
      </w:r>
    </w:p>
    <w:p w14:paraId="161C95E6" w14:textId="77777777" w:rsidR="00C535E6" w:rsidRPr="007A3C1A" w:rsidRDefault="00C535E6" w:rsidP="007A3C1A">
      <w:pPr>
        <w:spacing w:after="0" w:line="360" w:lineRule="auto"/>
        <w:rPr>
          <w:rFonts w:cstheme="minorHAnsi"/>
          <w:bCs/>
          <w:spacing w:val="20"/>
          <w:sz w:val="24"/>
          <w:szCs w:val="24"/>
        </w:rPr>
      </w:pPr>
    </w:p>
    <w:p w14:paraId="17881FA2" w14:textId="77777777" w:rsidR="00C535E6" w:rsidRPr="007A3C1A" w:rsidRDefault="00C535E6" w:rsidP="007A3C1A">
      <w:pPr>
        <w:spacing w:after="0" w:line="360" w:lineRule="auto"/>
        <w:rPr>
          <w:rFonts w:cstheme="minorHAnsi"/>
          <w:bCs/>
          <w:spacing w:val="20"/>
          <w:sz w:val="24"/>
          <w:szCs w:val="24"/>
        </w:rPr>
      </w:pPr>
    </w:p>
    <w:p w14:paraId="1EEB4D3F" w14:textId="47FF5E00" w:rsidR="005F5FF5" w:rsidRPr="007A3C1A" w:rsidRDefault="005F5FF5" w:rsidP="007A3C1A">
      <w:pPr>
        <w:spacing w:after="0" w:line="360" w:lineRule="auto"/>
        <w:rPr>
          <w:rFonts w:cstheme="minorHAnsi"/>
          <w:spacing w:val="20"/>
          <w:sz w:val="24"/>
          <w:szCs w:val="24"/>
        </w:rPr>
      </w:pPr>
      <w:r w:rsidRPr="007A3C1A">
        <w:rPr>
          <w:rFonts w:cstheme="minorHAnsi"/>
          <w:spacing w:val="20"/>
          <w:sz w:val="24"/>
          <w:szCs w:val="24"/>
        </w:rPr>
        <w:lastRenderedPageBreak/>
        <w:t>Wyjaśnienia oraz zmiany treści SIWZ są wiążące dla wszystkich Wykonawców i należy je uwzględnić przy sporządzaniu i składaniu oferty.</w:t>
      </w:r>
    </w:p>
    <w:p w14:paraId="30214769" w14:textId="77777777" w:rsidR="00A41D87" w:rsidRPr="007A3C1A" w:rsidRDefault="00A41D87" w:rsidP="007A3C1A">
      <w:pPr>
        <w:spacing w:after="0" w:line="360" w:lineRule="auto"/>
        <w:rPr>
          <w:rFonts w:cstheme="minorHAnsi"/>
          <w:spacing w:val="20"/>
          <w:sz w:val="24"/>
          <w:szCs w:val="24"/>
        </w:rPr>
      </w:pPr>
    </w:p>
    <w:sectPr w:rsidR="00A41D87" w:rsidRPr="007A3C1A" w:rsidSect="002D31B7">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F720" w14:textId="77777777" w:rsidR="00841699" w:rsidRDefault="00841699" w:rsidP="00E7667E">
      <w:pPr>
        <w:spacing w:after="0" w:line="240" w:lineRule="auto"/>
      </w:pPr>
      <w:r>
        <w:separator/>
      </w:r>
    </w:p>
  </w:endnote>
  <w:endnote w:type="continuationSeparator" w:id="0">
    <w:p w14:paraId="52B8D5A5" w14:textId="77777777" w:rsidR="00841699" w:rsidRDefault="00841699" w:rsidP="00E7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44657"/>
      <w:docPartObj>
        <w:docPartGallery w:val="Page Numbers (Bottom of Page)"/>
        <w:docPartUnique/>
      </w:docPartObj>
    </w:sdtPr>
    <w:sdtEndPr/>
    <w:sdtContent>
      <w:p w14:paraId="46757E26" w14:textId="77777777" w:rsidR="00841699" w:rsidRDefault="002C6773">
        <w:pPr>
          <w:pStyle w:val="Stopka"/>
          <w:jc w:val="center"/>
        </w:pPr>
        <w:r>
          <w:rPr>
            <w:noProof/>
          </w:rPr>
          <w:fldChar w:fldCharType="begin"/>
        </w:r>
        <w:r>
          <w:rPr>
            <w:noProof/>
          </w:rPr>
          <w:instrText xml:space="preserve"> PAGE   \* MERGEFORMAT </w:instrText>
        </w:r>
        <w:r>
          <w:rPr>
            <w:noProof/>
          </w:rPr>
          <w:fldChar w:fldCharType="separate"/>
        </w:r>
        <w:r w:rsidR="002B0EE0">
          <w:rPr>
            <w:noProof/>
          </w:rPr>
          <w:t>7</w:t>
        </w:r>
        <w:r>
          <w:rPr>
            <w:noProof/>
          </w:rPr>
          <w:fldChar w:fldCharType="end"/>
        </w:r>
      </w:p>
    </w:sdtContent>
  </w:sdt>
  <w:p w14:paraId="24754AC1" w14:textId="77777777" w:rsidR="00841699" w:rsidRDefault="008416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AF9F" w14:textId="77777777" w:rsidR="00841699" w:rsidRDefault="00841699" w:rsidP="00E7667E">
      <w:pPr>
        <w:spacing w:after="0" w:line="240" w:lineRule="auto"/>
      </w:pPr>
      <w:r>
        <w:separator/>
      </w:r>
    </w:p>
  </w:footnote>
  <w:footnote w:type="continuationSeparator" w:id="0">
    <w:p w14:paraId="3FE0E030" w14:textId="77777777" w:rsidR="00841699" w:rsidRDefault="00841699" w:rsidP="00E7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48" w:type="pct"/>
      <w:tblCellMar>
        <w:left w:w="0" w:type="dxa"/>
        <w:right w:w="0" w:type="dxa"/>
      </w:tblCellMar>
      <w:tblLook w:val="00A0" w:firstRow="1" w:lastRow="0" w:firstColumn="1" w:lastColumn="0" w:noHBand="0" w:noVBand="0"/>
    </w:tblPr>
    <w:tblGrid>
      <w:gridCol w:w="1787"/>
      <w:gridCol w:w="2611"/>
      <w:gridCol w:w="1995"/>
      <w:gridCol w:w="2403"/>
    </w:tblGrid>
    <w:tr w:rsidR="00841699" w:rsidRPr="00C96983" w14:paraId="2BA8CF03" w14:textId="77777777" w:rsidTr="00841699">
      <w:tc>
        <w:tcPr>
          <w:tcW w:w="1016" w:type="pct"/>
          <w:tcMar>
            <w:left w:w="0" w:type="dxa"/>
            <w:right w:w="0" w:type="dxa"/>
          </w:tcMar>
        </w:tcPr>
        <w:p w14:paraId="605C5ECF" w14:textId="77777777" w:rsidR="00841699" w:rsidRPr="00C96983" w:rsidRDefault="00841699" w:rsidP="00841699">
          <w:pPr>
            <w:rPr>
              <w:rFonts w:ascii="Calibri" w:hAnsi="Calibri"/>
              <w:noProof/>
            </w:rPr>
          </w:pPr>
          <w:r>
            <w:rPr>
              <w:rFonts w:ascii="Calibri" w:hAnsi="Calibri"/>
              <w:noProof/>
              <w:lang w:eastAsia="pl-PL"/>
            </w:rPr>
            <w:drawing>
              <wp:inline distT="0" distB="0" distL="0" distR="0" wp14:anchorId="0BD2E92C" wp14:editId="3547F375">
                <wp:extent cx="1025525" cy="43751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484" w:type="pct"/>
          <w:tcMar>
            <w:left w:w="0" w:type="dxa"/>
            <w:right w:w="0" w:type="dxa"/>
          </w:tcMar>
        </w:tcPr>
        <w:p w14:paraId="52AE08C9" w14:textId="77777777" w:rsidR="00841699" w:rsidRPr="00C96983" w:rsidRDefault="00841699" w:rsidP="00841699">
          <w:pPr>
            <w:ind w:left="48"/>
            <w:jc w:val="center"/>
            <w:rPr>
              <w:rFonts w:ascii="Calibri" w:hAnsi="Calibri"/>
              <w:noProof/>
            </w:rPr>
          </w:pPr>
          <w:r>
            <w:rPr>
              <w:rFonts w:ascii="Calibri" w:hAnsi="Calibri"/>
              <w:noProof/>
              <w:lang w:eastAsia="pl-PL"/>
            </w:rPr>
            <w:drawing>
              <wp:inline distT="0" distB="0" distL="0" distR="0" wp14:anchorId="2453AB5E" wp14:editId="38E20326">
                <wp:extent cx="1399540" cy="43751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437515"/>
                        </a:xfrm>
                        <a:prstGeom prst="rect">
                          <a:avLst/>
                        </a:prstGeom>
                        <a:noFill/>
                        <a:ln>
                          <a:noFill/>
                        </a:ln>
                      </pic:spPr>
                    </pic:pic>
                  </a:graphicData>
                </a:graphic>
              </wp:inline>
            </w:drawing>
          </w:r>
        </w:p>
      </w:tc>
      <w:tc>
        <w:tcPr>
          <w:tcW w:w="1134" w:type="pct"/>
          <w:tcMar>
            <w:left w:w="0" w:type="dxa"/>
            <w:right w:w="0" w:type="dxa"/>
          </w:tcMar>
        </w:tcPr>
        <w:p w14:paraId="7993DBD6" w14:textId="77777777" w:rsidR="00841699" w:rsidRPr="00C96983" w:rsidRDefault="00841699" w:rsidP="00841699">
          <w:pPr>
            <w:ind w:left="-1"/>
            <w:jc w:val="center"/>
            <w:rPr>
              <w:rFonts w:ascii="Calibri" w:hAnsi="Calibri"/>
              <w:noProof/>
            </w:rPr>
          </w:pPr>
          <w:r>
            <w:rPr>
              <w:rFonts w:ascii="Calibri" w:hAnsi="Calibri"/>
              <w:noProof/>
              <w:lang w:eastAsia="pl-PL"/>
            </w:rPr>
            <w:drawing>
              <wp:inline distT="0" distB="0" distL="0" distR="0" wp14:anchorId="519FA604" wp14:editId="74B0BFCA">
                <wp:extent cx="668020" cy="43751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20" cy="437515"/>
                        </a:xfrm>
                        <a:prstGeom prst="rect">
                          <a:avLst/>
                        </a:prstGeom>
                        <a:noFill/>
                        <a:ln>
                          <a:noFill/>
                        </a:ln>
                      </pic:spPr>
                    </pic:pic>
                  </a:graphicData>
                </a:graphic>
              </wp:inline>
            </w:drawing>
          </w:r>
        </w:p>
      </w:tc>
      <w:tc>
        <w:tcPr>
          <w:tcW w:w="1366" w:type="pct"/>
          <w:tcMar>
            <w:left w:w="0" w:type="dxa"/>
            <w:right w:w="0" w:type="dxa"/>
          </w:tcMar>
        </w:tcPr>
        <w:p w14:paraId="38659242" w14:textId="77777777" w:rsidR="00841699" w:rsidRPr="00C96983" w:rsidRDefault="00841699" w:rsidP="00841699">
          <w:pPr>
            <w:ind w:right="-1"/>
            <w:jc w:val="right"/>
            <w:rPr>
              <w:rFonts w:ascii="Calibri" w:hAnsi="Calibri"/>
              <w:noProof/>
            </w:rPr>
          </w:pPr>
          <w:r>
            <w:rPr>
              <w:rFonts w:ascii="Calibri" w:hAnsi="Calibri"/>
              <w:noProof/>
              <w:lang w:eastAsia="pl-PL"/>
            </w:rPr>
            <w:drawing>
              <wp:inline distT="0" distB="0" distL="0" distR="0" wp14:anchorId="3BBAAE81" wp14:editId="03C56A1A">
                <wp:extent cx="1454785" cy="43751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785" cy="437515"/>
                        </a:xfrm>
                        <a:prstGeom prst="rect">
                          <a:avLst/>
                        </a:prstGeom>
                        <a:noFill/>
                        <a:ln>
                          <a:noFill/>
                        </a:ln>
                      </pic:spPr>
                    </pic:pic>
                  </a:graphicData>
                </a:graphic>
              </wp:inline>
            </w:drawing>
          </w:r>
        </w:p>
      </w:tc>
    </w:tr>
  </w:tbl>
  <w:p w14:paraId="061A6230" w14:textId="77777777" w:rsidR="00841699" w:rsidRDefault="008416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36C1"/>
    <w:multiLevelType w:val="hybridMultilevel"/>
    <w:tmpl w:val="8E8E5812"/>
    <w:lvl w:ilvl="0" w:tplc="054EFD82">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44F4C"/>
    <w:multiLevelType w:val="hybridMultilevel"/>
    <w:tmpl w:val="3580CC9A"/>
    <w:lvl w:ilvl="0" w:tplc="04150011">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E77F7F"/>
    <w:multiLevelType w:val="hybridMultilevel"/>
    <w:tmpl w:val="35B00314"/>
    <w:lvl w:ilvl="0" w:tplc="0032C6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72041DF"/>
    <w:multiLevelType w:val="hybridMultilevel"/>
    <w:tmpl w:val="88548282"/>
    <w:lvl w:ilvl="0" w:tplc="04150011">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A72E29"/>
    <w:multiLevelType w:val="hybridMultilevel"/>
    <w:tmpl w:val="3D12647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3443F"/>
    <w:multiLevelType w:val="hybridMultilevel"/>
    <w:tmpl w:val="3DA41A66"/>
    <w:lvl w:ilvl="0" w:tplc="054EFD82">
      <w:start w:val="8"/>
      <w:numFmt w:val="upperRoman"/>
      <w:lvlText w:val="%1."/>
      <w:lvlJc w:val="left"/>
      <w:pPr>
        <w:ind w:left="1080" w:hanging="720"/>
      </w:pPr>
      <w:rPr>
        <w:rFonts w:hint="default"/>
      </w:rPr>
    </w:lvl>
    <w:lvl w:ilvl="1" w:tplc="30104E14">
      <w:start w:val="1"/>
      <w:numFmt w:val="decimal"/>
      <w:lvlText w:val="%2."/>
      <w:lvlJc w:val="left"/>
      <w:pPr>
        <w:ind w:left="785"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F3669E"/>
    <w:multiLevelType w:val="hybridMultilevel"/>
    <w:tmpl w:val="F26A4ED0"/>
    <w:lvl w:ilvl="0" w:tplc="2DB03880">
      <w:start w:val="2"/>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0003E9"/>
    <w:multiLevelType w:val="hybridMultilevel"/>
    <w:tmpl w:val="CC4C1C94"/>
    <w:lvl w:ilvl="0" w:tplc="B6FA1B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D22BE5"/>
    <w:multiLevelType w:val="hybridMultilevel"/>
    <w:tmpl w:val="673E1FE4"/>
    <w:lvl w:ilvl="0" w:tplc="AFB8A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9F4301"/>
    <w:multiLevelType w:val="hybridMultilevel"/>
    <w:tmpl w:val="7BEA3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713609"/>
    <w:multiLevelType w:val="multilevel"/>
    <w:tmpl w:val="209C64A4"/>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B7254D"/>
    <w:multiLevelType w:val="hybridMultilevel"/>
    <w:tmpl w:val="C26E6B98"/>
    <w:lvl w:ilvl="0" w:tplc="8028052E">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8421B70">
      <w:start w:val="7"/>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4C349BC"/>
    <w:multiLevelType w:val="hybridMultilevel"/>
    <w:tmpl w:val="71F08C8A"/>
    <w:lvl w:ilvl="0" w:tplc="9C74987C">
      <w:start w:val="1"/>
      <w:numFmt w:val="decimal"/>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7376A69"/>
    <w:multiLevelType w:val="hybridMultilevel"/>
    <w:tmpl w:val="60BC8FD4"/>
    <w:lvl w:ilvl="0" w:tplc="2E9A22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F752D"/>
    <w:multiLevelType w:val="hybridMultilevel"/>
    <w:tmpl w:val="3D12647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B768B1"/>
    <w:multiLevelType w:val="hybridMultilevel"/>
    <w:tmpl w:val="2D6AC9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C4C6097"/>
    <w:multiLevelType w:val="hybridMultilevel"/>
    <w:tmpl w:val="3DA41A66"/>
    <w:lvl w:ilvl="0" w:tplc="054EFD82">
      <w:start w:val="8"/>
      <w:numFmt w:val="upperRoman"/>
      <w:lvlText w:val="%1."/>
      <w:lvlJc w:val="left"/>
      <w:pPr>
        <w:ind w:left="1080" w:hanging="720"/>
      </w:pPr>
      <w:rPr>
        <w:rFonts w:hint="default"/>
      </w:rPr>
    </w:lvl>
    <w:lvl w:ilvl="1" w:tplc="30104E14">
      <w:start w:val="1"/>
      <w:numFmt w:val="decimal"/>
      <w:lvlText w:val="%2."/>
      <w:lvlJc w:val="left"/>
      <w:pPr>
        <w:ind w:left="785"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542187"/>
    <w:multiLevelType w:val="hybridMultilevel"/>
    <w:tmpl w:val="C3FC4F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F860378"/>
    <w:multiLevelType w:val="hybridMultilevel"/>
    <w:tmpl w:val="71F08C8A"/>
    <w:lvl w:ilvl="0" w:tplc="9C74987C">
      <w:start w:val="1"/>
      <w:numFmt w:val="decimal"/>
      <w:lvlText w:val="%1)"/>
      <w:lvlJc w:val="left"/>
      <w:pPr>
        <w:ind w:left="1069" w:hanging="360"/>
      </w:pPr>
      <w:rPr>
        <w:rFonts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4"/>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2"/>
  </w:num>
  <w:num w:numId="7">
    <w:abstractNumId w:val="9"/>
  </w:num>
  <w:num w:numId="8">
    <w:abstractNumId w:val="17"/>
  </w:num>
  <w:num w:numId="9">
    <w:abstractNumId w:val="7"/>
  </w:num>
  <w:num w:numId="10">
    <w:abstractNumId w:val="16"/>
  </w:num>
  <w:num w:numId="11">
    <w:abstractNumId w:val="5"/>
  </w:num>
  <w:num w:numId="12">
    <w:abstractNumId w:val="0"/>
  </w:num>
  <w:num w:numId="13">
    <w:abstractNumId w:val="13"/>
  </w:num>
  <w:num w:numId="14">
    <w:abstractNumId w:val="18"/>
  </w:num>
  <w:num w:numId="15">
    <w:abstractNumId w:val="12"/>
  </w:num>
  <w:num w:numId="16">
    <w:abstractNumId w:val="1"/>
  </w:num>
  <w:num w:numId="17">
    <w:abstractNumId w:val="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A53"/>
    <w:rsid w:val="000239D2"/>
    <w:rsid w:val="000242DF"/>
    <w:rsid w:val="00034EFA"/>
    <w:rsid w:val="00092638"/>
    <w:rsid w:val="000B70EA"/>
    <w:rsid w:val="000F2E38"/>
    <w:rsid w:val="0014168D"/>
    <w:rsid w:val="00190CD0"/>
    <w:rsid w:val="001A0A44"/>
    <w:rsid w:val="001D3BD3"/>
    <w:rsid w:val="001E5C6B"/>
    <w:rsid w:val="001F690A"/>
    <w:rsid w:val="0020540E"/>
    <w:rsid w:val="00217E22"/>
    <w:rsid w:val="00226866"/>
    <w:rsid w:val="00255289"/>
    <w:rsid w:val="00294D6A"/>
    <w:rsid w:val="002B0EE0"/>
    <w:rsid w:val="002B2063"/>
    <w:rsid w:val="002C6773"/>
    <w:rsid w:val="002D31B7"/>
    <w:rsid w:val="002F1842"/>
    <w:rsid w:val="003000F1"/>
    <w:rsid w:val="00310680"/>
    <w:rsid w:val="00354A40"/>
    <w:rsid w:val="0037695A"/>
    <w:rsid w:val="00380AAA"/>
    <w:rsid w:val="003849B1"/>
    <w:rsid w:val="003B1FC1"/>
    <w:rsid w:val="003D684D"/>
    <w:rsid w:val="003D768E"/>
    <w:rsid w:val="003E2C0F"/>
    <w:rsid w:val="0041054A"/>
    <w:rsid w:val="00426A53"/>
    <w:rsid w:val="004930A0"/>
    <w:rsid w:val="004F139E"/>
    <w:rsid w:val="00515F83"/>
    <w:rsid w:val="00526A21"/>
    <w:rsid w:val="00545283"/>
    <w:rsid w:val="00556B49"/>
    <w:rsid w:val="005C62A6"/>
    <w:rsid w:val="005D0C46"/>
    <w:rsid w:val="005F0982"/>
    <w:rsid w:val="005F5FF5"/>
    <w:rsid w:val="00606B68"/>
    <w:rsid w:val="006512B5"/>
    <w:rsid w:val="006B06B8"/>
    <w:rsid w:val="006C65F0"/>
    <w:rsid w:val="006C6C6C"/>
    <w:rsid w:val="0070168D"/>
    <w:rsid w:val="00711BC7"/>
    <w:rsid w:val="007427F6"/>
    <w:rsid w:val="00751FC8"/>
    <w:rsid w:val="00766808"/>
    <w:rsid w:val="007A3C1A"/>
    <w:rsid w:val="007B15BB"/>
    <w:rsid w:val="007B4CE6"/>
    <w:rsid w:val="007B521B"/>
    <w:rsid w:val="007C37B3"/>
    <w:rsid w:val="00804EF5"/>
    <w:rsid w:val="0081417A"/>
    <w:rsid w:val="008154A7"/>
    <w:rsid w:val="00841699"/>
    <w:rsid w:val="00842DD8"/>
    <w:rsid w:val="0085440D"/>
    <w:rsid w:val="00855034"/>
    <w:rsid w:val="008B73EC"/>
    <w:rsid w:val="008C4818"/>
    <w:rsid w:val="008D597D"/>
    <w:rsid w:val="008D7F35"/>
    <w:rsid w:val="008F3C1F"/>
    <w:rsid w:val="00904755"/>
    <w:rsid w:val="00916F80"/>
    <w:rsid w:val="00932B5C"/>
    <w:rsid w:val="00947B43"/>
    <w:rsid w:val="00950C3B"/>
    <w:rsid w:val="009A2847"/>
    <w:rsid w:val="009F02E9"/>
    <w:rsid w:val="00A262E6"/>
    <w:rsid w:val="00A41D87"/>
    <w:rsid w:val="00A512AD"/>
    <w:rsid w:val="00A61637"/>
    <w:rsid w:val="00A95D53"/>
    <w:rsid w:val="00B0112E"/>
    <w:rsid w:val="00B417BE"/>
    <w:rsid w:val="00B52518"/>
    <w:rsid w:val="00B71FA0"/>
    <w:rsid w:val="00B95984"/>
    <w:rsid w:val="00BA1CEF"/>
    <w:rsid w:val="00BB14D1"/>
    <w:rsid w:val="00BC15E6"/>
    <w:rsid w:val="00BE18D2"/>
    <w:rsid w:val="00BF71BC"/>
    <w:rsid w:val="00C220C3"/>
    <w:rsid w:val="00C3101E"/>
    <w:rsid w:val="00C41F2B"/>
    <w:rsid w:val="00C47C1D"/>
    <w:rsid w:val="00C535E6"/>
    <w:rsid w:val="00C754BE"/>
    <w:rsid w:val="00C94595"/>
    <w:rsid w:val="00C95AA1"/>
    <w:rsid w:val="00CA3F0B"/>
    <w:rsid w:val="00CB36FF"/>
    <w:rsid w:val="00CC6DEA"/>
    <w:rsid w:val="00CF245E"/>
    <w:rsid w:val="00D41C48"/>
    <w:rsid w:val="00D43450"/>
    <w:rsid w:val="00D55C21"/>
    <w:rsid w:val="00D645E7"/>
    <w:rsid w:val="00DD3794"/>
    <w:rsid w:val="00DE084D"/>
    <w:rsid w:val="00DE2B58"/>
    <w:rsid w:val="00E362F4"/>
    <w:rsid w:val="00E53727"/>
    <w:rsid w:val="00E5765C"/>
    <w:rsid w:val="00E7667E"/>
    <w:rsid w:val="00EA2A88"/>
    <w:rsid w:val="00F322B6"/>
    <w:rsid w:val="00F71B81"/>
    <w:rsid w:val="00F76181"/>
    <w:rsid w:val="00FA259B"/>
    <w:rsid w:val="00FA79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A55"/>
  <w15:docId w15:val="{BC1F2900-B885-4709-8C99-58930A10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7F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BF71BC"/>
    <w:rPr>
      <w:b/>
      <w:bCs/>
    </w:rPr>
  </w:style>
  <w:style w:type="character" w:styleId="Uwydatnienie">
    <w:name w:val="Emphasis"/>
    <w:basedOn w:val="Domylnaczcionkaakapitu"/>
    <w:uiPriority w:val="20"/>
    <w:qFormat/>
    <w:rsid w:val="00BF71BC"/>
    <w:rPr>
      <w:i/>
      <w:iCs/>
    </w:rPr>
  </w:style>
  <w:style w:type="paragraph" w:styleId="Akapitzlist">
    <w:name w:val="List Paragraph"/>
    <w:aliases w:val="Preambuła,normalny tekst,L1,Numerowanie,List Paragraph,CW_Lista"/>
    <w:basedOn w:val="Normalny"/>
    <w:link w:val="AkapitzlistZnak"/>
    <w:uiPriority w:val="99"/>
    <w:qFormat/>
    <w:rsid w:val="00BF71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D68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84D"/>
    <w:rPr>
      <w:rFonts w:ascii="Segoe UI" w:hAnsi="Segoe UI" w:cs="Segoe UI"/>
      <w:sz w:val="18"/>
      <w:szCs w:val="18"/>
    </w:rPr>
  </w:style>
  <w:style w:type="paragraph" w:styleId="Bezodstpw">
    <w:name w:val="No Spacing"/>
    <w:uiPriority w:val="1"/>
    <w:qFormat/>
    <w:rsid w:val="00EA2A88"/>
    <w:pPr>
      <w:spacing w:after="0" w:line="240" w:lineRule="auto"/>
    </w:pPr>
    <w:rPr>
      <w:rFonts w:ascii="Calibri" w:eastAsia="Calibri" w:hAnsi="Calibri" w:cs="Times New Roman"/>
    </w:rPr>
  </w:style>
  <w:style w:type="paragraph" w:customStyle="1" w:styleId="Default">
    <w:name w:val="Default"/>
    <w:rsid w:val="00EA2A8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semiHidden/>
    <w:unhideWhenUsed/>
    <w:rsid w:val="00E766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667E"/>
  </w:style>
  <w:style w:type="paragraph" w:styleId="Stopka">
    <w:name w:val="footer"/>
    <w:basedOn w:val="Normalny"/>
    <w:link w:val="StopkaZnak"/>
    <w:uiPriority w:val="99"/>
    <w:unhideWhenUsed/>
    <w:rsid w:val="00E766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67E"/>
  </w:style>
  <w:style w:type="character" w:customStyle="1" w:styleId="AkapitzlistZnak">
    <w:name w:val="Akapit z listą Znak"/>
    <w:aliases w:val="Preambuła Znak,normalny tekst Znak,L1 Znak,Numerowanie Znak,List Paragraph Znak,CW_Lista Znak"/>
    <w:link w:val="Akapitzlist"/>
    <w:uiPriority w:val="34"/>
    <w:qFormat/>
    <w:rsid w:val="00C535E6"/>
    <w:rPr>
      <w:rFonts w:ascii="Times New Roman" w:eastAsia="Times New Roman" w:hAnsi="Times New Roman" w:cs="Times New Roman"/>
      <w:sz w:val="24"/>
      <w:szCs w:val="24"/>
      <w:lang w:eastAsia="pl-PL"/>
    </w:rPr>
  </w:style>
  <w:style w:type="character" w:styleId="Hipercze">
    <w:name w:val="Hyperlink"/>
    <w:uiPriority w:val="99"/>
    <w:rsid w:val="0071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6581">
      <w:bodyDiv w:val="1"/>
      <w:marLeft w:val="0"/>
      <w:marRight w:val="0"/>
      <w:marTop w:val="0"/>
      <w:marBottom w:val="0"/>
      <w:divBdr>
        <w:top w:val="none" w:sz="0" w:space="0" w:color="auto"/>
        <w:left w:val="none" w:sz="0" w:space="0" w:color="auto"/>
        <w:bottom w:val="none" w:sz="0" w:space="0" w:color="auto"/>
        <w:right w:val="none" w:sz="0" w:space="0" w:color="auto"/>
      </w:divBdr>
    </w:div>
    <w:div w:id="473914226">
      <w:bodyDiv w:val="1"/>
      <w:marLeft w:val="0"/>
      <w:marRight w:val="0"/>
      <w:marTop w:val="0"/>
      <w:marBottom w:val="0"/>
      <w:divBdr>
        <w:top w:val="none" w:sz="0" w:space="0" w:color="auto"/>
        <w:left w:val="none" w:sz="0" w:space="0" w:color="auto"/>
        <w:bottom w:val="none" w:sz="0" w:space="0" w:color="auto"/>
        <w:right w:val="none" w:sz="0" w:space="0" w:color="auto"/>
      </w:divBdr>
    </w:div>
    <w:div w:id="549536403">
      <w:bodyDiv w:val="1"/>
      <w:marLeft w:val="0"/>
      <w:marRight w:val="0"/>
      <w:marTop w:val="0"/>
      <w:marBottom w:val="0"/>
      <w:divBdr>
        <w:top w:val="none" w:sz="0" w:space="0" w:color="auto"/>
        <w:left w:val="none" w:sz="0" w:space="0" w:color="auto"/>
        <w:bottom w:val="none" w:sz="0" w:space="0" w:color="auto"/>
        <w:right w:val="none" w:sz="0" w:space="0" w:color="auto"/>
      </w:divBdr>
    </w:div>
    <w:div w:id="695935033">
      <w:bodyDiv w:val="1"/>
      <w:marLeft w:val="0"/>
      <w:marRight w:val="0"/>
      <w:marTop w:val="0"/>
      <w:marBottom w:val="0"/>
      <w:divBdr>
        <w:top w:val="none" w:sz="0" w:space="0" w:color="auto"/>
        <w:left w:val="none" w:sz="0" w:space="0" w:color="auto"/>
        <w:bottom w:val="none" w:sz="0" w:space="0" w:color="auto"/>
        <w:right w:val="none" w:sz="0" w:space="0" w:color="auto"/>
      </w:divBdr>
    </w:div>
    <w:div w:id="944196311">
      <w:bodyDiv w:val="1"/>
      <w:marLeft w:val="0"/>
      <w:marRight w:val="0"/>
      <w:marTop w:val="0"/>
      <w:marBottom w:val="0"/>
      <w:divBdr>
        <w:top w:val="none" w:sz="0" w:space="0" w:color="auto"/>
        <w:left w:val="none" w:sz="0" w:space="0" w:color="auto"/>
        <w:bottom w:val="none" w:sz="0" w:space="0" w:color="auto"/>
        <w:right w:val="none" w:sz="0" w:space="0" w:color="auto"/>
      </w:divBdr>
    </w:div>
    <w:div w:id="1156646348">
      <w:bodyDiv w:val="1"/>
      <w:marLeft w:val="0"/>
      <w:marRight w:val="0"/>
      <w:marTop w:val="0"/>
      <w:marBottom w:val="0"/>
      <w:divBdr>
        <w:top w:val="none" w:sz="0" w:space="0" w:color="auto"/>
        <w:left w:val="none" w:sz="0" w:space="0" w:color="auto"/>
        <w:bottom w:val="none" w:sz="0" w:space="0" w:color="auto"/>
        <w:right w:val="none" w:sz="0" w:space="0" w:color="auto"/>
      </w:divBdr>
    </w:div>
    <w:div w:id="1675109486">
      <w:bodyDiv w:val="1"/>
      <w:marLeft w:val="0"/>
      <w:marRight w:val="0"/>
      <w:marTop w:val="0"/>
      <w:marBottom w:val="0"/>
      <w:divBdr>
        <w:top w:val="none" w:sz="0" w:space="0" w:color="auto"/>
        <w:left w:val="none" w:sz="0" w:space="0" w:color="auto"/>
        <w:bottom w:val="none" w:sz="0" w:space="0" w:color="auto"/>
        <w:right w:val="none" w:sz="0" w:space="0" w:color="auto"/>
      </w:divBdr>
    </w:div>
    <w:div w:id="19422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4F09-E144-4379-A8AD-018F0439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Drozdowska</dc:creator>
  <cp:lastModifiedBy>Dorota Drozdowska</cp:lastModifiedBy>
  <cp:revision>78</cp:revision>
  <cp:lastPrinted>2021-02-01T12:01:00Z</cp:lastPrinted>
  <dcterms:created xsi:type="dcterms:W3CDTF">2020-01-28T07:52:00Z</dcterms:created>
  <dcterms:modified xsi:type="dcterms:W3CDTF">2021-02-01T12:12:00Z</dcterms:modified>
</cp:coreProperties>
</file>