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D67D" w14:textId="15D78F80" w:rsidR="00785A82" w:rsidRPr="00527668" w:rsidRDefault="00527668" w:rsidP="00527668">
      <w:pPr>
        <w:spacing w:after="0" w:line="240" w:lineRule="auto"/>
        <w:jc w:val="right"/>
        <w:rPr>
          <w:rFonts w:ascii="Open Sans" w:hAnsi="Open Sans" w:cs="Open Sans"/>
          <w:bCs/>
          <w:smallCaps/>
          <w:sz w:val="16"/>
          <w:szCs w:val="16"/>
        </w:rPr>
      </w:pPr>
      <w:r w:rsidRPr="00527668">
        <w:rPr>
          <w:rFonts w:ascii="Open Sans" w:hAnsi="Open Sans" w:cs="Open Sans"/>
          <w:bCs/>
          <w:sz w:val="16"/>
          <w:szCs w:val="16"/>
        </w:rPr>
        <w:t xml:space="preserve">Rozdział II </w:t>
      </w:r>
    </w:p>
    <w:p w14:paraId="012D3F34" w14:textId="77777777" w:rsidR="00527668" w:rsidRDefault="00527668" w:rsidP="00355C5D">
      <w:pPr>
        <w:spacing w:after="0" w:line="240" w:lineRule="auto"/>
        <w:jc w:val="center"/>
        <w:rPr>
          <w:rFonts w:ascii="Open Sans" w:hAnsi="Open Sans" w:cs="Open Sans"/>
          <w:b/>
          <w:smallCaps/>
          <w:szCs w:val="24"/>
        </w:rPr>
      </w:pPr>
    </w:p>
    <w:p w14:paraId="692883B4" w14:textId="00CE30A8" w:rsidR="00355C5D" w:rsidRPr="00527668" w:rsidRDefault="00355C5D" w:rsidP="00355C5D">
      <w:pPr>
        <w:spacing w:after="0" w:line="240" w:lineRule="auto"/>
        <w:jc w:val="center"/>
        <w:rPr>
          <w:rFonts w:ascii="Open Sans" w:hAnsi="Open Sans" w:cs="Open Sans"/>
          <w:bCs/>
          <w:szCs w:val="24"/>
          <w:u w:val="single"/>
        </w:rPr>
      </w:pPr>
      <w:r w:rsidRPr="00527668">
        <w:rPr>
          <w:rFonts w:ascii="Open Sans" w:hAnsi="Open Sans" w:cs="Open Sans"/>
          <w:bCs/>
          <w:smallCaps/>
          <w:szCs w:val="24"/>
          <w:u w:val="single"/>
        </w:rPr>
        <w:t>Szczegółowy Opis Przedmiotu Zamówienia</w:t>
      </w:r>
    </w:p>
    <w:p w14:paraId="76D09DE0" w14:textId="77777777" w:rsidR="004A1067" w:rsidRDefault="004A1067" w:rsidP="004A1067">
      <w:pPr>
        <w:spacing w:after="120" w:line="280" w:lineRule="exact"/>
        <w:rPr>
          <w:rFonts w:ascii="Open Sans" w:hAnsi="Open Sans" w:cs="Open Sans"/>
          <w:sz w:val="20"/>
          <w:szCs w:val="20"/>
        </w:rPr>
      </w:pPr>
    </w:p>
    <w:p w14:paraId="4C19722E" w14:textId="77777777" w:rsidR="00527668" w:rsidRDefault="001F530C" w:rsidP="00527668">
      <w:pPr>
        <w:spacing w:after="120" w:line="280" w:lineRule="exact"/>
        <w:jc w:val="left"/>
        <w:rPr>
          <w:rFonts w:ascii="Open Sans" w:hAnsi="Open Sans" w:cs="Open Sans"/>
          <w:sz w:val="20"/>
          <w:szCs w:val="20"/>
        </w:rPr>
      </w:pPr>
      <w:r w:rsidRPr="00C63977">
        <w:rPr>
          <w:rFonts w:ascii="Open Sans" w:hAnsi="Open Sans" w:cs="Open Sans"/>
          <w:sz w:val="20"/>
          <w:szCs w:val="20"/>
        </w:rPr>
        <w:t xml:space="preserve">Nazwa zamówienia: </w:t>
      </w:r>
    </w:p>
    <w:p w14:paraId="4D129ABA" w14:textId="12EC44F7" w:rsidR="004A1067" w:rsidRPr="00527668" w:rsidRDefault="004A1067" w:rsidP="00527668">
      <w:pPr>
        <w:spacing w:after="120" w:line="280" w:lineRule="exact"/>
        <w:jc w:val="center"/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</w:pPr>
      <w:r w:rsidRP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Zadanie nr 3</w:t>
      </w:r>
      <w:r w:rsid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 - </w:t>
      </w:r>
      <w:r w:rsidRP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 Dostawa </w:t>
      </w:r>
      <w:r w:rsid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fabrycznie nowych </w:t>
      </w:r>
      <w:r w:rsidRP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2 szt</w:t>
      </w:r>
      <w:r w:rsid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uk </w:t>
      </w:r>
      <w:r w:rsidRP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 kontenerów typu KP-</w:t>
      </w:r>
      <w:r w:rsidR="00C22FAE" w:rsidRP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2</w:t>
      </w:r>
      <w:r w:rsidRP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0 </w:t>
      </w:r>
      <w:r w:rsid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br/>
      </w:r>
      <w:r w:rsidRPr="005276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do zbierania odpadów.”</w:t>
      </w:r>
    </w:p>
    <w:p w14:paraId="2506CD5C" w14:textId="5DC6B2D3" w:rsidR="001F530C" w:rsidRDefault="001F530C" w:rsidP="001F530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BEDF17D" w14:textId="77777777" w:rsidR="004A1067" w:rsidRPr="00527668" w:rsidRDefault="004A1067" w:rsidP="00527668">
      <w:pPr>
        <w:spacing w:after="0"/>
        <w:jc w:val="left"/>
        <w:rPr>
          <w:rFonts w:ascii="Open Sans" w:hAnsi="Open Sans" w:cs="Open Sans"/>
          <w:b/>
          <w:bCs/>
          <w:sz w:val="16"/>
          <w:szCs w:val="16"/>
        </w:rPr>
      </w:pPr>
      <w:r w:rsidRPr="00527668">
        <w:rPr>
          <w:rFonts w:ascii="Open Sans" w:hAnsi="Open Sans" w:cs="Open Sans"/>
          <w:sz w:val="16"/>
          <w:szCs w:val="16"/>
        </w:rPr>
        <w:t xml:space="preserve">Nazwa i kod CPV: </w:t>
      </w:r>
      <w:r w:rsidRPr="00527668">
        <w:rPr>
          <w:rFonts w:ascii="Open Sans" w:hAnsi="Open Sans" w:cs="Open Sans"/>
          <w:b/>
          <w:bCs/>
          <w:sz w:val="16"/>
          <w:szCs w:val="16"/>
        </w:rPr>
        <w:t xml:space="preserve"> </w:t>
      </w:r>
    </w:p>
    <w:p w14:paraId="740F5259" w14:textId="2A0D3FF3" w:rsidR="004A1067" w:rsidRPr="00527668" w:rsidRDefault="00785A82" w:rsidP="00527668">
      <w:pPr>
        <w:spacing w:after="0" w:line="240" w:lineRule="auto"/>
        <w:jc w:val="left"/>
        <w:rPr>
          <w:rFonts w:ascii="Open Sans" w:hAnsi="Open Sans" w:cs="Open Sans"/>
          <w:sz w:val="16"/>
          <w:szCs w:val="16"/>
        </w:rPr>
      </w:pPr>
      <w:r w:rsidRPr="00527668">
        <w:rPr>
          <w:rFonts w:ascii="Open Sans" w:eastAsia="Times New Roman" w:hAnsi="Open Sans" w:cs="Open Sans"/>
          <w:sz w:val="16"/>
          <w:szCs w:val="16"/>
          <w:lang w:eastAsia="pl-PL"/>
        </w:rPr>
        <w:t>Pojemniki i kosze na odpady i śmieci</w:t>
      </w:r>
      <w:r w:rsidR="00EC5F40" w:rsidRPr="00527668">
        <w:rPr>
          <w:rFonts w:ascii="Open Sans" w:eastAsia="Times New Roman" w:hAnsi="Open Sans" w:cs="Open Sans"/>
          <w:sz w:val="16"/>
          <w:szCs w:val="16"/>
          <w:lang w:eastAsia="pl-PL"/>
        </w:rPr>
        <w:t xml:space="preserve"> 34928480-6</w:t>
      </w:r>
    </w:p>
    <w:p w14:paraId="78198FC2" w14:textId="77777777" w:rsidR="004A1067" w:rsidRDefault="004A1067" w:rsidP="001F530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34F5284" w14:textId="56CA14D3" w:rsidR="00C22FAE" w:rsidRPr="00C22FAE" w:rsidRDefault="00C22FAE" w:rsidP="00C22FAE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hanging="720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22FAE">
        <w:rPr>
          <w:rFonts w:ascii="Open Sans" w:eastAsia="Times New Roman" w:hAnsi="Open Sans" w:cs="Open Sans"/>
          <w:sz w:val="20"/>
          <w:szCs w:val="20"/>
          <w:lang w:eastAsia="pl-PL"/>
        </w:rPr>
        <w:t>Przedmiot zamówienia.</w:t>
      </w:r>
    </w:p>
    <w:p w14:paraId="064E9AA6" w14:textId="429EB2F7" w:rsidR="00C22FAE" w:rsidRPr="008E0368" w:rsidRDefault="00C22FAE" w:rsidP="00C22FAE">
      <w:pPr>
        <w:pStyle w:val="Akapitzlist"/>
        <w:numPr>
          <w:ilvl w:val="6"/>
          <w:numId w:val="2"/>
        </w:numPr>
        <w:spacing w:after="0" w:line="240" w:lineRule="auto"/>
        <w:ind w:left="284" w:hanging="284"/>
        <w:rPr>
          <w:rFonts w:ascii="Open Sans" w:hAnsi="Open Sans" w:cs="Open Sans"/>
          <w:sz w:val="20"/>
          <w:szCs w:val="20"/>
          <w:u w:val="single"/>
        </w:rPr>
      </w:pPr>
      <w:r w:rsidRPr="00C22FAE">
        <w:rPr>
          <w:rFonts w:ascii="Open Sans" w:eastAsia="Times New Roman" w:hAnsi="Open Sans" w:cs="Open Sans"/>
          <w:sz w:val="20"/>
          <w:szCs w:val="20"/>
          <w:lang w:eastAsia="pl-PL"/>
        </w:rPr>
        <w:t>Przedmiot zamówienia stanowi dostawa</w:t>
      </w:r>
      <w:r w:rsidR="00D261C2" w:rsidRPr="00D261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D261C2" w:rsidRPr="008E0368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fabrycznie nowych</w:t>
      </w:r>
      <w:r w:rsidRPr="008E0368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8E03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 xml:space="preserve">2 szt. kontenerów typu KP-20 </w:t>
      </w:r>
      <w:r w:rsidR="008E03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br/>
      </w:r>
      <w:r w:rsidRPr="008E0368">
        <w:rPr>
          <w:rFonts w:ascii="Open Sans" w:eastAsia="Tahoma" w:hAnsi="Open Sans" w:cs="Open Sans"/>
          <w:color w:val="000000"/>
          <w:sz w:val="20"/>
          <w:szCs w:val="20"/>
          <w:u w:val="single"/>
          <w:lang w:eastAsia="pl-PL"/>
        </w:rPr>
        <w:t>do zbierania odpadów.</w:t>
      </w:r>
    </w:p>
    <w:p w14:paraId="2F733955" w14:textId="77777777" w:rsidR="00C22FAE" w:rsidRPr="00C22FAE" w:rsidRDefault="00C22FAE" w:rsidP="00C22FAE">
      <w:pPr>
        <w:pStyle w:val="Akapitzlist"/>
        <w:numPr>
          <w:ilvl w:val="6"/>
          <w:numId w:val="2"/>
        </w:numPr>
        <w:spacing w:after="0" w:line="240" w:lineRule="auto"/>
        <w:ind w:left="284" w:hanging="284"/>
        <w:rPr>
          <w:rFonts w:ascii="Open Sans" w:hAnsi="Open Sans" w:cs="Open Sans"/>
          <w:b/>
          <w:bCs/>
          <w:sz w:val="20"/>
          <w:szCs w:val="20"/>
        </w:rPr>
      </w:pPr>
      <w:r w:rsidRPr="00C22FAE">
        <w:rPr>
          <w:rFonts w:ascii="Open Sans" w:eastAsia="Times New Roman" w:hAnsi="Open Sans" w:cs="Open Sans"/>
          <w:sz w:val="20"/>
          <w:szCs w:val="20"/>
          <w:lang w:eastAsia="pl-PL"/>
        </w:rPr>
        <w:t xml:space="preserve">Kontenery należy dostarczyć do siedziby Przedsiębiorstwa Gospodarki Komunalnej Sp. z o.o., </w:t>
      </w:r>
      <w:r w:rsidRPr="00C22FAE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ul. Komunalna 5, 75-724 Koszalin w godzinach od 7.00 do 14.00 od poniedziałku do piątku </w:t>
      </w:r>
      <w:r w:rsidRPr="00C22FAE">
        <w:rPr>
          <w:rFonts w:ascii="Open Sans" w:eastAsia="Times New Roman" w:hAnsi="Open Sans" w:cs="Open Sans"/>
          <w:sz w:val="20"/>
          <w:szCs w:val="20"/>
          <w:lang w:eastAsia="pl-PL"/>
        </w:rPr>
        <w:br/>
        <w:t>z wyjątkiem dni ustawowo wolnych od pracy, po uprzednim powiadomieniu Zamawiającego.</w:t>
      </w:r>
    </w:p>
    <w:p w14:paraId="726B3BC1" w14:textId="228D7733" w:rsidR="00C22FAE" w:rsidRPr="00C22FAE" w:rsidRDefault="00C22FAE" w:rsidP="00C22FAE">
      <w:pPr>
        <w:pStyle w:val="Akapitzlist"/>
        <w:numPr>
          <w:ilvl w:val="6"/>
          <w:numId w:val="2"/>
        </w:numPr>
        <w:spacing w:after="0" w:line="240" w:lineRule="auto"/>
        <w:ind w:left="284" w:hanging="284"/>
        <w:rPr>
          <w:rFonts w:ascii="Open Sans" w:hAnsi="Open Sans" w:cs="Open Sans"/>
          <w:b/>
          <w:bCs/>
          <w:sz w:val="20"/>
          <w:szCs w:val="20"/>
        </w:rPr>
      </w:pPr>
      <w:r w:rsidRPr="00C22FAE">
        <w:rPr>
          <w:rFonts w:ascii="Open Sans" w:hAnsi="Open Sans" w:cs="Open Sans"/>
          <w:sz w:val="20"/>
          <w:szCs w:val="20"/>
        </w:rPr>
        <w:t>Konstrukcja wykonana z blachy o grubości od 3 do 5 mm (podłoga 5 mm), wzmacniany kształtownikiem  zimnogiętym, w kolorze</w:t>
      </w:r>
      <w:r w:rsidRPr="00C22FAE">
        <w:rPr>
          <w:rFonts w:ascii="Open Sans" w:hAnsi="Open Sans" w:cs="Open Sans"/>
          <w:color w:val="000000"/>
          <w:sz w:val="20"/>
          <w:szCs w:val="20"/>
        </w:rPr>
        <w:t xml:space="preserve"> niebieskim </w:t>
      </w:r>
      <w:r>
        <w:rPr>
          <w:rFonts w:ascii="Open Sans" w:hAnsi="Open Sans" w:cs="Open Sans"/>
          <w:color w:val="000000"/>
          <w:sz w:val="20"/>
          <w:szCs w:val="20"/>
        </w:rPr>
        <w:t>-</w:t>
      </w:r>
      <w:r w:rsidRPr="00C22FAE">
        <w:rPr>
          <w:rFonts w:ascii="Open Sans" w:hAnsi="Open Sans" w:cs="Open Sans"/>
          <w:color w:val="000000"/>
          <w:sz w:val="20"/>
          <w:szCs w:val="20"/>
        </w:rPr>
        <w:t xml:space="preserve"> RAL 5002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16E05F11" w14:textId="77777777" w:rsidR="00C22FAE" w:rsidRPr="006A2D26" w:rsidRDefault="00C22FAE" w:rsidP="00C22FAE">
      <w:pPr>
        <w:pStyle w:val="Akapitzlist"/>
        <w:numPr>
          <w:ilvl w:val="6"/>
          <w:numId w:val="2"/>
        </w:numPr>
        <w:spacing w:after="0" w:line="240" w:lineRule="auto"/>
        <w:ind w:left="284" w:hanging="284"/>
        <w:rPr>
          <w:rFonts w:ascii="Open Sans" w:hAnsi="Open Sans" w:cs="Open Sans"/>
          <w:b/>
          <w:bCs/>
          <w:sz w:val="20"/>
          <w:szCs w:val="20"/>
        </w:rPr>
      </w:pPr>
      <w:r w:rsidRPr="006A2D26">
        <w:rPr>
          <w:rFonts w:ascii="Open Sans" w:eastAsia="Times New Roman" w:hAnsi="Open Sans" w:cs="Open Sans"/>
          <w:sz w:val="20"/>
          <w:szCs w:val="20"/>
          <w:lang w:eastAsia="pl-PL"/>
        </w:rPr>
        <w:t>Wymiary kontenerów:</w:t>
      </w:r>
    </w:p>
    <w:p w14:paraId="38ABBDB5" w14:textId="65A39756" w:rsidR="00C22FAE" w:rsidRDefault="00C22FAE" w:rsidP="00C22FAE">
      <w:pPr>
        <w:tabs>
          <w:tab w:val="left" w:pos="284"/>
        </w:tabs>
        <w:spacing w:after="0" w:line="240" w:lineRule="auto"/>
        <w:ind w:firstLine="28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4.1. </w:t>
      </w:r>
      <w:r w:rsidRPr="00E42CF2">
        <w:rPr>
          <w:rFonts w:ascii="Open Sans" w:hAnsi="Open Sans" w:cs="Open Sans"/>
          <w:color w:val="000000"/>
          <w:sz w:val="20"/>
          <w:szCs w:val="20"/>
        </w:rPr>
        <w:t xml:space="preserve">długość wewnętrzna - </w:t>
      </w:r>
      <w:r>
        <w:rPr>
          <w:rFonts w:ascii="Open Sans" w:hAnsi="Open Sans" w:cs="Open Sans"/>
          <w:color w:val="000000"/>
          <w:sz w:val="20"/>
          <w:szCs w:val="20"/>
        </w:rPr>
        <w:t>65</w:t>
      </w:r>
      <w:r w:rsidRPr="00E42CF2">
        <w:rPr>
          <w:rFonts w:ascii="Open Sans" w:hAnsi="Open Sans" w:cs="Open Sans"/>
          <w:color w:val="000000"/>
          <w:sz w:val="20"/>
          <w:szCs w:val="20"/>
        </w:rPr>
        <w:t>00 mm,</w:t>
      </w:r>
    </w:p>
    <w:p w14:paraId="2F999AE0" w14:textId="77777777" w:rsidR="00C22FAE" w:rsidRDefault="00C22FAE" w:rsidP="00C22FAE">
      <w:pPr>
        <w:tabs>
          <w:tab w:val="left" w:pos="284"/>
        </w:tabs>
        <w:spacing w:after="0" w:line="240" w:lineRule="auto"/>
        <w:ind w:firstLine="28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4.2. </w:t>
      </w:r>
      <w:r w:rsidRPr="00E371EF">
        <w:rPr>
          <w:rFonts w:ascii="Open Sans" w:hAnsi="Open Sans" w:cs="Open Sans"/>
          <w:color w:val="000000"/>
          <w:sz w:val="20"/>
          <w:szCs w:val="20"/>
        </w:rPr>
        <w:t>szerokość wewnętrzna - 2350 mm,</w:t>
      </w:r>
    </w:p>
    <w:p w14:paraId="32D76036" w14:textId="3F20F7EA" w:rsidR="00C22FAE" w:rsidRDefault="00C22FAE" w:rsidP="00C22FAE">
      <w:pPr>
        <w:tabs>
          <w:tab w:val="left" w:pos="284"/>
        </w:tabs>
        <w:spacing w:after="0" w:line="240" w:lineRule="auto"/>
        <w:ind w:firstLine="284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4.3. </w:t>
      </w:r>
      <w:r w:rsidRPr="00E371EF">
        <w:rPr>
          <w:rFonts w:ascii="Open Sans" w:hAnsi="Open Sans" w:cs="Open Sans"/>
          <w:color w:val="000000"/>
          <w:sz w:val="20"/>
          <w:szCs w:val="20"/>
        </w:rPr>
        <w:t xml:space="preserve">wysokość wewnętrzna – </w:t>
      </w:r>
      <w:r>
        <w:rPr>
          <w:rFonts w:ascii="Open Sans" w:hAnsi="Open Sans" w:cs="Open Sans"/>
          <w:color w:val="000000"/>
          <w:sz w:val="20"/>
          <w:szCs w:val="20"/>
        </w:rPr>
        <w:t>1550</w:t>
      </w:r>
      <w:r w:rsidRPr="00E371EF">
        <w:rPr>
          <w:rFonts w:ascii="Open Sans" w:hAnsi="Open Sans" w:cs="Open Sans"/>
          <w:color w:val="000000"/>
          <w:sz w:val="20"/>
          <w:szCs w:val="20"/>
        </w:rPr>
        <w:t xml:space="preserve"> mm (do krawędzi górnej kontenera, bez dachu),</w:t>
      </w:r>
    </w:p>
    <w:p w14:paraId="0B92D37C" w14:textId="47158369" w:rsidR="00C22FAE" w:rsidRDefault="00C22FAE" w:rsidP="006A2D26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ind w:hanging="436"/>
        <w:rPr>
          <w:rFonts w:ascii="Open Sans" w:hAnsi="Open Sans" w:cs="Open Sans"/>
          <w:color w:val="000000"/>
          <w:sz w:val="20"/>
          <w:szCs w:val="20"/>
        </w:rPr>
      </w:pPr>
      <w:r w:rsidRPr="006A2D26">
        <w:rPr>
          <w:rFonts w:ascii="Open Sans" w:hAnsi="Open Sans" w:cs="Open Sans"/>
          <w:color w:val="000000"/>
          <w:sz w:val="20"/>
          <w:szCs w:val="20"/>
        </w:rPr>
        <w:t xml:space="preserve">rozstaw podłużnic wewnętrzny - 900 mm, </w:t>
      </w:r>
    </w:p>
    <w:p w14:paraId="1AC7E3B0" w14:textId="77777777" w:rsidR="00C22FAE" w:rsidRDefault="00C22FAE" w:rsidP="006A2D26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ind w:hanging="436"/>
        <w:rPr>
          <w:rFonts w:ascii="Open Sans" w:hAnsi="Open Sans" w:cs="Open Sans"/>
          <w:color w:val="000000"/>
          <w:sz w:val="20"/>
          <w:szCs w:val="20"/>
        </w:rPr>
      </w:pPr>
      <w:r w:rsidRPr="006A2D26">
        <w:rPr>
          <w:rFonts w:ascii="Open Sans" w:hAnsi="Open Sans" w:cs="Open Sans"/>
          <w:color w:val="000000"/>
          <w:sz w:val="20"/>
          <w:szCs w:val="20"/>
        </w:rPr>
        <w:t>szerokość podłużnicy - 90 mm,</w:t>
      </w:r>
    </w:p>
    <w:p w14:paraId="367D4FB9" w14:textId="006BA59F" w:rsidR="00C22FAE" w:rsidRPr="006A2D26" w:rsidRDefault="00C22FAE" w:rsidP="006A2D26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ind w:hanging="436"/>
        <w:rPr>
          <w:rFonts w:ascii="Open Sans" w:hAnsi="Open Sans" w:cs="Open Sans"/>
          <w:color w:val="000000"/>
          <w:sz w:val="20"/>
          <w:szCs w:val="20"/>
        </w:rPr>
      </w:pPr>
      <w:r w:rsidRPr="006A2D26">
        <w:rPr>
          <w:rFonts w:ascii="Open Sans" w:hAnsi="Open Sans" w:cs="Open Sans"/>
          <w:color w:val="000000"/>
          <w:sz w:val="20"/>
          <w:szCs w:val="20"/>
        </w:rPr>
        <w:t>wysokość podłużnicy (podłoże – podłoga kontenera): 180 – 190 mm.</w:t>
      </w:r>
    </w:p>
    <w:p w14:paraId="07C5DEB0" w14:textId="14CA1397" w:rsidR="00C22FAE" w:rsidRPr="00C22FAE" w:rsidRDefault="00C22FAE" w:rsidP="00C22FA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C22FAE">
        <w:rPr>
          <w:rFonts w:ascii="Open Sans" w:hAnsi="Open Sans" w:cs="Open Sans"/>
          <w:color w:val="000000"/>
          <w:sz w:val="20"/>
          <w:szCs w:val="20"/>
        </w:rPr>
        <w:t xml:space="preserve">Na rogach podłogi od dołu z przodu i na tyle zamocowane metalowe koła do przetaczania kontenera:   </w:t>
      </w:r>
    </w:p>
    <w:p w14:paraId="4CFCAF5F" w14:textId="77777777" w:rsidR="00C22FAE" w:rsidRDefault="00C22FAE" w:rsidP="00C22FA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426" w:hanging="142"/>
        <w:rPr>
          <w:rFonts w:ascii="Open Sans" w:hAnsi="Open Sans" w:cs="Open Sans"/>
          <w:color w:val="000000"/>
          <w:sz w:val="20"/>
          <w:szCs w:val="20"/>
        </w:rPr>
      </w:pPr>
      <w:r w:rsidRPr="00E371EF">
        <w:rPr>
          <w:rFonts w:ascii="Open Sans" w:hAnsi="Open Sans" w:cs="Open Sans"/>
          <w:color w:val="000000"/>
          <w:sz w:val="20"/>
          <w:szCs w:val="20"/>
        </w:rPr>
        <w:t>średnica zewnętrzna koła - 160 mm,</w:t>
      </w:r>
    </w:p>
    <w:p w14:paraId="14E0BA83" w14:textId="77777777" w:rsidR="00C22FAE" w:rsidRDefault="00C22FAE" w:rsidP="00C22FA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426" w:hanging="142"/>
        <w:rPr>
          <w:rFonts w:ascii="Open Sans" w:hAnsi="Open Sans" w:cs="Open Sans"/>
          <w:color w:val="000000"/>
          <w:sz w:val="20"/>
          <w:szCs w:val="20"/>
        </w:rPr>
      </w:pPr>
      <w:r w:rsidRPr="00E371EF">
        <w:rPr>
          <w:rFonts w:ascii="Open Sans" w:hAnsi="Open Sans" w:cs="Open Sans"/>
          <w:color w:val="000000"/>
          <w:sz w:val="20"/>
          <w:szCs w:val="20"/>
        </w:rPr>
        <w:t xml:space="preserve">szerokość koła - 300 mm,  </w:t>
      </w:r>
    </w:p>
    <w:p w14:paraId="0C5FF5C1" w14:textId="77777777" w:rsidR="00C22FAE" w:rsidRPr="00E371EF" w:rsidRDefault="00C22FAE" w:rsidP="00C22FA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426" w:hanging="142"/>
        <w:rPr>
          <w:rFonts w:ascii="Open Sans" w:hAnsi="Open Sans" w:cs="Open Sans"/>
          <w:color w:val="000000"/>
          <w:sz w:val="20"/>
          <w:szCs w:val="20"/>
        </w:rPr>
      </w:pPr>
      <w:r w:rsidRPr="00E371EF">
        <w:rPr>
          <w:rFonts w:ascii="Open Sans" w:hAnsi="Open Sans" w:cs="Open Sans"/>
          <w:color w:val="000000"/>
          <w:sz w:val="20"/>
          <w:szCs w:val="20"/>
        </w:rPr>
        <w:t>wysokość koła wraz z jego mocowaniem (podłoże</w:t>
      </w:r>
      <w:r>
        <w:rPr>
          <w:rFonts w:ascii="Open Sans" w:hAnsi="Open Sans" w:cs="Open Sans"/>
          <w:color w:val="000000"/>
          <w:sz w:val="20"/>
          <w:szCs w:val="20"/>
        </w:rPr>
        <w:t>m</w:t>
      </w:r>
      <w:r w:rsidRPr="00E371EF">
        <w:rPr>
          <w:rFonts w:ascii="Open Sans" w:hAnsi="Open Sans" w:cs="Open Sans"/>
          <w:color w:val="000000"/>
          <w:sz w:val="20"/>
          <w:szCs w:val="20"/>
        </w:rPr>
        <w:t xml:space="preserve"> - podłog</w:t>
      </w:r>
      <w:r>
        <w:rPr>
          <w:rFonts w:ascii="Open Sans" w:hAnsi="Open Sans" w:cs="Open Sans"/>
          <w:color w:val="000000"/>
          <w:sz w:val="20"/>
          <w:szCs w:val="20"/>
        </w:rPr>
        <w:t>ą</w:t>
      </w:r>
      <w:r w:rsidRPr="00E371EF">
        <w:rPr>
          <w:rFonts w:ascii="Open Sans" w:hAnsi="Open Sans" w:cs="Open Sans"/>
          <w:color w:val="000000"/>
          <w:sz w:val="20"/>
          <w:szCs w:val="20"/>
        </w:rPr>
        <w:t xml:space="preserve">): 220 – 230 mm.  </w:t>
      </w:r>
    </w:p>
    <w:p w14:paraId="3C2A305C" w14:textId="70DC430E" w:rsidR="00C22FAE" w:rsidRDefault="00C22FAE" w:rsidP="00C22FAE">
      <w:pPr>
        <w:tabs>
          <w:tab w:val="left" w:pos="284"/>
        </w:tabs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6. </w:t>
      </w:r>
      <w:r w:rsidRPr="006A2D26">
        <w:rPr>
          <w:rFonts w:ascii="Open Sans" w:eastAsia="Times New Roman" w:hAnsi="Open Sans" w:cs="Open Sans"/>
          <w:sz w:val="20"/>
          <w:szCs w:val="20"/>
          <w:lang w:eastAsia="pl-PL"/>
        </w:rPr>
        <w:t xml:space="preserve">Kontenery </w:t>
      </w:r>
      <w:r w:rsidRPr="006A2D26">
        <w:rPr>
          <w:rFonts w:ascii="Open Sans" w:hAnsi="Open Sans" w:cs="Open Sans"/>
          <w:color w:val="000000"/>
          <w:sz w:val="20"/>
          <w:szCs w:val="20"/>
        </w:rPr>
        <w:t>przystosowane</w:t>
      </w:r>
      <w:r w:rsidRPr="00E371EF">
        <w:rPr>
          <w:rFonts w:ascii="Open Sans" w:hAnsi="Open Sans" w:cs="Open Sans"/>
          <w:color w:val="000000"/>
          <w:sz w:val="20"/>
          <w:szCs w:val="20"/>
        </w:rPr>
        <w:t xml:space="preserve"> do opróżniania przez samochód typu hakowiec z hakowym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A2D26">
        <w:rPr>
          <w:rFonts w:ascii="Open Sans" w:hAnsi="Open Sans" w:cs="Open Sans"/>
          <w:color w:val="000000"/>
          <w:sz w:val="20"/>
          <w:szCs w:val="20"/>
        </w:rPr>
        <w:br/>
        <w:t xml:space="preserve">      </w:t>
      </w:r>
      <w:r w:rsidRPr="00E371EF">
        <w:rPr>
          <w:rFonts w:ascii="Open Sans" w:hAnsi="Open Sans" w:cs="Open Sans"/>
          <w:color w:val="000000"/>
          <w:sz w:val="20"/>
          <w:szCs w:val="20"/>
        </w:rPr>
        <w:t>systemem załadowczym wg normy DIN 30722,</w:t>
      </w:r>
    </w:p>
    <w:p w14:paraId="398E192F" w14:textId="05DF0DBA" w:rsidR="00C22FAE" w:rsidRDefault="00C22FAE" w:rsidP="00C22FAE">
      <w:pPr>
        <w:tabs>
          <w:tab w:val="left" w:pos="284"/>
        </w:tabs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7. </w:t>
      </w:r>
      <w:r>
        <w:rPr>
          <w:rFonts w:ascii="Open Sans" w:hAnsi="Open Sans" w:cs="Open Sans"/>
          <w:b/>
          <w:bCs/>
          <w:sz w:val="20"/>
          <w:szCs w:val="20"/>
        </w:rPr>
        <w:t>Kontenery bez dachu, zabezpieczone (zakrywane) u góry zwijaną roletą.</w:t>
      </w:r>
    </w:p>
    <w:p w14:paraId="1B68E443" w14:textId="609F0CC6" w:rsidR="00C22FAE" w:rsidRPr="00C22FAE" w:rsidRDefault="00C22FAE" w:rsidP="006A2D26">
      <w:pPr>
        <w:tabs>
          <w:tab w:val="left" w:pos="284"/>
        </w:tabs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8. D</w:t>
      </w:r>
      <w:r w:rsidRPr="00E371EF">
        <w:rPr>
          <w:rFonts w:ascii="Open Sans" w:hAnsi="Open Sans" w:cs="Open Sans"/>
          <w:sz w:val="20"/>
          <w:szCs w:val="20"/>
        </w:rPr>
        <w:t xml:space="preserve">rzwi </w:t>
      </w:r>
      <w:r w:rsidRPr="00C22FAE">
        <w:rPr>
          <w:rFonts w:ascii="Open Sans" w:eastAsia="Times New Roman" w:hAnsi="Open Sans" w:cs="Open Sans"/>
          <w:sz w:val="20"/>
          <w:szCs w:val="20"/>
          <w:lang w:eastAsia="pl-PL"/>
        </w:rPr>
        <w:t>jednoskrzydłowe uchylne z zawiasami u góry kontenera, zamykane na kotwy boczne (śruby z motylkami),</w:t>
      </w:r>
    </w:p>
    <w:p w14:paraId="0046A377" w14:textId="79AF15FE" w:rsidR="00C22FAE" w:rsidRPr="00C22FAE" w:rsidRDefault="00C22FAE" w:rsidP="006E2FBF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  <w:tab w:val="left" w:pos="709"/>
        </w:tabs>
        <w:spacing w:after="0" w:line="240" w:lineRule="auto"/>
        <w:ind w:left="993" w:hanging="938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22FAE">
        <w:rPr>
          <w:rFonts w:ascii="Open Sans" w:eastAsia="Times New Roman" w:hAnsi="Open Sans" w:cs="Open Sans"/>
          <w:sz w:val="20"/>
          <w:szCs w:val="20"/>
          <w:lang w:eastAsia="pl-PL"/>
        </w:rPr>
        <w:t>Termin realizacji przedmiotu zamówienia.</w:t>
      </w:r>
    </w:p>
    <w:p w14:paraId="30F9ACD3" w14:textId="384D68C3" w:rsidR="00C22FAE" w:rsidRPr="00C63977" w:rsidRDefault="00C22FAE" w:rsidP="00C22FAE">
      <w:pPr>
        <w:spacing w:after="0" w:line="240" w:lineRule="auto"/>
        <w:rPr>
          <w:rFonts w:ascii="Open Sans" w:eastAsia="Arial Unicode MS" w:hAnsi="Open Sans" w:cs="Open Sans"/>
          <w:sz w:val="20"/>
          <w:szCs w:val="20"/>
          <w:lang w:eastAsia="pl-PL"/>
        </w:rPr>
      </w:pP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Wykonawca zobowiązany jest do dostarczenia </w:t>
      </w:r>
      <w:r w:rsidR="008E0368">
        <w:rPr>
          <w:rFonts w:ascii="Open Sans" w:eastAsia="Arial Unicode MS" w:hAnsi="Open Sans" w:cs="Open Sans"/>
          <w:sz w:val="20"/>
          <w:szCs w:val="20"/>
          <w:lang w:eastAsia="pl-PL"/>
        </w:rPr>
        <w:t xml:space="preserve">kontenerów </w:t>
      </w: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: w terminie 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>do 60 dni</w:t>
      </w: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 xml:space="preserve"> </w:t>
      </w:r>
      <w:r w:rsidR="008E0368">
        <w:rPr>
          <w:rFonts w:ascii="Open Sans" w:eastAsia="Arial Unicode MS" w:hAnsi="Open Sans" w:cs="Open Sans"/>
          <w:sz w:val="20"/>
          <w:szCs w:val="20"/>
          <w:lang w:eastAsia="pl-PL"/>
        </w:rPr>
        <w:br/>
      </w:r>
      <w:r w:rsidRPr="00C63977">
        <w:rPr>
          <w:rFonts w:ascii="Open Sans" w:eastAsia="Arial Unicode MS" w:hAnsi="Open Sans" w:cs="Open Sans"/>
          <w:sz w:val="20"/>
          <w:szCs w:val="20"/>
          <w:lang w:eastAsia="pl-PL"/>
        </w:rPr>
        <w:t>od dnia zawarcia umowy.</w:t>
      </w:r>
    </w:p>
    <w:p w14:paraId="302F84ED" w14:textId="3C4CB01F" w:rsidR="00C22FAE" w:rsidRPr="00AC2950" w:rsidRDefault="00C22FAE" w:rsidP="006E2FBF">
      <w:pPr>
        <w:pStyle w:val="Akapitzlist"/>
        <w:numPr>
          <w:ilvl w:val="0"/>
          <w:numId w:val="1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 w:rsidRPr="00AC2950">
        <w:rPr>
          <w:rFonts w:ascii="Open Sans" w:eastAsiaTheme="minorHAnsi" w:hAnsi="Open Sans" w:cs="Open Sans"/>
          <w:color w:val="000000"/>
          <w:sz w:val="20"/>
          <w:szCs w:val="20"/>
        </w:rPr>
        <w:t>Podstawy wykluczenia.</w:t>
      </w:r>
    </w:p>
    <w:p w14:paraId="2A0B5649" w14:textId="77777777" w:rsidR="00C22FAE" w:rsidRDefault="00C22FAE" w:rsidP="006E2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O udzielenie zamówieni</w:t>
      </w:r>
      <w:r>
        <w:rPr>
          <w:rFonts w:ascii="Helv" w:eastAsiaTheme="minorHAnsi" w:hAnsi="Helv" w:cs="Helv"/>
          <w:color w:val="000000"/>
          <w:sz w:val="20"/>
          <w:szCs w:val="20"/>
        </w:rPr>
        <w:t>a mogą ubiegać się wykonawcy, kt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órzy:</w:t>
      </w:r>
    </w:p>
    <w:p w14:paraId="0FF9EE5D" w14:textId="77777777" w:rsidR="00C22FAE" w:rsidRDefault="00C22FAE" w:rsidP="006E2F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1.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ab/>
        <w:t>Nie podlega</w:t>
      </w:r>
      <w:r>
        <w:rPr>
          <w:rFonts w:ascii="Helv" w:eastAsiaTheme="minorHAnsi" w:hAnsi="Helv" w:cs="Helv"/>
          <w:color w:val="000000"/>
          <w:sz w:val="20"/>
          <w:szCs w:val="20"/>
        </w:rPr>
        <w:t>ją w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ykluczeniu na podstawie art. 108 ust.1 ustawy PZP;</w:t>
      </w:r>
    </w:p>
    <w:p w14:paraId="023A0FF9" w14:textId="77777777" w:rsidR="00C22FAE" w:rsidRDefault="00C22FAE" w:rsidP="006E2F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</w:rPr>
        <w:t>2.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ab/>
        <w:t>Zama</w:t>
      </w:r>
      <w:r>
        <w:rPr>
          <w:rFonts w:ascii="Helv" w:eastAsiaTheme="minorHAnsi" w:hAnsi="Helv" w:cs="Helv"/>
          <w:color w:val="000000"/>
          <w:sz w:val="20"/>
          <w:szCs w:val="20"/>
        </w:rPr>
        <w:t>wiający przewid</w:t>
      </w:r>
      <w:r>
        <w:rPr>
          <w:rFonts w:ascii="Open Sans" w:eastAsiaTheme="minorHAnsi" w:hAnsi="Open Sans" w:cs="Open Sans"/>
          <w:color w:val="000000"/>
          <w:sz w:val="20"/>
          <w:szCs w:val="20"/>
        </w:rPr>
        <w:t>uje wykluczenie na podstawie art. 109 ust.1 pkt 4 ustawy PZP.</w:t>
      </w:r>
    </w:p>
    <w:p w14:paraId="0883810D" w14:textId="77777777" w:rsidR="00C22FAE" w:rsidRDefault="00C22FAE" w:rsidP="00C22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eft"/>
        <w:rPr>
          <w:rFonts w:ascii="Open Sans" w:eastAsiaTheme="minorHAnsi" w:hAnsi="Open Sans" w:cs="Open Sans"/>
          <w:color w:val="000000"/>
          <w:sz w:val="20"/>
          <w:szCs w:val="20"/>
        </w:rPr>
      </w:pPr>
    </w:p>
    <w:p w14:paraId="37FA8F0A" w14:textId="77777777" w:rsidR="00C22FAE" w:rsidRPr="00E533A3" w:rsidRDefault="00C22FAE" w:rsidP="006E2FBF">
      <w:pPr>
        <w:pStyle w:val="Akapitzlist"/>
        <w:numPr>
          <w:ilvl w:val="0"/>
          <w:numId w:val="1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left="426" w:hanging="425"/>
        <w:jc w:val="left"/>
        <w:rPr>
          <w:rFonts w:ascii="Segoe UI" w:eastAsiaTheme="minorHAnsi" w:hAnsi="Segoe UI" w:cs="Segoe UI"/>
          <w:color w:val="000000"/>
          <w:sz w:val="20"/>
          <w:szCs w:val="20"/>
        </w:rPr>
      </w:pPr>
      <w:r w:rsidRPr="00E533A3">
        <w:rPr>
          <w:rFonts w:ascii="Segoe UI" w:eastAsiaTheme="minorHAnsi" w:hAnsi="Segoe UI" w:cs="Segoe UI"/>
          <w:color w:val="000000"/>
          <w:sz w:val="20"/>
          <w:szCs w:val="20"/>
        </w:rPr>
        <w:t>Warunki udziału w postępowaniu.</w:t>
      </w:r>
    </w:p>
    <w:p w14:paraId="224E4FC3" w14:textId="77777777" w:rsidR="00C22FAE" w:rsidRDefault="00C22FAE" w:rsidP="00C22F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 xml:space="preserve">w postępowaniu określone w  art. 112 ust. 2 pkt. 4  ustawy PZP, dotyczące zdolności technicznej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lub zawodowej:</w:t>
      </w:r>
    </w:p>
    <w:p w14:paraId="3156ADEE" w14:textId="2D4A871B" w:rsidR="00C22FAE" w:rsidRDefault="00C22FAE" w:rsidP="00C22F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Wykonawca spełni warunek, jeżeli wykaże, że w okresie ostatnich 3 lat, licząc wstecz od dnia, w którym upływa termin składania ofert, a jeżeli okres prowadzenia działalności jest krótszy – w tym okresie wykonał </w:t>
      </w:r>
      <w:r>
        <w:rPr>
          <w:rFonts w:ascii="Segoe UI" w:eastAsiaTheme="minorHAnsi" w:hAnsi="Segoe UI" w:cs="Segoe UI"/>
          <w:color w:val="000000"/>
          <w:sz w:val="20"/>
          <w:szCs w:val="20"/>
        </w:rPr>
        <w:lastRenderedPageBreak/>
        <w:t xml:space="preserve">lub wykonuje co najmniej 1 dostawę o wartości co najmniej </w:t>
      </w:r>
      <w:r w:rsidR="006E2FBF">
        <w:rPr>
          <w:rFonts w:ascii="Segoe UI" w:eastAsiaTheme="minorHAnsi" w:hAnsi="Segoe UI" w:cs="Segoe UI"/>
          <w:color w:val="000000"/>
          <w:sz w:val="20"/>
          <w:szCs w:val="20"/>
        </w:rPr>
        <w:t xml:space="preserve">50 000,00 </w:t>
      </w: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złotych brutto, polegającą na dostawie </w:t>
      </w:r>
      <w:r w:rsidR="006E2FBF" w:rsidRPr="006E2FBF">
        <w:rPr>
          <w:rFonts w:ascii="Open Sans" w:eastAsia="Tahoma" w:hAnsi="Open Sans" w:cs="Open Sans"/>
          <w:color w:val="000000"/>
          <w:sz w:val="20"/>
          <w:szCs w:val="20"/>
          <w:lang w:eastAsia="pl-PL"/>
        </w:rPr>
        <w:t>kontenerów typu KP-20 do zbierania odpadów.</w:t>
      </w:r>
    </w:p>
    <w:p w14:paraId="655B3EE1" w14:textId="77777777" w:rsidR="00C22FAE" w:rsidRPr="00E533A3" w:rsidRDefault="00C22FAE" w:rsidP="006E2FBF">
      <w:pPr>
        <w:pStyle w:val="Akapitzlist"/>
        <w:numPr>
          <w:ilvl w:val="0"/>
          <w:numId w:val="1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r w:rsidRPr="00E533A3">
        <w:rPr>
          <w:rFonts w:ascii="Segoe UI" w:eastAsiaTheme="minorHAnsi" w:hAnsi="Segoe UI" w:cs="Segoe UI"/>
          <w:color w:val="000000"/>
          <w:sz w:val="20"/>
          <w:szCs w:val="20"/>
        </w:rPr>
        <w:t>Podmiotowe środki dowodowe.</w:t>
      </w:r>
    </w:p>
    <w:p w14:paraId="78881926" w14:textId="2372744C" w:rsidR="00C22FAE" w:rsidRDefault="00C22FAE" w:rsidP="00C22FAE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Zamawiający przed wyborem najkorzystniejszej oferty wezwie Wykonawcę, którego oferta została najwyżej oceniona, do złożenia w wyznaczonym terminie, nie krótszym niż </w:t>
      </w:r>
      <w:r w:rsidR="00F22CBA">
        <w:rPr>
          <w:rFonts w:ascii="Segoe UI" w:eastAsiaTheme="minorHAnsi" w:hAnsi="Segoe UI" w:cs="Segoe UI"/>
          <w:color w:val="000000"/>
          <w:sz w:val="20"/>
          <w:szCs w:val="20"/>
          <w:highlight w:val="yellow"/>
        </w:rPr>
        <w:t>5</w:t>
      </w:r>
      <w:r w:rsidRPr="00FE7266">
        <w:rPr>
          <w:rFonts w:ascii="Segoe UI" w:eastAsiaTheme="minorHAnsi" w:hAnsi="Segoe UI" w:cs="Segoe UI"/>
          <w:color w:val="000000"/>
          <w:sz w:val="20"/>
          <w:szCs w:val="20"/>
          <w:highlight w:val="yellow"/>
        </w:rPr>
        <w:t xml:space="preserve"> dni</w:t>
      </w: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, aktualnych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na dzień złożenia podmiotowych środków dowodowych potwierdzających spełnianie przez Wykonawcę warunków udziału w postępowaniu dotyczących zdolności technicznej lub zawodowej tj.:</w:t>
      </w:r>
    </w:p>
    <w:p w14:paraId="1839B7B9" w14:textId="046BC4CE" w:rsidR="00C22FAE" w:rsidRDefault="00C22FAE" w:rsidP="006E2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- wykazu dostaw wykonanych, a w przypadku świadczeń powtarzających się lub ciągłych również wykonywanych, w okresie ostatnich 3 lat, a jeżeli okres prowadzenia działalności jest krótszy </w:t>
      </w:r>
      <w:r>
        <w:rPr>
          <w:rFonts w:ascii="Segoe UI" w:eastAsiaTheme="minorHAnsi" w:hAnsi="Segoe UI" w:cs="Segoe UI"/>
          <w:color w:val="000000"/>
          <w:sz w:val="20"/>
          <w:szCs w:val="20"/>
        </w:rPr>
        <w:br/>
        <w:t>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</w:t>
      </w:r>
      <w:r w:rsidR="006E2FBF"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Theme="minorHAnsi" w:hAnsi="Segoe UI" w:cs="Segoe UI"/>
          <w:color w:val="000000"/>
          <w:sz w:val="20"/>
          <w:szCs w:val="20"/>
        </w:rPr>
        <w:t>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794A03DA" w14:textId="77777777" w:rsidR="00C22FAE" w:rsidRDefault="00C22FAE" w:rsidP="00C22F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Open Sans" w:eastAsiaTheme="minorHAnsi" w:hAnsi="Open Sans" w:cs="Open Sans"/>
          <w:color w:val="000000"/>
          <w:sz w:val="20"/>
          <w:szCs w:val="20"/>
        </w:rPr>
      </w:pPr>
    </w:p>
    <w:p w14:paraId="2782C59F" w14:textId="77777777" w:rsidR="00C22FAE" w:rsidRPr="00C63977" w:rsidRDefault="00C22FAE" w:rsidP="006E2FBF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left="567" w:hanging="425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63977">
        <w:rPr>
          <w:rFonts w:ascii="Open Sans" w:eastAsia="Times New Roman" w:hAnsi="Open Sans" w:cs="Open Sans"/>
          <w:sz w:val="20"/>
          <w:szCs w:val="20"/>
          <w:lang w:eastAsia="pl-PL"/>
        </w:rPr>
        <w:t>Dokumenty.</w:t>
      </w:r>
    </w:p>
    <w:p w14:paraId="72F805FF" w14:textId="3569C065" w:rsidR="00C22FAE" w:rsidRPr="004A1067" w:rsidRDefault="00C22FAE" w:rsidP="006E2FBF">
      <w:pPr>
        <w:pStyle w:val="Akapitzlist"/>
        <w:widowControl w:val="0"/>
        <w:numPr>
          <w:ilvl w:val="1"/>
          <w:numId w:val="12"/>
        </w:numPr>
        <w:tabs>
          <w:tab w:val="left" w:pos="284"/>
          <w:tab w:val="left" w:pos="709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Open Sans" w:hAnsi="Open Sans" w:cs="Open Sans"/>
          <w:sz w:val="20"/>
          <w:szCs w:val="20"/>
          <w:lang w:eastAsia="ar-SA"/>
        </w:rPr>
      </w:pPr>
      <w:r w:rsidRPr="004A1067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Oryginał lub kserokopia dokumentu potwierdzającego zgodność wykonania pojemników </w:t>
      </w:r>
      <w:r w:rsidR="006E2FBF">
        <w:rPr>
          <w:rFonts w:ascii="Open Sans" w:eastAsia="Times New Roman" w:hAnsi="Open Sans" w:cs="Open Sans"/>
          <w:bCs/>
          <w:color w:val="000000"/>
          <w:sz w:val="20"/>
          <w:szCs w:val="20"/>
        </w:rPr>
        <w:br/>
      </w:r>
      <w:r w:rsidRPr="004A1067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z normą </w:t>
      </w:r>
      <w:r w:rsidRPr="004A1067">
        <w:rPr>
          <w:rFonts w:ascii="Open Sans" w:eastAsia="Times New Roman" w:hAnsi="Open Sans" w:cs="Open Sans"/>
          <w:bCs/>
          <w:color w:val="000000"/>
          <w:sz w:val="20"/>
          <w:szCs w:val="20"/>
          <w:lang w:eastAsia="pl-PL"/>
        </w:rPr>
        <w:t xml:space="preserve">DIN 30722. </w:t>
      </w:r>
    </w:p>
    <w:p w14:paraId="300B0418" w14:textId="77777777" w:rsidR="00C22FAE" w:rsidRPr="00C63977" w:rsidRDefault="00C22FAE" w:rsidP="00C22FAE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Open Sans" w:hAnsi="Open Sans" w:cs="Open Sans"/>
          <w:sz w:val="20"/>
          <w:szCs w:val="20"/>
          <w:lang w:eastAsia="ar-SA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C22FAE" w:rsidRPr="00901678" w14:paraId="35F2A10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8DB52" w14:textId="77777777" w:rsidR="00C22FAE" w:rsidRPr="00901678" w:rsidRDefault="00C22FAE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</w:tbl>
    <w:p w14:paraId="0FBF75FB" w14:textId="6985203A" w:rsidR="00C22FAE" w:rsidRPr="006A2D26" w:rsidRDefault="00C22FAE" w:rsidP="00C22FAE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left="709" w:hanging="567"/>
        <w:jc w:val="left"/>
        <w:rPr>
          <w:rStyle w:val="Pogrubienie"/>
          <w:rFonts w:ascii="Open Sans" w:eastAsia="Times New Roman" w:hAnsi="Open Sans" w:cs="Open Sans"/>
          <w:b w:val="0"/>
          <w:bCs w:val="0"/>
          <w:sz w:val="20"/>
          <w:szCs w:val="20"/>
          <w:lang w:eastAsia="pl-PL"/>
        </w:rPr>
      </w:pPr>
      <w:r w:rsidRPr="00C63977">
        <w:rPr>
          <w:rFonts w:ascii="Open Sans" w:hAnsi="Open Sans" w:cs="Open Sans"/>
          <w:bCs/>
          <w:sz w:val="20"/>
          <w:szCs w:val="20"/>
        </w:rPr>
        <w:t>Kryteria i ocena kryteriów.</w:t>
      </w:r>
    </w:p>
    <w:p w14:paraId="3F1DE118" w14:textId="77777777" w:rsidR="00C22FAE" w:rsidRPr="006E2FBF" w:rsidRDefault="00C22FAE" w:rsidP="006A2D26">
      <w:pPr>
        <w:pStyle w:val="Akapitzlist"/>
        <w:numPr>
          <w:ilvl w:val="0"/>
          <w:numId w:val="1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E2FBF">
        <w:rPr>
          <w:rFonts w:ascii="Open Sans" w:hAnsi="Open Sans" w:cs="Open Sans"/>
          <w:sz w:val="20"/>
          <w:szCs w:val="20"/>
        </w:rPr>
        <w:t>Kryterium „Cena całego zamówienia” – waga 100 punktów.</w:t>
      </w:r>
    </w:p>
    <w:p w14:paraId="7851376C" w14:textId="77777777" w:rsidR="00C22FAE" w:rsidRDefault="00C22FAE" w:rsidP="006A2D26">
      <w:pPr>
        <w:pStyle w:val="Akapitzlist"/>
        <w:numPr>
          <w:ilvl w:val="0"/>
          <w:numId w:val="1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E2FBF">
        <w:rPr>
          <w:rFonts w:ascii="Open Sans" w:hAnsi="Open Sans" w:cs="Open Sans"/>
          <w:sz w:val="20"/>
          <w:szCs w:val="20"/>
        </w:rPr>
        <w:t>Kryterium „Cena</w:t>
      </w:r>
      <w:r w:rsidRPr="00EC5F4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EC5F40">
        <w:rPr>
          <w:rFonts w:ascii="Open Sans" w:hAnsi="Open Sans" w:cs="Open Sans"/>
          <w:sz w:val="20"/>
          <w:szCs w:val="20"/>
        </w:rPr>
        <w:t xml:space="preserve">całego zamówienia” będzie rozpatrywane na podstawie ceny brutto za wykonanie   przedmiotu zamówienia, podanej przez Wykonawcę w „Formularzu ofertowym”. </w:t>
      </w:r>
    </w:p>
    <w:p w14:paraId="5EC8250A" w14:textId="77777777" w:rsidR="00C22FAE" w:rsidRPr="00EC5F40" w:rsidRDefault="00C22FAE" w:rsidP="006A2D26">
      <w:pPr>
        <w:pStyle w:val="Akapitzlist"/>
        <w:numPr>
          <w:ilvl w:val="0"/>
          <w:numId w:val="1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C5F40">
        <w:rPr>
          <w:rFonts w:ascii="Open Sans" w:hAnsi="Open Sans" w:cs="Open Sans"/>
          <w:sz w:val="20"/>
          <w:szCs w:val="20"/>
        </w:rPr>
        <w:t>Kryterium „Cena całego zamówienia” zostanie obliczona zgodnie ze wzorem:</w:t>
      </w:r>
    </w:p>
    <w:p w14:paraId="3F41E5BF" w14:textId="77777777" w:rsidR="00C22FAE" w:rsidRPr="00C8163A" w:rsidRDefault="00C22FAE" w:rsidP="00C22FAE">
      <w:pPr>
        <w:tabs>
          <w:tab w:val="left" w:pos="993"/>
        </w:tabs>
        <w:spacing w:after="0" w:line="240" w:lineRule="auto"/>
        <w:ind w:left="993"/>
        <w:contextualSpacing/>
        <w:rPr>
          <w:rFonts w:ascii="Open Sans" w:eastAsia="Cambria" w:hAnsi="Open Sans" w:cs="Open Sans"/>
          <w:sz w:val="20"/>
          <w:szCs w:val="20"/>
        </w:rPr>
      </w:pPr>
    </w:p>
    <w:p w14:paraId="5E17A68E" w14:textId="77777777" w:rsidR="00C22FAE" w:rsidRPr="00C8163A" w:rsidRDefault="00C22FAE" w:rsidP="00C22FAE">
      <w:pPr>
        <w:autoSpaceDE w:val="0"/>
        <w:autoSpaceDN w:val="0"/>
        <w:adjustRightInd w:val="0"/>
        <w:spacing w:after="0" w:line="240" w:lineRule="auto"/>
        <w:ind w:left="1276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8163A">
        <w:rPr>
          <w:rFonts w:ascii="Open Sans" w:eastAsia="Times New Roman" w:hAnsi="Open Sans" w:cs="Open Sans"/>
          <w:sz w:val="20"/>
          <w:szCs w:val="20"/>
          <w:lang w:eastAsia="pl-PL"/>
        </w:rPr>
        <w:t>Najniższa cena brutto z ocenianych ofert</w:t>
      </w:r>
    </w:p>
    <w:p w14:paraId="4C5D6B14" w14:textId="77777777" w:rsidR="00C22FAE" w:rsidRPr="00C8163A" w:rsidRDefault="00C22FAE" w:rsidP="00C22FAE">
      <w:pPr>
        <w:autoSpaceDE w:val="0"/>
        <w:autoSpaceDN w:val="0"/>
        <w:adjustRightInd w:val="0"/>
        <w:spacing w:after="0" w:line="240" w:lineRule="auto"/>
        <w:ind w:left="1276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8163A">
        <w:rPr>
          <w:rFonts w:ascii="Open Sans" w:eastAsia="Times New Roman" w:hAnsi="Open Sans" w:cs="Open Sans"/>
          <w:sz w:val="20"/>
          <w:szCs w:val="20"/>
          <w:lang w:eastAsia="pl-PL"/>
        </w:rPr>
        <w:t>------------------------------------------------------------- x 100 = ilość uzyskanych punktów.</w:t>
      </w:r>
    </w:p>
    <w:p w14:paraId="36E1C1C5" w14:textId="77777777" w:rsidR="00C22FAE" w:rsidRPr="00C8163A" w:rsidRDefault="00C22FAE" w:rsidP="00C22FAE">
      <w:pPr>
        <w:autoSpaceDE w:val="0"/>
        <w:autoSpaceDN w:val="0"/>
        <w:adjustRightInd w:val="0"/>
        <w:spacing w:after="0" w:line="240" w:lineRule="auto"/>
        <w:ind w:left="1276" w:hanging="28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8163A">
        <w:rPr>
          <w:rFonts w:ascii="Open Sans" w:eastAsia="Times New Roman" w:hAnsi="Open Sans" w:cs="Open Sans"/>
          <w:sz w:val="20"/>
          <w:szCs w:val="20"/>
          <w:lang w:eastAsia="pl-PL"/>
        </w:rPr>
        <w:t>Cena brutto badanej oferty</w:t>
      </w:r>
    </w:p>
    <w:p w14:paraId="069A64F9" w14:textId="77777777" w:rsidR="00C22FAE" w:rsidRPr="00C8163A" w:rsidRDefault="00C22FAE" w:rsidP="00C22FAE">
      <w:pPr>
        <w:tabs>
          <w:tab w:val="left" w:pos="851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C205648" w14:textId="77777777" w:rsidR="00C22FAE" w:rsidRDefault="00C22FAE" w:rsidP="006A2D26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Open Sans" w:eastAsia="Cambria" w:hAnsi="Open Sans" w:cs="Open Sans"/>
          <w:sz w:val="20"/>
        </w:rPr>
      </w:pPr>
      <w:r w:rsidRPr="00EC5F40">
        <w:rPr>
          <w:rFonts w:ascii="Open Sans" w:eastAsia="Cambria" w:hAnsi="Open Sans" w:cs="Open Sans"/>
          <w:sz w:val="20"/>
        </w:rPr>
        <w:t>Punkty będą liczone z dokładnością do dwóch miejsc po przecinku, stosując powszechne zasady zaokrąglania.</w:t>
      </w:r>
    </w:p>
    <w:p w14:paraId="2F9B0058" w14:textId="77777777" w:rsidR="00C22FAE" w:rsidRPr="00EC5F40" w:rsidRDefault="00C22FAE" w:rsidP="006A2D26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Open Sans" w:eastAsia="Cambria" w:hAnsi="Open Sans" w:cs="Open Sans"/>
          <w:sz w:val="20"/>
        </w:rPr>
      </w:pPr>
      <w:r w:rsidRPr="00EC5F4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Zamawiający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 udzieli zamówienia </w:t>
      </w:r>
      <w:r w:rsidRPr="00EC5F40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Wykonawcy, 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którego oferta odpowiada wszystkim wymogom zawartym w szczegółowym opisie przedmiotu zamówienia i zostanie oceniona jako najkorzystniejsza – w oparciu o podane kryterium wyboru, uzyskując najwyższą liczbę punktów. </w:t>
      </w:r>
    </w:p>
    <w:p w14:paraId="6868F0EE" w14:textId="77777777" w:rsidR="00C22FAE" w:rsidRPr="00EC5F40" w:rsidRDefault="00C22FAE" w:rsidP="006A2D26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W toku badania i oceny ofert </w:t>
      </w:r>
      <w:r w:rsidRPr="00EC5F40">
        <w:rPr>
          <w:rFonts w:ascii="Open Sans" w:eastAsia="Times New Roman" w:hAnsi="Open Sans" w:cs="Open Sans"/>
          <w:iCs/>
          <w:sz w:val="20"/>
          <w:szCs w:val="20"/>
          <w:lang w:eastAsia="pl-PL"/>
        </w:rPr>
        <w:t>Zamawiający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 może żądać od Wykonawcy wyjaśnień dotyczących treści </w:t>
      </w:r>
      <w:r w:rsidRPr="00EC5F4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złożonych ofert. </w:t>
      </w:r>
    </w:p>
    <w:p w14:paraId="1CEFC6CF" w14:textId="77777777" w:rsidR="00C22FAE" w:rsidRPr="00EC5F40" w:rsidRDefault="00C22FAE" w:rsidP="006A2D26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Zamawiający nie będzie mógł wybrać najkorzystniejszej oferty ze względu 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na to, że złożone zostały oferty, które uzyskały taką samą liczbę punktów, Zamawiający wezwie </w:t>
      </w:r>
      <w:r w:rsidRPr="00EC5F40">
        <w:rPr>
          <w:rFonts w:ascii="Open Sans" w:eastAsia="Times New Roman" w:hAnsi="Open Sans" w:cs="Open Sans"/>
          <w:iCs/>
          <w:sz w:val="20"/>
          <w:szCs w:val="20"/>
          <w:lang w:eastAsia="pl-PL"/>
        </w:rPr>
        <w:t>Wykonawców</w:t>
      </w:r>
      <w:r w:rsidRPr="00EC5F40">
        <w:rPr>
          <w:rFonts w:ascii="Open Sans" w:eastAsia="Times New Roman" w:hAnsi="Open Sans" w:cs="Open Sans"/>
          <w:sz w:val="20"/>
          <w:szCs w:val="20"/>
          <w:lang w:eastAsia="pl-PL"/>
        </w:rPr>
        <w:t>, których oferty uzyskały tę samą liczbę punktów, do złożenia – w terminie określonym przez Zamawiającego – ofert dodatkowych. Kwota w ofercie dodatkowej nie może przewyższać kwoty w pierwotnie złożonej ofercie.</w:t>
      </w:r>
    </w:p>
    <w:p w14:paraId="7546A77E" w14:textId="77777777" w:rsidR="00C22FAE" w:rsidRDefault="00C22FAE" w:rsidP="00C22FAE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32947EBE" w14:textId="77777777" w:rsidR="00C22FAE" w:rsidRDefault="00C22FAE" w:rsidP="00C22FAE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46E82FD9" w14:textId="77777777" w:rsidR="00C22FAE" w:rsidRDefault="00C22FAE" w:rsidP="00C22FAE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548074F8" w14:textId="7CE3E64C" w:rsidR="00C22FAE" w:rsidRDefault="00C22FAE" w:rsidP="00C22FAE">
      <w:pPr>
        <w:spacing w:after="0" w:line="240" w:lineRule="auto"/>
        <w:rPr>
          <w:rFonts w:ascii="Open Sans" w:hAnsi="Open Sans" w:cs="Open Sans"/>
          <w:b/>
          <w:color w:val="000000"/>
          <w:szCs w:val="24"/>
          <w:u w:val="single"/>
        </w:rPr>
      </w:pPr>
    </w:p>
    <w:p w14:paraId="5F141F77" w14:textId="77777777" w:rsidR="00C22FAE" w:rsidRDefault="00C22FAE" w:rsidP="00C22FAE">
      <w:pPr>
        <w:spacing w:after="0" w:line="240" w:lineRule="auto"/>
        <w:rPr>
          <w:rFonts w:ascii="Open Sans" w:hAnsi="Open Sans" w:cs="Open Sans"/>
          <w:b/>
          <w:color w:val="000000"/>
          <w:sz w:val="32"/>
          <w:szCs w:val="32"/>
          <w:u w:val="single"/>
        </w:rPr>
      </w:pPr>
    </w:p>
    <w:p w14:paraId="31544478" w14:textId="77777777" w:rsidR="00C63977" w:rsidRPr="00CF6761" w:rsidRDefault="00C63977" w:rsidP="001F530C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Segoe UI" w:hAnsi="Segoe UI" w:cs="Segoe UI"/>
          <w:b/>
        </w:rPr>
      </w:pPr>
    </w:p>
    <w:sectPr w:rsidR="00C63977" w:rsidRPr="00CF6761" w:rsidSect="007F4548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B0F"/>
    <w:multiLevelType w:val="hybridMultilevel"/>
    <w:tmpl w:val="BE00979C"/>
    <w:lvl w:ilvl="0" w:tplc="75B04202">
      <w:start w:val="2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B418B260">
      <w:start w:val="1"/>
      <w:numFmt w:val="decimal"/>
      <w:lvlText w:val="%2."/>
      <w:lvlJc w:val="left"/>
      <w:pPr>
        <w:ind w:left="1505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D63AC5"/>
    <w:multiLevelType w:val="hybridMultilevel"/>
    <w:tmpl w:val="EFBEEDDE"/>
    <w:lvl w:ilvl="0" w:tplc="6408E5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2EE5AE6">
      <w:start w:val="1"/>
      <w:numFmt w:val="decimal"/>
      <w:lvlText w:val="%2."/>
      <w:lvlJc w:val="left"/>
      <w:pPr>
        <w:ind w:left="1440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3A7"/>
    <w:multiLevelType w:val="hybridMultilevel"/>
    <w:tmpl w:val="EED89604"/>
    <w:lvl w:ilvl="0" w:tplc="18DE4DDC">
      <w:start w:val="1"/>
      <w:numFmt w:val="upperRoman"/>
      <w:lvlText w:val="%1."/>
      <w:lvlJc w:val="left"/>
      <w:pPr>
        <w:ind w:left="425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741CD25E">
      <w:start w:val="1"/>
      <w:numFmt w:val="lowerLetter"/>
      <w:lvlText w:val="%4."/>
      <w:lvlJc w:val="left"/>
      <w:pPr>
        <w:ind w:left="4015" w:hanging="360"/>
      </w:pPr>
      <w:rPr>
        <w:rFonts w:ascii="Open Sans" w:eastAsia="Times New Roman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801AD024">
      <w:start w:val="1"/>
      <w:numFmt w:val="decimal"/>
      <w:lvlText w:val="%7."/>
      <w:lvlJc w:val="left"/>
      <w:pPr>
        <w:ind w:left="617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26AD696C"/>
    <w:multiLevelType w:val="multilevel"/>
    <w:tmpl w:val="41FCA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ascii="Open Sans" w:eastAsia="Calibri" w:hAnsi="Open Sans" w:cs="Open Sans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/>
      </w:rPr>
    </w:lvl>
  </w:abstractNum>
  <w:abstractNum w:abstractNumId="4" w15:restartNumberingAfterBreak="0">
    <w:nsid w:val="369772DD"/>
    <w:multiLevelType w:val="multilevel"/>
    <w:tmpl w:val="BDBA1A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/>
      </w:rPr>
    </w:lvl>
  </w:abstractNum>
  <w:abstractNum w:abstractNumId="5" w15:restartNumberingAfterBreak="0">
    <w:nsid w:val="38ED274C"/>
    <w:multiLevelType w:val="hybridMultilevel"/>
    <w:tmpl w:val="BCC6AA88"/>
    <w:lvl w:ilvl="0" w:tplc="B928B65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6B4B"/>
    <w:multiLevelType w:val="multilevel"/>
    <w:tmpl w:val="CD024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173FFE"/>
    <w:multiLevelType w:val="multilevel"/>
    <w:tmpl w:val="41FCA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ascii="Open Sans" w:eastAsia="Calibri" w:hAnsi="Open Sans" w:cs="Open Sans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/>
      </w:rPr>
    </w:lvl>
  </w:abstractNum>
  <w:abstractNum w:abstractNumId="8" w15:restartNumberingAfterBreak="0">
    <w:nsid w:val="53EE1FB3"/>
    <w:multiLevelType w:val="multilevel"/>
    <w:tmpl w:val="CD024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553279"/>
    <w:multiLevelType w:val="multilevel"/>
    <w:tmpl w:val="C9869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AC5734"/>
    <w:multiLevelType w:val="hybridMultilevel"/>
    <w:tmpl w:val="0556F72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59B"/>
    <w:multiLevelType w:val="hybridMultilevel"/>
    <w:tmpl w:val="100AD516"/>
    <w:lvl w:ilvl="0" w:tplc="007E24C6">
      <w:start w:val="9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54716"/>
    <w:multiLevelType w:val="multilevel"/>
    <w:tmpl w:val="C9869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770F0C"/>
    <w:multiLevelType w:val="multilevel"/>
    <w:tmpl w:val="E6061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5350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635766">
    <w:abstractNumId w:val="2"/>
  </w:num>
  <w:num w:numId="3" w16cid:durableId="754396485">
    <w:abstractNumId w:val="7"/>
  </w:num>
  <w:num w:numId="4" w16cid:durableId="838886700">
    <w:abstractNumId w:val="6"/>
  </w:num>
  <w:num w:numId="5" w16cid:durableId="770706592">
    <w:abstractNumId w:val="5"/>
  </w:num>
  <w:num w:numId="6" w16cid:durableId="2080446515">
    <w:abstractNumId w:val="11"/>
  </w:num>
  <w:num w:numId="7" w16cid:durableId="109907799">
    <w:abstractNumId w:val="0"/>
  </w:num>
  <w:num w:numId="8" w16cid:durableId="1594046766">
    <w:abstractNumId w:val="4"/>
  </w:num>
  <w:num w:numId="9" w16cid:durableId="1006786403">
    <w:abstractNumId w:val="8"/>
  </w:num>
  <w:num w:numId="10" w16cid:durableId="2099785330">
    <w:abstractNumId w:val="9"/>
  </w:num>
  <w:num w:numId="11" w16cid:durableId="54935525">
    <w:abstractNumId w:val="10"/>
  </w:num>
  <w:num w:numId="12" w16cid:durableId="1565094934">
    <w:abstractNumId w:val="1"/>
  </w:num>
  <w:num w:numId="13" w16cid:durableId="1221329535">
    <w:abstractNumId w:val="12"/>
  </w:num>
  <w:num w:numId="14" w16cid:durableId="799762610">
    <w:abstractNumId w:val="3"/>
  </w:num>
  <w:num w:numId="15" w16cid:durableId="205311491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61"/>
    <w:rsid w:val="00012EA5"/>
    <w:rsid w:val="0003383E"/>
    <w:rsid w:val="00044655"/>
    <w:rsid w:val="00060421"/>
    <w:rsid w:val="00061899"/>
    <w:rsid w:val="00070B73"/>
    <w:rsid w:val="000908DD"/>
    <w:rsid w:val="000A0893"/>
    <w:rsid w:val="000A32E9"/>
    <w:rsid w:val="000C59E9"/>
    <w:rsid w:val="000E3675"/>
    <w:rsid w:val="000E74AD"/>
    <w:rsid w:val="000F04D2"/>
    <w:rsid w:val="00100DAB"/>
    <w:rsid w:val="00104607"/>
    <w:rsid w:val="001146A2"/>
    <w:rsid w:val="00122D64"/>
    <w:rsid w:val="0012798C"/>
    <w:rsid w:val="001770CE"/>
    <w:rsid w:val="001A2D00"/>
    <w:rsid w:val="001A4D34"/>
    <w:rsid w:val="001D4E98"/>
    <w:rsid w:val="001D7648"/>
    <w:rsid w:val="001E51A8"/>
    <w:rsid w:val="001F530C"/>
    <w:rsid w:val="00212B32"/>
    <w:rsid w:val="00221009"/>
    <w:rsid w:val="00231CB9"/>
    <w:rsid w:val="00234E10"/>
    <w:rsid w:val="0023729A"/>
    <w:rsid w:val="00272DA4"/>
    <w:rsid w:val="002861E1"/>
    <w:rsid w:val="002879FF"/>
    <w:rsid w:val="002A4039"/>
    <w:rsid w:val="002D4092"/>
    <w:rsid w:val="002E2D4D"/>
    <w:rsid w:val="002E490A"/>
    <w:rsid w:val="002F0B76"/>
    <w:rsid w:val="002F0FFB"/>
    <w:rsid w:val="002F2EC5"/>
    <w:rsid w:val="00337D43"/>
    <w:rsid w:val="00355C5D"/>
    <w:rsid w:val="00380FC5"/>
    <w:rsid w:val="0038444D"/>
    <w:rsid w:val="003872B0"/>
    <w:rsid w:val="00397F6E"/>
    <w:rsid w:val="003B4C11"/>
    <w:rsid w:val="003B611E"/>
    <w:rsid w:val="003C337D"/>
    <w:rsid w:val="003D7A96"/>
    <w:rsid w:val="004043E4"/>
    <w:rsid w:val="00404D2C"/>
    <w:rsid w:val="00417FAC"/>
    <w:rsid w:val="00420143"/>
    <w:rsid w:val="00436E38"/>
    <w:rsid w:val="004655A5"/>
    <w:rsid w:val="00475E80"/>
    <w:rsid w:val="004818AA"/>
    <w:rsid w:val="00497CCA"/>
    <w:rsid w:val="004A05E6"/>
    <w:rsid w:val="004A1067"/>
    <w:rsid w:val="004A66F2"/>
    <w:rsid w:val="004B2B36"/>
    <w:rsid w:val="004C2851"/>
    <w:rsid w:val="004F4AB8"/>
    <w:rsid w:val="00505880"/>
    <w:rsid w:val="00513BAA"/>
    <w:rsid w:val="00514A4B"/>
    <w:rsid w:val="005225AD"/>
    <w:rsid w:val="0052692D"/>
    <w:rsid w:val="00527668"/>
    <w:rsid w:val="005444C0"/>
    <w:rsid w:val="005552D0"/>
    <w:rsid w:val="00574B05"/>
    <w:rsid w:val="005A6761"/>
    <w:rsid w:val="005B050C"/>
    <w:rsid w:val="005B0695"/>
    <w:rsid w:val="005D13FE"/>
    <w:rsid w:val="005D5095"/>
    <w:rsid w:val="005D77AB"/>
    <w:rsid w:val="005E4A11"/>
    <w:rsid w:val="00611F84"/>
    <w:rsid w:val="0062417B"/>
    <w:rsid w:val="0066403E"/>
    <w:rsid w:val="00664C42"/>
    <w:rsid w:val="00671A0D"/>
    <w:rsid w:val="00687A17"/>
    <w:rsid w:val="006A2B4E"/>
    <w:rsid w:val="006A2D26"/>
    <w:rsid w:val="006C2D37"/>
    <w:rsid w:val="006D6A94"/>
    <w:rsid w:val="006D71BC"/>
    <w:rsid w:val="006E2FBF"/>
    <w:rsid w:val="006F2D6E"/>
    <w:rsid w:val="007060BB"/>
    <w:rsid w:val="007156E4"/>
    <w:rsid w:val="00715BCF"/>
    <w:rsid w:val="007205CF"/>
    <w:rsid w:val="0073374E"/>
    <w:rsid w:val="00760CA0"/>
    <w:rsid w:val="00785A82"/>
    <w:rsid w:val="007A112C"/>
    <w:rsid w:val="007A7DA0"/>
    <w:rsid w:val="007B2866"/>
    <w:rsid w:val="007C168E"/>
    <w:rsid w:val="007C2E10"/>
    <w:rsid w:val="007C6E61"/>
    <w:rsid w:val="007E350A"/>
    <w:rsid w:val="007F16F6"/>
    <w:rsid w:val="007F4548"/>
    <w:rsid w:val="007F7883"/>
    <w:rsid w:val="00803B56"/>
    <w:rsid w:val="0080768A"/>
    <w:rsid w:val="00810E20"/>
    <w:rsid w:val="008378A8"/>
    <w:rsid w:val="008474B9"/>
    <w:rsid w:val="00847B62"/>
    <w:rsid w:val="008504C9"/>
    <w:rsid w:val="0087145B"/>
    <w:rsid w:val="008817D4"/>
    <w:rsid w:val="00890AC2"/>
    <w:rsid w:val="008B2B8E"/>
    <w:rsid w:val="008B6669"/>
    <w:rsid w:val="008C4EE4"/>
    <w:rsid w:val="008C545F"/>
    <w:rsid w:val="008E0368"/>
    <w:rsid w:val="008F0E02"/>
    <w:rsid w:val="008F5E04"/>
    <w:rsid w:val="00901678"/>
    <w:rsid w:val="009175B3"/>
    <w:rsid w:val="009255BD"/>
    <w:rsid w:val="00927A18"/>
    <w:rsid w:val="009450A6"/>
    <w:rsid w:val="009472E9"/>
    <w:rsid w:val="0099123A"/>
    <w:rsid w:val="009D3D87"/>
    <w:rsid w:val="009E4EA3"/>
    <w:rsid w:val="00A070B5"/>
    <w:rsid w:val="00A31495"/>
    <w:rsid w:val="00A35204"/>
    <w:rsid w:val="00A422F5"/>
    <w:rsid w:val="00A45DE4"/>
    <w:rsid w:val="00A534F2"/>
    <w:rsid w:val="00A5578F"/>
    <w:rsid w:val="00A564D2"/>
    <w:rsid w:val="00AB3123"/>
    <w:rsid w:val="00AB4008"/>
    <w:rsid w:val="00AC2950"/>
    <w:rsid w:val="00AC4A72"/>
    <w:rsid w:val="00AD1569"/>
    <w:rsid w:val="00AD3B24"/>
    <w:rsid w:val="00AD4F08"/>
    <w:rsid w:val="00B25711"/>
    <w:rsid w:val="00B43537"/>
    <w:rsid w:val="00B51BD6"/>
    <w:rsid w:val="00B7387D"/>
    <w:rsid w:val="00BA5228"/>
    <w:rsid w:val="00BD06A8"/>
    <w:rsid w:val="00BF37A1"/>
    <w:rsid w:val="00C0614E"/>
    <w:rsid w:val="00C22FAE"/>
    <w:rsid w:val="00C63977"/>
    <w:rsid w:val="00C8163A"/>
    <w:rsid w:val="00C94DC1"/>
    <w:rsid w:val="00CA297A"/>
    <w:rsid w:val="00CB3410"/>
    <w:rsid w:val="00CC391D"/>
    <w:rsid w:val="00CD1D3A"/>
    <w:rsid w:val="00CD6E11"/>
    <w:rsid w:val="00CF2710"/>
    <w:rsid w:val="00CF382B"/>
    <w:rsid w:val="00CF43A8"/>
    <w:rsid w:val="00CF6554"/>
    <w:rsid w:val="00CF6761"/>
    <w:rsid w:val="00D0088D"/>
    <w:rsid w:val="00D22159"/>
    <w:rsid w:val="00D261C2"/>
    <w:rsid w:val="00D531FA"/>
    <w:rsid w:val="00D64977"/>
    <w:rsid w:val="00D74540"/>
    <w:rsid w:val="00D776E0"/>
    <w:rsid w:val="00D81BBB"/>
    <w:rsid w:val="00D87D36"/>
    <w:rsid w:val="00D87E3B"/>
    <w:rsid w:val="00DA79B1"/>
    <w:rsid w:val="00DB552E"/>
    <w:rsid w:val="00DB69D4"/>
    <w:rsid w:val="00DD38BD"/>
    <w:rsid w:val="00DD5B24"/>
    <w:rsid w:val="00E03C11"/>
    <w:rsid w:val="00E03EBC"/>
    <w:rsid w:val="00E371EF"/>
    <w:rsid w:val="00E410DF"/>
    <w:rsid w:val="00E42CF2"/>
    <w:rsid w:val="00E533A3"/>
    <w:rsid w:val="00E73C95"/>
    <w:rsid w:val="00E958BD"/>
    <w:rsid w:val="00EC18A3"/>
    <w:rsid w:val="00EC5F40"/>
    <w:rsid w:val="00ED0FF5"/>
    <w:rsid w:val="00ED6D27"/>
    <w:rsid w:val="00EE04F5"/>
    <w:rsid w:val="00EE48E3"/>
    <w:rsid w:val="00EF56B0"/>
    <w:rsid w:val="00EF79D4"/>
    <w:rsid w:val="00F0684D"/>
    <w:rsid w:val="00F22CBA"/>
    <w:rsid w:val="00F34214"/>
    <w:rsid w:val="00F4705C"/>
    <w:rsid w:val="00F64C66"/>
    <w:rsid w:val="00F75E16"/>
    <w:rsid w:val="00F913FE"/>
    <w:rsid w:val="00F96271"/>
    <w:rsid w:val="00FA0CD6"/>
    <w:rsid w:val="00FC3DC6"/>
    <w:rsid w:val="00FD77E4"/>
    <w:rsid w:val="00FE7266"/>
    <w:rsid w:val="00FF0AD5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561D"/>
  <w15:docId w15:val="{5A107462-4AAA-4990-97B4-EDA6B6ED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761"/>
    <w:pPr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761"/>
    <w:pPr>
      <w:spacing w:after="0" w:line="240" w:lineRule="auto"/>
    </w:pPr>
    <w:rPr>
      <w:rFonts w:ascii="Calibri" w:eastAsia="Calibri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676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F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761"/>
    <w:rPr>
      <w:rFonts w:ascii="Calibri" w:eastAsia="Calibri" w:hAnsi="Calibri" w:cs="Times New Roman"/>
      <w:sz w:val="24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2F2EC5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3872B0"/>
    <w:rPr>
      <w:rFonts w:ascii="Calibri" w:eastAsia="Calibri" w:hAnsi="Calibri" w:cs="Times New Roman"/>
      <w:sz w:val="24"/>
    </w:rPr>
  </w:style>
  <w:style w:type="paragraph" w:styleId="Tytu">
    <w:name w:val="Title"/>
    <w:basedOn w:val="Normalny"/>
    <w:link w:val="TytuZnak"/>
    <w:qFormat/>
    <w:rsid w:val="001E51A8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51A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Pogrubienie">
    <w:name w:val="Strong"/>
    <w:qFormat/>
    <w:rsid w:val="001E51A8"/>
    <w:rPr>
      <w:b/>
      <w:bCs/>
    </w:rPr>
  </w:style>
  <w:style w:type="paragraph" w:styleId="Tekstpodstawowywcity">
    <w:name w:val="Body Text Indent"/>
    <w:basedOn w:val="Normalny"/>
    <w:link w:val="TekstpodstawowywcityZnak"/>
    <w:rsid w:val="00C63977"/>
    <w:pPr>
      <w:spacing w:after="120" w:line="276" w:lineRule="auto"/>
      <w:ind w:left="283"/>
      <w:jc w:val="left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977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C639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6</cp:revision>
  <cp:lastPrinted>2023-05-05T07:18:00Z</cp:lastPrinted>
  <dcterms:created xsi:type="dcterms:W3CDTF">2023-05-23T04:29:00Z</dcterms:created>
  <dcterms:modified xsi:type="dcterms:W3CDTF">2023-05-23T04:48:00Z</dcterms:modified>
</cp:coreProperties>
</file>