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E" w:rsidRDefault="00487126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       </w:t>
      </w:r>
      <w:r w:rsidR="00EF1FFE"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 w:rsidR="00EF1FFE"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Pr="00FF170D" w:rsidRDefault="00FF170D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 w:rsidRPr="00FF170D">
        <w:rPr>
          <w:rFonts w:ascii="Tahoma" w:hAnsi="Tahoma"/>
          <w:i w:val="0"/>
          <w:color w:val="0070C0"/>
          <w:sz w:val="20"/>
        </w:rPr>
        <w:t xml:space="preserve">Zmiana nr 1 z dnia </w:t>
      </w:r>
      <w:r w:rsidR="00A3719B">
        <w:rPr>
          <w:rFonts w:ascii="Tahoma" w:hAnsi="Tahoma"/>
          <w:i w:val="0"/>
          <w:color w:val="0070C0"/>
          <w:sz w:val="20"/>
        </w:rPr>
        <w:t>02-04-2020r.</w:t>
      </w:r>
      <w:r w:rsidRPr="00FF170D">
        <w:rPr>
          <w:rFonts w:ascii="Tahoma" w:hAnsi="Tahoma"/>
          <w:i w:val="0"/>
          <w:color w:val="0070C0"/>
          <w:sz w:val="20"/>
        </w:rPr>
        <w:t xml:space="preserve"> zaznaczono kolorem.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___/20</w:t>
      </w:r>
      <w:r w:rsidR="00B079D6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>-P/</w:t>
      </w:r>
      <w:r w:rsidR="00487126">
        <w:rPr>
          <w:rFonts w:ascii="Tahoma" w:hAnsi="Tahoma"/>
          <w:sz w:val="24"/>
        </w:rPr>
        <w:t>11</w:t>
      </w:r>
      <w:r w:rsidR="00601A4E">
        <w:rPr>
          <w:rFonts w:ascii="Tahoma" w:hAnsi="Tahoma"/>
          <w:sz w:val="24"/>
        </w:rPr>
        <w:t>/20</w:t>
      </w:r>
      <w:r w:rsidR="00B079D6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 xml:space="preserve"> - PROJEKT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</w:t>
      </w:r>
      <w:r w:rsidR="00C31A2B">
        <w:rPr>
          <w:rFonts w:ascii="Tahoma" w:hAnsi="Tahoma"/>
          <w:b w:val="0"/>
          <w:sz w:val="18"/>
        </w:rPr>
        <w:t>9</w:t>
      </w:r>
      <w:r>
        <w:rPr>
          <w:rFonts w:ascii="Tahoma" w:hAnsi="Tahoma"/>
          <w:b w:val="0"/>
          <w:sz w:val="18"/>
        </w:rPr>
        <w:t xml:space="preserve">r. poz. </w:t>
      </w:r>
      <w:r w:rsidR="00C31A2B">
        <w:rPr>
          <w:rFonts w:ascii="Tahoma" w:hAnsi="Tahoma"/>
          <w:b w:val="0"/>
          <w:sz w:val="18"/>
        </w:rPr>
        <w:t>1843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bookmarkEnd w:id="0"/>
      <w:r w:rsidR="00601A4E">
        <w:rPr>
          <w:rFonts w:ascii="Tahoma" w:hAnsi="Tahoma"/>
          <w:b/>
          <w:sz w:val="18"/>
          <w:szCs w:val="18"/>
        </w:rPr>
        <w:t xml:space="preserve">sukcesywna </w:t>
      </w:r>
      <w:r w:rsidR="00B079D6">
        <w:rPr>
          <w:rFonts w:ascii="Tahoma" w:hAnsi="Tahoma"/>
          <w:b/>
          <w:sz w:val="18"/>
          <w:szCs w:val="18"/>
        </w:rPr>
        <w:t>dostawy materiałów opatrunkowych, środków dezynfekcyjnych do Apteki Szpitalnej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</w:t>
      </w:r>
      <w:r w:rsidR="00487126"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 xml:space="preserve">r. </w:t>
      </w:r>
      <w:r w:rsidR="00487126">
        <w:rPr>
          <w:rFonts w:ascii="Tahoma" w:hAnsi="Tahoma"/>
          <w:sz w:val="18"/>
        </w:rPr>
        <w:t>poz. 186</w:t>
      </w:r>
      <w:r>
        <w:rPr>
          <w:rFonts w:ascii="Tahoma" w:hAnsi="Tahoma"/>
          <w:sz w:val="18"/>
        </w:rPr>
        <w:t xml:space="preserve"> </w:t>
      </w:r>
      <w:r w:rsidR="00487126">
        <w:rPr>
          <w:rFonts w:ascii="Tahoma" w:hAnsi="Tahoma"/>
          <w:sz w:val="18"/>
        </w:rPr>
        <w:t>t.j.</w:t>
      </w:r>
      <w:r>
        <w:rPr>
          <w:rFonts w:ascii="Tahoma" w:hAnsi="Tahoma"/>
          <w:sz w:val="18"/>
        </w:rPr>
        <w:t>)</w:t>
      </w:r>
      <w:r w:rsidR="00B01A8B">
        <w:rPr>
          <w:rFonts w:ascii="Tahoma" w:hAnsi="Tahoma"/>
          <w:sz w:val="18"/>
        </w:rPr>
        <w:t xml:space="preserve"> – jeżeli dotyczy.</w:t>
      </w:r>
    </w:p>
    <w:p w:rsidR="00B01A8B" w:rsidRDefault="00B01A8B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 przypadku Pakietu nr </w:t>
      </w:r>
      <w:r w:rsidR="00487126">
        <w:rPr>
          <w:rFonts w:ascii="Tahoma" w:hAnsi="Tahoma"/>
          <w:sz w:val="18"/>
        </w:rPr>
        <w:t>8</w:t>
      </w:r>
      <w:r>
        <w:rPr>
          <w:rFonts w:ascii="Tahoma" w:hAnsi="Tahoma"/>
          <w:sz w:val="18"/>
        </w:rPr>
        <w:t xml:space="preserve"> poz. </w:t>
      </w:r>
      <w:r w:rsidR="00487126">
        <w:rPr>
          <w:rFonts w:ascii="Tahoma" w:hAnsi="Tahoma"/>
          <w:sz w:val="18"/>
        </w:rPr>
        <w:t>2</w:t>
      </w:r>
      <w:r>
        <w:rPr>
          <w:rFonts w:ascii="Tahoma" w:hAnsi="Tahoma"/>
          <w:sz w:val="18"/>
        </w:rPr>
        <w:t xml:space="preserve">, zaoferowany kosmetyk spełnia wymagania </w:t>
      </w:r>
      <w:r>
        <w:rPr>
          <w:rFonts w:ascii="Tahoma" w:hAnsi="Tahoma"/>
          <w:iCs/>
          <w:sz w:val="18"/>
        </w:rPr>
        <w:t>rozporządzenia Parlamentu Europejskiego i Rady (WE) nr 1223/2009 z dnia 30 listopada 2009r.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1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1"/>
      <w:r w:rsidR="008C3AC0">
        <w:rPr>
          <w:rFonts w:ascii="Tahoma" w:hAnsi="Tahoma"/>
          <w:sz w:val="18"/>
        </w:rPr>
        <w:t>.</w:t>
      </w:r>
      <w:r w:rsidR="00275D45">
        <w:rPr>
          <w:rFonts w:ascii="Tahoma" w:hAnsi="Tahoma"/>
          <w:sz w:val="18"/>
        </w:rPr>
        <w:t xml:space="preserve"> </w:t>
      </w:r>
      <w:r w:rsidR="00275D45" w:rsidRPr="00275D45">
        <w:rPr>
          <w:rFonts w:ascii="Tahoma" w:hAnsi="Tahoma"/>
          <w:b/>
          <w:color w:val="0070C0"/>
          <w:sz w:val="18"/>
          <w:szCs w:val="18"/>
        </w:rPr>
        <w:t>Dostawa, przyjęcie towaru każdorazowo musi być potwierdzone podpisem przez personel apteki</w:t>
      </w:r>
      <w:r w:rsidR="00275D45">
        <w:rPr>
          <w:rFonts w:ascii="Tahoma" w:hAnsi="Tahoma"/>
          <w:b/>
          <w:color w:val="0070C0"/>
          <w:sz w:val="18"/>
          <w:szCs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1F4C40">
        <w:rPr>
          <w:rFonts w:ascii="Tahoma" w:hAnsi="Tahoma"/>
          <w:sz w:val="18"/>
        </w:rPr>
        <w:t xml:space="preserve"> 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bookmarkStart w:id="2" w:name="_Hlk29984225"/>
      <w:r w:rsidR="001F4C40">
        <w:rPr>
          <w:rFonts w:ascii="Tahoma" w:hAnsi="Tahoma"/>
          <w:sz w:val="18"/>
        </w:rPr>
        <w:t xml:space="preserve"> </w:t>
      </w:r>
      <w:r w:rsidR="00044E46" w:rsidRPr="00275D45">
        <w:rPr>
          <w:rFonts w:ascii="Tahoma" w:hAnsi="Tahoma"/>
          <w:b/>
          <w:strike/>
          <w:color w:val="0070C0"/>
          <w:sz w:val="18"/>
          <w:szCs w:val="18"/>
        </w:rPr>
        <w:t>Dostawa, przyjęcie towaru każdorazowo musi być potwierdzone podpisem przez personel apteki</w:t>
      </w:r>
      <w:r w:rsidR="00044E46" w:rsidRPr="00275D45">
        <w:rPr>
          <w:rFonts w:ascii="Tahoma" w:hAnsi="Tahoma"/>
          <w:b/>
          <w:color w:val="0070C0"/>
          <w:sz w:val="18"/>
          <w:highlight w:val="white"/>
        </w:rPr>
        <w:t>.</w:t>
      </w:r>
      <w:r w:rsidR="00044E46">
        <w:rPr>
          <w:rFonts w:ascii="Tahoma" w:hAnsi="Tahoma"/>
          <w:sz w:val="18"/>
          <w:highlight w:val="white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</w:t>
      </w:r>
      <w:r w:rsidR="0042048E">
        <w:rPr>
          <w:rFonts w:ascii="Tahoma" w:hAnsi="Tahoma"/>
          <w:sz w:val="18"/>
        </w:rPr>
        <w:lastRenderedPageBreak/>
        <w:t xml:space="preserve">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bookmarkEnd w:id="2"/>
      <w:r w:rsidR="0042048E">
        <w:rPr>
          <w:rFonts w:ascii="Tahoma" w:hAnsi="Tahoma"/>
          <w:sz w:val="18"/>
        </w:rPr>
        <w:t>.</w:t>
      </w:r>
      <w:r w:rsidR="00275D45">
        <w:rPr>
          <w:rFonts w:ascii="Tahoma" w:hAnsi="Tahoma"/>
          <w:sz w:val="18"/>
        </w:rPr>
        <w:t xml:space="preserve"> </w:t>
      </w:r>
      <w:r w:rsidR="003E6E97" w:rsidRPr="003E6E97">
        <w:rPr>
          <w:rFonts w:ascii="Tahoma" w:hAnsi="Tahoma"/>
          <w:b/>
          <w:color w:val="0070C0"/>
          <w:sz w:val="18"/>
        </w:rPr>
        <w:t>Na czas trwania</w:t>
      </w:r>
      <w:r w:rsidR="00275D45" w:rsidRPr="003E6E97">
        <w:rPr>
          <w:rFonts w:ascii="Tahoma" w:hAnsi="Tahoma"/>
          <w:b/>
          <w:color w:val="0070C0"/>
          <w:sz w:val="18"/>
        </w:rPr>
        <w:t xml:space="preserve"> </w:t>
      </w:r>
      <w:r w:rsidR="003E6E97" w:rsidRPr="003E6E97">
        <w:rPr>
          <w:rFonts w:ascii="Tahoma" w:hAnsi="Tahoma"/>
          <w:b/>
          <w:color w:val="0070C0"/>
          <w:sz w:val="18"/>
        </w:rPr>
        <w:t>s</w:t>
      </w:r>
      <w:r w:rsidR="00275D45" w:rsidRPr="003E6E97">
        <w:rPr>
          <w:rFonts w:ascii="Tahoma" w:hAnsi="Tahoma"/>
          <w:b/>
          <w:color w:val="0070C0"/>
          <w:sz w:val="18"/>
        </w:rPr>
        <w:t>tanu epidemii na terenie Rzeczpospolitej Polskiej, Zamawiający odstępuje od wymogu rozładunku towaru wraz ze wstawieniem do wskazanego pomieszczenia Apteki Szpitalnej. Wymagane jest</w:t>
      </w:r>
      <w:r w:rsidR="003E6E97" w:rsidRPr="003E6E97">
        <w:rPr>
          <w:rFonts w:ascii="Tahoma" w:hAnsi="Tahoma"/>
          <w:b/>
          <w:color w:val="0070C0"/>
          <w:sz w:val="18"/>
        </w:rPr>
        <w:t>,</w:t>
      </w:r>
      <w:r w:rsidR="00275D45" w:rsidRPr="003E6E97">
        <w:rPr>
          <w:rFonts w:ascii="Tahoma" w:hAnsi="Tahoma"/>
          <w:b/>
          <w:color w:val="0070C0"/>
          <w:sz w:val="18"/>
        </w:rPr>
        <w:t xml:space="preserve"> dostarczenie towaru bezpośrednio do Apteki Szpitalnej (poziom -1 – pod adresem, jak wskazano w ust. 1). </w:t>
      </w:r>
      <w:r w:rsidR="003E6E97" w:rsidRPr="003E6E97">
        <w:rPr>
          <w:rFonts w:ascii="Tahoma" w:hAnsi="Tahoma"/>
          <w:b/>
          <w:color w:val="0070C0"/>
          <w:sz w:val="18"/>
        </w:rPr>
        <w:t>Na czas trwania epidemii</w:t>
      </w:r>
      <w:r w:rsidR="00275D45" w:rsidRPr="003E6E97">
        <w:rPr>
          <w:rFonts w:ascii="Tahoma" w:hAnsi="Tahoma"/>
          <w:b/>
          <w:color w:val="0070C0"/>
          <w:sz w:val="18"/>
        </w:rPr>
        <w:t>,</w:t>
      </w:r>
      <w:r w:rsidR="003E6E97" w:rsidRPr="003E6E97">
        <w:rPr>
          <w:rFonts w:ascii="Tahoma" w:hAnsi="Tahoma"/>
          <w:b/>
          <w:color w:val="0070C0"/>
          <w:sz w:val="18"/>
        </w:rPr>
        <w:t xml:space="preserve"> w przypadku gdy dostawca nie dostarczy towaru bezpośrednio do Apteki Szpitalnej (pod adresem jak w ust. 1), Zamawiający samodzielnie dostarczy go na koszt Wykonawcy, czego następstwem będzie wystawienie NOTY OBCIĄŻENIOWEJ za wykonanie usługi transportowej w wysokości 10% wartości danego zamówienia netto.</w:t>
      </w:r>
      <w:r w:rsidR="00275D45">
        <w:rPr>
          <w:rFonts w:ascii="Tahoma" w:hAnsi="Tahoma"/>
          <w:sz w:val="18"/>
        </w:rPr>
        <w:t xml:space="preserve">  </w:t>
      </w:r>
    </w:p>
    <w:p w:rsidR="00EF1FFE" w:rsidRDefault="00044E4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nie może przekroczyć </w:t>
      </w:r>
      <w:r w:rsidR="00C333FE">
        <w:rPr>
          <w:rFonts w:ascii="Tahoma" w:hAnsi="Tahoma"/>
          <w:sz w:val="18"/>
        </w:rPr>
        <w:t>3</w:t>
      </w:r>
      <w:r>
        <w:rPr>
          <w:rFonts w:ascii="Tahoma" w:hAnsi="Tahoma"/>
          <w:sz w:val="18"/>
        </w:rPr>
        <w:t xml:space="preserve"> dni roboczych licząc od dnia złożenia zamówienia telefonicznego lub elektronicznie. </w:t>
      </w:r>
      <w:r w:rsidRPr="00B845B6">
        <w:rPr>
          <w:rFonts w:ascii="Tahoma" w:hAnsi="Tahoma"/>
          <w:sz w:val="18"/>
        </w:rPr>
        <w:t>Za datę realizacji uważa się dzień dostarczenia towaru wraz z fakturą sprzedaży. Faktura musi zawierać serię i datę ważności towaru, nie dopuszcza się odręcznych dopis</w:t>
      </w:r>
      <w:r w:rsidR="001F4C40">
        <w:rPr>
          <w:rFonts w:ascii="Tahoma" w:hAnsi="Tahoma"/>
          <w:sz w:val="18"/>
        </w:rPr>
        <w:t>k</w:t>
      </w:r>
      <w:r w:rsidRPr="00B845B6">
        <w:rPr>
          <w:rFonts w:ascii="Tahoma" w:hAnsi="Tahoma"/>
          <w:sz w:val="18"/>
        </w:rPr>
        <w:t>ów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5D362A" w:rsidRDefault="005D362A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</w:t>
      </w:r>
      <w:r w:rsidR="009A7128">
        <w:rPr>
          <w:rFonts w:ascii="Tahoma" w:hAnsi="Tahoma"/>
          <w:sz w:val="18"/>
          <w:szCs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4871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każdorazowo będzie informował Zamawiającego o zmianach w realizacji zamówienia (w szczególności: zmiany zamówionych ilości i ustalonych terminów) e-mailem na adres </w:t>
      </w:r>
      <w:hyperlink r:id="rId7" w:history="1">
        <w:r w:rsidRPr="00A40954">
          <w:rPr>
            <w:rStyle w:val="Hipercze"/>
            <w:rFonts w:ascii="Tahoma" w:hAnsi="Tahoma"/>
            <w:sz w:val="18"/>
          </w:rPr>
          <w:t>apteka@spzoz.zgorzelec.pl</w:t>
        </w:r>
      </w:hyperlink>
      <w:r>
        <w:rPr>
          <w:rFonts w:ascii="Tahoma" w:hAnsi="Tahoma"/>
          <w:sz w:val="18"/>
        </w:rPr>
        <w:t xml:space="preserve"> – niezwłocznie po złożeniu zamówienia, najpóźniej do godz. 15:00, tego samego dnia.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487126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 xml:space="preserve">od dnia zawarcia umowy tj. ………………….. do dnia </w:t>
      </w:r>
      <w:r w:rsidR="00044E46">
        <w:rPr>
          <w:rFonts w:ascii="Tahoma" w:hAnsi="Tahoma"/>
          <w:b/>
          <w:bCs/>
          <w:sz w:val="18"/>
        </w:rPr>
        <w:t>31.08</w:t>
      </w:r>
      <w:r w:rsidR="002A6A83">
        <w:rPr>
          <w:rFonts w:ascii="Tahoma" w:hAnsi="Tahoma"/>
          <w:b/>
          <w:bCs/>
          <w:sz w:val="18"/>
        </w:rPr>
        <w:t xml:space="preserve">.2021 r.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. Wykonawca może żądać wynagrodzenia </w:t>
      </w:r>
      <w:r w:rsidRPr="00F5241F">
        <w:rPr>
          <w:rFonts w:ascii="Tahoma" w:hAnsi="Tahoma"/>
          <w:sz w:val="18"/>
        </w:rPr>
        <w:t>z</w:t>
      </w:r>
      <w:r w:rsidR="003E043D" w:rsidRPr="00F5241F">
        <w:rPr>
          <w:rFonts w:ascii="Tahoma" w:hAnsi="Tahoma"/>
          <w:sz w:val="18"/>
        </w:rPr>
        <w:t xml:space="preserve">a </w:t>
      </w:r>
      <w:r w:rsidR="001F4C40" w:rsidRPr="00F5241F">
        <w:rPr>
          <w:rFonts w:ascii="Tahoma" w:hAnsi="Tahoma"/>
          <w:sz w:val="18"/>
        </w:rPr>
        <w:t xml:space="preserve">dostarczone </w:t>
      </w:r>
      <w:r w:rsidR="00C85E45" w:rsidRPr="00F5241F">
        <w:rPr>
          <w:rFonts w:ascii="Tahoma" w:hAnsi="Tahoma"/>
          <w:sz w:val="18"/>
        </w:rPr>
        <w:t>towar</w:t>
      </w:r>
      <w:r w:rsidR="003E043D" w:rsidRPr="00F5241F">
        <w:rPr>
          <w:rFonts w:ascii="Tahoma" w:hAnsi="Tahoma"/>
          <w:sz w:val="18"/>
        </w:rPr>
        <w:t>y</w:t>
      </w:r>
      <w:r w:rsidRPr="00F5241F"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="00EF62C4" w:rsidRPr="00F5241F">
        <w:rPr>
          <w:rFonts w:ascii="Tahoma" w:hAnsi="Tahoma"/>
          <w:sz w:val="18"/>
        </w:rPr>
        <w:t xml:space="preserve"> brutto</w:t>
      </w:r>
      <w:r w:rsidRPr="00F5241F">
        <w:rPr>
          <w:rFonts w:ascii="Tahoma" w:hAnsi="Tahoma"/>
          <w:sz w:val="18"/>
        </w:rPr>
        <w:t>) – Wykonawca nie będzie miał żadnych roszczeń do Zamawiającego</w:t>
      </w:r>
      <w:r w:rsidR="00C85E45" w:rsidRPr="00F5241F">
        <w:rPr>
          <w:rFonts w:ascii="Tahoma" w:hAnsi="Tahoma"/>
          <w:sz w:val="18"/>
        </w:rPr>
        <w:t xml:space="preserve">. </w:t>
      </w:r>
      <w:r w:rsidR="001F4C40" w:rsidRPr="00F5241F">
        <w:rPr>
          <w:rFonts w:ascii="Tahoma" w:hAnsi="Tahoma"/>
          <w:sz w:val="18"/>
        </w:rPr>
        <w:t xml:space="preserve">Minimalna wartość umowy </w:t>
      </w:r>
      <w:r w:rsidR="0042048E" w:rsidRPr="00F5241F">
        <w:rPr>
          <w:rFonts w:ascii="Tahoma" w:hAnsi="Tahoma"/>
          <w:sz w:val="18"/>
        </w:rPr>
        <w:t xml:space="preserve">nie może </w:t>
      </w:r>
      <w:r w:rsidR="00960B0D" w:rsidRPr="00F5241F">
        <w:rPr>
          <w:rFonts w:ascii="Tahoma" w:hAnsi="Tahoma"/>
          <w:sz w:val="18"/>
        </w:rPr>
        <w:t>być niższa niż</w:t>
      </w:r>
      <w:r w:rsidR="0042048E" w:rsidRPr="00F5241F">
        <w:rPr>
          <w:rFonts w:ascii="Tahoma" w:hAnsi="Tahoma"/>
          <w:sz w:val="18"/>
        </w:rPr>
        <w:t xml:space="preserve"> </w:t>
      </w:r>
      <w:r w:rsidR="00960B0D" w:rsidRPr="00F5241F">
        <w:rPr>
          <w:rFonts w:ascii="Tahoma" w:hAnsi="Tahoma"/>
          <w:sz w:val="18"/>
        </w:rPr>
        <w:t>7</w:t>
      </w:r>
      <w:r w:rsidR="00C85E45" w:rsidRPr="00F5241F">
        <w:rPr>
          <w:rFonts w:ascii="Tahoma" w:hAnsi="Tahoma"/>
          <w:sz w:val="18"/>
        </w:rPr>
        <w:t>0% wartośc</w:t>
      </w:r>
      <w:r w:rsidR="00C85E45">
        <w:rPr>
          <w:rFonts w:ascii="Tahoma" w:hAnsi="Tahoma"/>
          <w:sz w:val="18"/>
        </w:rPr>
        <w:t>i umowy</w:t>
      </w:r>
      <w:r w:rsidR="00EF62C4">
        <w:rPr>
          <w:rFonts w:ascii="Tahoma" w:hAnsi="Tahoma"/>
          <w:sz w:val="18"/>
        </w:rPr>
        <w:t xml:space="preserve"> brutto</w:t>
      </w:r>
      <w:r w:rsidR="00F5241F">
        <w:rPr>
          <w:rFonts w:ascii="Tahoma" w:hAnsi="Tahoma"/>
          <w:sz w:val="18"/>
        </w:rPr>
        <w:t>.</w:t>
      </w:r>
    </w:p>
    <w:p w:rsidR="00D8333E" w:rsidRPr="00E359D3" w:rsidRDefault="00D8333E" w:rsidP="00D8333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>Jeżeli złożono ofertę, której wybór, zgodnie z przepisami o podatku od towarów i usług</w:t>
      </w:r>
      <w:r>
        <w:rPr>
          <w:rFonts w:ascii="Tahoma" w:hAnsi="Tahoma"/>
          <w:sz w:val="18"/>
        </w:rPr>
        <w:t>,</w:t>
      </w:r>
      <w:r w:rsidRPr="00E359D3">
        <w:rPr>
          <w:rFonts w:ascii="Tahoma" w:hAnsi="Tahoma"/>
          <w:sz w:val="18"/>
        </w:rPr>
        <w:t xml:space="preserve"> prowadziłby do powstania obowiązku podatkowego zastosowania mechanizmu podzielonej płatności, Wykonawca ma obowiązek dokonywani</w:t>
      </w:r>
      <w:r>
        <w:rPr>
          <w:rFonts w:ascii="Tahoma" w:hAnsi="Tahoma"/>
          <w:sz w:val="18"/>
        </w:rPr>
        <w:t>a</w:t>
      </w:r>
      <w:r w:rsidRPr="00E359D3">
        <w:rPr>
          <w:rFonts w:ascii="Tahoma" w:hAnsi="Tahoma"/>
          <w:sz w:val="18"/>
        </w:rPr>
        <w:t xml:space="preserve"> odpowiednich oznaczeń na fakturze oraz przyjęcia płatności w ramach mechanizmu MPP.</w:t>
      </w:r>
    </w:p>
    <w:p w:rsidR="00D8333E" w:rsidRPr="00E359D3" w:rsidRDefault="00D8333E" w:rsidP="00D8333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>Podany przez Wykonawcę numer rachunku bankowego musi być zgodny z białą listą podatników VAT.</w:t>
      </w:r>
    </w:p>
    <w:p w:rsidR="00D8333E" w:rsidRDefault="00D8333E" w:rsidP="00D8333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E359D3">
        <w:rPr>
          <w:rFonts w:ascii="Tahoma" w:hAnsi="Tahoma"/>
          <w:sz w:val="18"/>
        </w:rPr>
        <w:t xml:space="preserve"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</w:t>
      </w:r>
      <w:r>
        <w:rPr>
          <w:rFonts w:ascii="Tahoma" w:hAnsi="Tahoma"/>
          <w:sz w:val="18"/>
        </w:rPr>
        <w:t>w</w:t>
      </w:r>
      <w:r w:rsidRPr="00E359D3">
        <w:rPr>
          <w:rFonts w:ascii="Tahoma" w:hAnsi="Tahoma"/>
          <w:sz w:val="18"/>
        </w:rPr>
        <w:t xml:space="preserve"> fakturze VAT i białej liście podatników VAT będą zgodne.</w:t>
      </w:r>
    </w:p>
    <w:p w:rsidR="00A3719B" w:rsidRDefault="00A3719B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A3719B" w:rsidRDefault="00A3719B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</w:t>
      </w:r>
      <w:r w:rsidR="00FB0088" w:rsidRPr="00F5241F">
        <w:rPr>
          <w:rFonts w:ascii="Tahoma" w:hAnsi="Tahoma"/>
          <w:sz w:val="18"/>
          <w:szCs w:val="18"/>
        </w:rPr>
        <w:t>PUNKTOW</w:t>
      </w:r>
      <w:r w:rsidR="00960B0D" w:rsidRPr="00F5241F">
        <w:rPr>
          <w:rFonts w:ascii="Tahoma" w:hAnsi="Tahoma"/>
          <w:sz w:val="18"/>
          <w:szCs w:val="18"/>
        </w:rPr>
        <w:t>AN</w:t>
      </w:r>
      <w:r w:rsidR="00FB0088" w:rsidRPr="00F5241F">
        <w:rPr>
          <w:rFonts w:ascii="Tahoma" w:hAnsi="Tahoma"/>
          <w:sz w:val="18"/>
          <w:szCs w:val="18"/>
        </w:rPr>
        <w:t>E</w:t>
      </w:r>
      <w:r w:rsidR="00FB0088">
        <w:rPr>
          <w:rFonts w:ascii="Tahoma" w:hAnsi="Tahoma"/>
          <w:sz w:val="18"/>
          <w:szCs w:val="18"/>
        </w:rPr>
        <w:t>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m-cy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3" w:name="_Hlk20385787"/>
      <w:r w:rsidRPr="003154CF"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</w:t>
      </w:r>
      <w:r w:rsidR="00257679" w:rsidRPr="003154CF">
        <w:rPr>
          <w:rFonts w:ascii="Tahoma" w:hAnsi="Tahoma"/>
          <w:sz w:val="18"/>
        </w:rPr>
        <w:t xml:space="preserve"> w terminie 5 dni</w:t>
      </w:r>
      <w:r w:rsidRPr="003154CF">
        <w:rPr>
          <w:rFonts w:ascii="Tahoma" w:hAnsi="Tahoma"/>
          <w:sz w:val="18"/>
        </w:rPr>
        <w:t>, jeżeli wada nie wynika z przyczyn leżących po stronie Zamawiającego i wymienić reklamowany towar na wolny od wad w terminie 3 dni</w:t>
      </w:r>
      <w:r w:rsidR="00257679" w:rsidRPr="003154CF">
        <w:rPr>
          <w:rFonts w:ascii="Tahoma" w:hAnsi="Tahoma"/>
          <w:sz w:val="18"/>
        </w:rPr>
        <w:t>, od daty rozpatrzenia reklamacji</w:t>
      </w:r>
      <w:bookmarkEnd w:id="3"/>
      <w:r w:rsidR="0042048E" w:rsidRPr="003154CF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a) w przypadku dostarczenia towaru wadliwego lub nie dostarczenia towaru w terminie, wynikającym z zapisów § 2 </w:t>
      </w:r>
      <w:r w:rsidR="00FF170D" w:rsidRPr="00FF170D">
        <w:rPr>
          <w:rFonts w:ascii="Tahoma" w:hAnsi="Tahoma"/>
          <w:b/>
          <w:color w:val="0070C0"/>
          <w:sz w:val="18"/>
          <w:szCs w:val="18"/>
        </w:rPr>
        <w:t>(z wyłączeniem ust. 9, jeżeli Zamawiający skorzysta z jego zapisów)</w:t>
      </w:r>
      <w:r w:rsidR="00FF170D" w:rsidRPr="003E4F2A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</w:t>
      </w:r>
      <w:r w:rsidRPr="00F5241F">
        <w:rPr>
          <w:rFonts w:ascii="Tahoma" w:hAnsi="Tahoma"/>
          <w:b w:val="0"/>
          <w:sz w:val="18"/>
          <w:szCs w:val="18"/>
        </w:rPr>
        <w:t>opóźnieni</w:t>
      </w:r>
      <w:r w:rsidR="00626F35" w:rsidRPr="00F5241F">
        <w:rPr>
          <w:rFonts w:ascii="Tahoma" w:hAnsi="Tahoma"/>
          <w:b w:val="0"/>
          <w:sz w:val="18"/>
          <w:szCs w:val="18"/>
        </w:rPr>
        <w:t>e</w:t>
      </w:r>
      <w:r>
        <w:rPr>
          <w:rFonts w:ascii="Tahoma" w:hAnsi="Tahoma"/>
          <w:b w:val="0"/>
          <w:sz w:val="18"/>
          <w:szCs w:val="18"/>
        </w:rPr>
        <w:t xml:space="preserve"> w transakcjach handlowych. </w:t>
      </w:r>
    </w:p>
    <w:p w:rsidR="00D55899" w:rsidRPr="00F5241F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 w:rsidRPr="00F5241F"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626F35" w:rsidRPr="00F5241F">
        <w:rPr>
          <w:rFonts w:ascii="Tahoma" w:hAnsi="Tahoma"/>
          <w:b w:val="0"/>
          <w:sz w:val="18"/>
          <w:szCs w:val="18"/>
        </w:rPr>
        <w:t xml:space="preserve"> wartości łącznego wynagrodzenia brutto określonego w Umowi</w:t>
      </w:r>
      <w:r w:rsidR="00F5241F" w:rsidRPr="00F5241F">
        <w:rPr>
          <w:rFonts w:ascii="Tahoma" w:hAnsi="Tahoma"/>
          <w:b w:val="0"/>
          <w:sz w:val="18"/>
          <w:szCs w:val="18"/>
        </w:rPr>
        <w:t>e.</w:t>
      </w:r>
      <w:r w:rsidRPr="00F5241F">
        <w:rPr>
          <w:rFonts w:ascii="Tahoma" w:hAnsi="Tahoma"/>
          <w:b w:val="0"/>
          <w:sz w:val="18"/>
          <w:szCs w:val="18"/>
        </w:rPr>
        <w:t xml:space="preserve">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lastRenderedPageBreak/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1C1421" w:rsidRDefault="001C1421" w:rsidP="001C1421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1C1421" w:rsidRPr="001C1421" w:rsidRDefault="001C1421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 w:rsidRPr="001C1421">
        <w:rPr>
          <w:rFonts w:ascii="Tahoma" w:hAnsi="Tahoma"/>
          <w:b w:val="0"/>
          <w:sz w:val="18"/>
          <w:szCs w:val="18"/>
        </w:rPr>
        <w:t xml:space="preserve">Całkowita suma kar umownych naliczonych na podstawie § 7 ust. 1 pkt a), b), 2, 3  umowy nie przekroczy 60 % </w:t>
      </w:r>
      <w:bookmarkStart w:id="4" w:name="_Hlk36042244"/>
      <w:r w:rsidRPr="001C1421">
        <w:rPr>
          <w:rFonts w:ascii="Tahoma" w:hAnsi="Tahoma"/>
          <w:b w:val="0"/>
          <w:sz w:val="18"/>
          <w:szCs w:val="18"/>
        </w:rPr>
        <w:t xml:space="preserve">wartości łącznego wynagrodzenia brutto </w:t>
      </w:r>
      <w:bookmarkStart w:id="5" w:name="_Hlk36042155"/>
      <w:r w:rsidRPr="001C1421">
        <w:rPr>
          <w:rFonts w:ascii="Tahoma" w:hAnsi="Tahoma"/>
          <w:b w:val="0"/>
          <w:sz w:val="18"/>
          <w:szCs w:val="18"/>
        </w:rPr>
        <w:t>określonego w Umowie</w:t>
      </w:r>
      <w:bookmarkEnd w:id="4"/>
      <w:bookmarkEnd w:id="5"/>
      <w:r w:rsidR="001B2F60">
        <w:rPr>
          <w:rFonts w:ascii="Tahoma" w:hAnsi="Tahoma"/>
          <w:b w:val="0"/>
          <w:sz w:val="18"/>
          <w:szCs w:val="18"/>
        </w:rPr>
        <w:t>.</w:t>
      </w:r>
      <w:r w:rsidRPr="001C1421">
        <w:rPr>
          <w:rFonts w:ascii="Tahoma" w:hAnsi="Tahoma"/>
          <w:b w:val="0"/>
          <w:sz w:val="18"/>
          <w:szCs w:val="18"/>
        </w:rPr>
        <w:t xml:space="preserve">  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eastAsia="Calibri" w:hAnsi="Tahoma"/>
          <w:sz w:val="18"/>
          <w:szCs w:val="18"/>
          <w:lang w:eastAsia="zh-CN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 xml:space="preserve">Podwykonawca/cy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6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</w:t>
      </w:r>
      <w:r w:rsidR="00D8333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4 ust.1 </w:t>
      </w:r>
      <w:bookmarkEnd w:id="6"/>
      <w:r>
        <w:rPr>
          <w:rFonts w:ascii="Tahoma" w:hAnsi="Tahoma"/>
          <w:sz w:val="18"/>
        </w:rPr>
        <w:t xml:space="preserve">- do czasu zrealizowania wartościowego </w:t>
      </w:r>
      <w:r>
        <w:rPr>
          <w:rFonts w:ascii="Tahoma" w:hAnsi="Tahoma"/>
          <w:sz w:val="18"/>
        </w:rPr>
        <w:lastRenderedPageBreak/>
        <w:t>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</w:t>
      </w:r>
      <w:r w:rsidR="00D8333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ust.1, przed terminem zakończenia umowy, określonym w §</w:t>
      </w:r>
      <w:r w:rsidR="00D8333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7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7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FE4644" w:rsidRPr="003154CF" w:rsidRDefault="00FE4644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sz w:val="18"/>
          <w:szCs w:val="20"/>
        </w:rPr>
      </w:pPr>
      <w:r w:rsidRPr="003154CF">
        <w:rPr>
          <w:rFonts w:ascii="Tahoma" w:hAnsi="Tahoma"/>
          <w:sz w:val="18"/>
          <w:szCs w:val="20"/>
        </w:rPr>
        <w:t>zasad gromadzenia i wysokości wpłaty do pracowniczych planów kapitałowych, o których mowa w ustawie z dnia 4 października 2018r. o pracowniczych planach kapitałowych</w:t>
      </w:r>
      <w:r w:rsidR="003154CF">
        <w:rPr>
          <w:rFonts w:ascii="Tahoma" w:hAnsi="Tahoma"/>
          <w:sz w:val="18"/>
          <w:szCs w:val="20"/>
        </w:rPr>
        <w:t>.</w:t>
      </w:r>
    </w:p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>10. Niepodpisanie aneksu do umowy w terminie 1 miesiąca od dnia złożenia wniosku, o którym mowa w ust. 7 zd. 1 uprawnia stronę składającą wniosek do rozwiązania umowy z zachowaniem trzymiesięcznego okresu wypowiedzenia. Uprawnienie do rozwiązania umowy nie powstaje w przypadku złożenia wniosku z naruszeniem terminu, o którym mowa w ust. 7 zd. 1., lub w przypadku złożenia wniosku terminowego, lecz niezawierającego szczegółowego uzasadnienia, o którym mowa w ust. 7 zd. 2.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D8333E"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Pr="00C824CC" w:rsidRDefault="00C824CC" w:rsidP="00C824CC"/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sectPr w:rsidR="00CC01D4" w:rsidSect="00BD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3E" w:rsidRDefault="00E2573E" w:rsidP="003154CF">
      <w:r>
        <w:separator/>
      </w:r>
    </w:p>
  </w:endnote>
  <w:endnote w:type="continuationSeparator" w:id="1">
    <w:p w:rsidR="00E2573E" w:rsidRDefault="00E2573E" w:rsidP="0031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3E" w:rsidRDefault="00E2573E" w:rsidP="003154CF">
      <w:r>
        <w:separator/>
      </w:r>
    </w:p>
  </w:footnote>
  <w:footnote w:type="continuationSeparator" w:id="1">
    <w:p w:rsidR="00E2573E" w:rsidRDefault="00E2573E" w:rsidP="0031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F" w:rsidRDefault="003154CF">
    <w:pPr>
      <w:pStyle w:val="Nagwek"/>
    </w:pPr>
    <w:r>
      <w:t xml:space="preserve">Znak sprawy: </w:t>
    </w:r>
    <w:r w:rsidR="00487126">
      <w:t>11</w:t>
    </w:r>
    <w:r>
      <w:t>/ZP/20</w:t>
    </w:r>
    <w:r w:rsidR="00B079D6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FFE"/>
    <w:rsid w:val="0003126E"/>
    <w:rsid w:val="00044E46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1B2F60"/>
    <w:rsid w:val="001C1421"/>
    <w:rsid w:val="001F4C40"/>
    <w:rsid w:val="00257679"/>
    <w:rsid w:val="00275D45"/>
    <w:rsid w:val="002A6A83"/>
    <w:rsid w:val="002A6B97"/>
    <w:rsid w:val="00307971"/>
    <w:rsid w:val="003154CF"/>
    <w:rsid w:val="00341F1E"/>
    <w:rsid w:val="003E043D"/>
    <w:rsid w:val="003E6E97"/>
    <w:rsid w:val="0042014E"/>
    <w:rsid w:val="0042048E"/>
    <w:rsid w:val="00434422"/>
    <w:rsid w:val="0044287F"/>
    <w:rsid w:val="00487126"/>
    <w:rsid w:val="004C7CB4"/>
    <w:rsid w:val="004D6CA0"/>
    <w:rsid w:val="004F5984"/>
    <w:rsid w:val="0052159E"/>
    <w:rsid w:val="00547E44"/>
    <w:rsid w:val="005C59A9"/>
    <w:rsid w:val="005D362A"/>
    <w:rsid w:val="005D4A4F"/>
    <w:rsid w:val="00601A4E"/>
    <w:rsid w:val="00612C78"/>
    <w:rsid w:val="00626A52"/>
    <w:rsid w:val="00626F35"/>
    <w:rsid w:val="006C5F9E"/>
    <w:rsid w:val="00746875"/>
    <w:rsid w:val="00775179"/>
    <w:rsid w:val="00776814"/>
    <w:rsid w:val="00784D04"/>
    <w:rsid w:val="0078534A"/>
    <w:rsid w:val="007D7C3D"/>
    <w:rsid w:val="00855A77"/>
    <w:rsid w:val="00861C8D"/>
    <w:rsid w:val="008C3AC0"/>
    <w:rsid w:val="008E3621"/>
    <w:rsid w:val="008E61A3"/>
    <w:rsid w:val="008F336B"/>
    <w:rsid w:val="009104A5"/>
    <w:rsid w:val="00960B0D"/>
    <w:rsid w:val="00966A7E"/>
    <w:rsid w:val="009A7128"/>
    <w:rsid w:val="009B3A27"/>
    <w:rsid w:val="009C1A3A"/>
    <w:rsid w:val="00A1045A"/>
    <w:rsid w:val="00A3719B"/>
    <w:rsid w:val="00A45CF3"/>
    <w:rsid w:val="00A5065A"/>
    <w:rsid w:val="00A83776"/>
    <w:rsid w:val="00A92889"/>
    <w:rsid w:val="00B01A8B"/>
    <w:rsid w:val="00B079D6"/>
    <w:rsid w:val="00B21578"/>
    <w:rsid w:val="00BA36B5"/>
    <w:rsid w:val="00BD67C3"/>
    <w:rsid w:val="00C24D8E"/>
    <w:rsid w:val="00C31A2B"/>
    <w:rsid w:val="00C333F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34F0"/>
    <w:rsid w:val="00D55899"/>
    <w:rsid w:val="00D8333E"/>
    <w:rsid w:val="00D84CFD"/>
    <w:rsid w:val="00E2573E"/>
    <w:rsid w:val="00E26102"/>
    <w:rsid w:val="00E37CBE"/>
    <w:rsid w:val="00E505EF"/>
    <w:rsid w:val="00EB2F79"/>
    <w:rsid w:val="00EF0CCF"/>
    <w:rsid w:val="00EF1FFE"/>
    <w:rsid w:val="00EF62C4"/>
    <w:rsid w:val="00F345BB"/>
    <w:rsid w:val="00F5241F"/>
    <w:rsid w:val="00F56BDD"/>
    <w:rsid w:val="00FB0088"/>
    <w:rsid w:val="00FE4644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97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3079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Radek</cp:lastModifiedBy>
  <cp:revision>6</cp:revision>
  <cp:lastPrinted>2020-01-16T09:04:00Z</cp:lastPrinted>
  <dcterms:created xsi:type="dcterms:W3CDTF">2020-03-25T14:20:00Z</dcterms:created>
  <dcterms:modified xsi:type="dcterms:W3CDTF">2020-04-02T09:11:00Z</dcterms:modified>
</cp:coreProperties>
</file>